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FB841">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06DBEA04">
      <w:pPr>
        <w:keepNext w:val="0"/>
        <w:keepLines w:val="0"/>
        <w:pageBreakBefore w:val="0"/>
        <w:kinsoku/>
        <w:wordWrap/>
        <w:overflowPunct/>
        <w:topLinePunct w:val="0"/>
        <w:bidi w:val="0"/>
        <w:snapToGrid w:val="0"/>
        <w:spacing w:line="360" w:lineRule="auto"/>
        <w:ind w:left="0" w:leftChars="0" w:right="0" w:firstLine="224" w:firstLineChars="62"/>
        <w:jc w:val="center"/>
        <w:rPr>
          <w:rFonts w:hint="eastAsia" w:ascii="宋体" w:hAnsi="宋体" w:eastAsia="宋体" w:cs="宋体"/>
          <w:b/>
          <w:kern w:val="0"/>
          <w:sz w:val="36"/>
          <w:szCs w:val="36"/>
          <w:lang w:val="en-GB"/>
        </w:rPr>
      </w:pPr>
      <w:r>
        <w:rPr>
          <w:rFonts w:hint="eastAsia" w:ascii="宋体" w:hAnsi="宋体" w:eastAsia="宋体" w:cs="宋体"/>
          <w:b/>
          <w:kern w:val="0"/>
          <w:sz w:val="36"/>
          <w:szCs w:val="36"/>
          <w:lang w:val="en-GB"/>
        </w:rPr>
        <w:t>陕西周至国家级自然保护区2026年度中央财政林业草原生态保护恢复资金项目-野生鸟类调查及声景生态监测的采购项目</w:t>
      </w:r>
    </w:p>
    <w:p w14:paraId="6FCFDAB3">
      <w:pPr>
        <w:keepNext w:val="0"/>
        <w:keepLines w:val="0"/>
        <w:pageBreakBefore w:val="0"/>
        <w:kinsoku/>
        <w:wordWrap/>
        <w:overflowPunct/>
        <w:topLinePunct w:val="0"/>
        <w:bidi w:val="0"/>
        <w:snapToGrid w:val="0"/>
        <w:spacing w:line="360" w:lineRule="auto"/>
        <w:ind w:right="0"/>
        <w:jc w:val="left"/>
        <w:rPr>
          <w:rFonts w:hint="eastAsia" w:ascii="宋体" w:hAnsi="宋体" w:eastAsia="宋体" w:cs="宋体"/>
          <w:b/>
          <w:kern w:val="0"/>
          <w:sz w:val="48"/>
          <w:szCs w:val="48"/>
          <w:lang w:val="en-GB"/>
        </w:rPr>
      </w:pPr>
    </w:p>
    <w:p w14:paraId="17DE81A3">
      <w:pPr>
        <w:keepNext w:val="0"/>
        <w:keepLines w:val="0"/>
        <w:pageBreakBefore w:val="0"/>
        <w:kinsoku/>
        <w:wordWrap/>
        <w:overflowPunct/>
        <w:topLinePunct w:val="0"/>
        <w:bidi w:val="0"/>
        <w:snapToGrid w:val="0"/>
        <w:spacing w:line="360" w:lineRule="auto"/>
        <w:ind w:left="0" w:leftChars="0" w:right="0" w:firstLine="299" w:firstLineChars="62"/>
        <w:jc w:val="center"/>
        <w:rPr>
          <w:rFonts w:hint="eastAsia" w:ascii="宋体" w:hAnsi="宋体" w:eastAsia="宋体" w:cs="宋体"/>
          <w:b/>
          <w:kern w:val="0"/>
          <w:sz w:val="48"/>
          <w:szCs w:val="48"/>
          <w:lang w:val="en-GB"/>
        </w:rPr>
      </w:pPr>
    </w:p>
    <w:p w14:paraId="5782D47A">
      <w:pPr>
        <w:keepNext w:val="0"/>
        <w:keepLines w:val="0"/>
        <w:pageBreakBefore w:val="0"/>
        <w:kinsoku/>
        <w:wordWrap/>
        <w:overflowPunct/>
        <w:topLinePunct w:val="0"/>
        <w:bidi w:val="0"/>
        <w:snapToGrid w:val="0"/>
        <w:spacing w:line="360" w:lineRule="auto"/>
        <w:ind w:left="0" w:leftChars="0" w:right="0" w:firstLine="299" w:firstLineChars="62"/>
        <w:jc w:val="center"/>
        <w:rPr>
          <w:rFonts w:hint="eastAsia" w:ascii="宋体" w:hAnsi="宋体" w:eastAsia="宋体" w:cs="宋体"/>
          <w:b/>
          <w:kern w:val="0"/>
          <w:sz w:val="48"/>
          <w:szCs w:val="48"/>
          <w:lang w:val="en-GB"/>
        </w:rPr>
      </w:pPr>
      <w:r>
        <w:rPr>
          <w:rFonts w:hint="eastAsia" w:ascii="宋体" w:hAnsi="宋体" w:cs="宋体"/>
          <w:b/>
          <w:kern w:val="0"/>
          <w:sz w:val="48"/>
          <w:szCs w:val="48"/>
          <w:lang w:val="en-US" w:eastAsia="zh-CN"/>
        </w:rPr>
        <w:t>技术</w:t>
      </w:r>
      <w:r>
        <w:rPr>
          <w:rFonts w:hint="eastAsia" w:ascii="宋体" w:hAnsi="宋体" w:eastAsia="宋体" w:cs="宋体"/>
          <w:b/>
          <w:kern w:val="0"/>
          <w:sz w:val="48"/>
          <w:szCs w:val="48"/>
          <w:lang w:val="en-GB"/>
        </w:rPr>
        <w:t>服务合同</w:t>
      </w:r>
    </w:p>
    <w:p w14:paraId="2316FB6E">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17E7EAEE">
      <w:pPr>
        <w:keepNext w:val="0"/>
        <w:keepLines w:val="0"/>
        <w:pageBreakBefore w:val="0"/>
        <w:kinsoku/>
        <w:wordWrap/>
        <w:overflowPunct/>
        <w:topLinePunct w:val="0"/>
        <w:bidi w:val="0"/>
        <w:snapToGrid w:val="0"/>
        <w:spacing w:line="360" w:lineRule="auto"/>
        <w:ind w:right="0"/>
        <w:jc w:val="left"/>
        <w:rPr>
          <w:rFonts w:hint="eastAsia" w:ascii="宋体" w:hAnsi="宋体" w:eastAsia="宋体" w:cs="宋体"/>
          <w:b/>
          <w:kern w:val="0"/>
          <w:sz w:val="48"/>
          <w:szCs w:val="48"/>
          <w:lang w:val="en-GB"/>
        </w:rPr>
      </w:pPr>
    </w:p>
    <w:p w14:paraId="087C31E4">
      <w:pPr>
        <w:keepNext w:val="0"/>
        <w:keepLines w:val="0"/>
        <w:pageBreakBefore w:val="0"/>
        <w:kinsoku/>
        <w:wordWrap/>
        <w:overflowPunct/>
        <w:topLinePunct w:val="0"/>
        <w:bidi w:val="0"/>
        <w:snapToGrid w:val="0"/>
        <w:spacing w:line="360" w:lineRule="auto"/>
        <w:ind w:right="0"/>
        <w:jc w:val="left"/>
        <w:rPr>
          <w:rFonts w:hint="eastAsia" w:ascii="宋体" w:hAnsi="宋体" w:eastAsia="宋体" w:cs="宋体"/>
          <w:b/>
          <w:kern w:val="0"/>
          <w:sz w:val="48"/>
          <w:szCs w:val="48"/>
          <w:lang w:val="en-GB"/>
        </w:rPr>
      </w:pPr>
    </w:p>
    <w:tbl>
      <w:tblPr>
        <w:tblStyle w:val="12"/>
        <w:tblW w:w="0" w:type="auto"/>
        <w:jc w:val="center"/>
        <w:tblLayout w:type="fixed"/>
        <w:tblCellMar>
          <w:top w:w="0" w:type="dxa"/>
          <w:left w:w="108" w:type="dxa"/>
          <w:bottom w:w="0" w:type="dxa"/>
          <w:right w:w="108" w:type="dxa"/>
        </w:tblCellMar>
      </w:tblPr>
      <w:tblGrid>
        <w:gridCol w:w="2712"/>
        <w:gridCol w:w="4356"/>
      </w:tblGrid>
      <w:tr w14:paraId="7F3399A3">
        <w:tblPrEx>
          <w:tblCellMar>
            <w:top w:w="0" w:type="dxa"/>
            <w:left w:w="108" w:type="dxa"/>
            <w:bottom w:w="0" w:type="dxa"/>
            <w:right w:w="108" w:type="dxa"/>
          </w:tblCellMar>
        </w:tblPrEx>
        <w:trPr>
          <w:jc w:val="center"/>
        </w:trPr>
        <w:tc>
          <w:tcPr>
            <w:tcW w:w="2712" w:type="dxa"/>
            <w:noWrap w:val="0"/>
            <w:vAlign w:val="top"/>
          </w:tcPr>
          <w:p w14:paraId="2B9E2921">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委托方（甲方）：</w:t>
            </w:r>
          </w:p>
        </w:tc>
        <w:tc>
          <w:tcPr>
            <w:tcW w:w="4356" w:type="dxa"/>
            <w:noWrap w:val="0"/>
            <w:vAlign w:val="top"/>
          </w:tcPr>
          <w:p w14:paraId="6BF8763B">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3C9B6A56">
        <w:tblPrEx>
          <w:tblCellMar>
            <w:top w:w="0" w:type="dxa"/>
            <w:left w:w="108" w:type="dxa"/>
            <w:bottom w:w="0" w:type="dxa"/>
            <w:right w:w="108" w:type="dxa"/>
          </w:tblCellMar>
        </w:tblPrEx>
        <w:trPr>
          <w:jc w:val="center"/>
        </w:trPr>
        <w:tc>
          <w:tcPr>
            <w:tcW w:w="2712" w:type="dxa"/>
            <w:noWrap w:val="0"/>
            <w:vAlign w:val="top"/>
          </w:tcPr>
          <w:p w14:paraId="1AD9769F">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受托方（乙方）：</w:t>
            </w:r>
          </w:p>
        </w:tc>
        <w:tc>
          <w:tcPr>
            <w:tcW w:w="4356" w:type="dxa"/>
            <w:noWrap w:val="0"/>
            <w:vAlign w:val="top"/>
          </w:tcPr>
          <w:p w14:paraId="72675E40">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4271A962">
        <w:tblPrEx>
          <w:tblCellMar>
            <w:top w:w="0" w:type="dxa"/>
            <w:left w:w="108" w:type="dxa"/>
            <w:bottom w:w="0" w:type="dxa"/>
            <w:right w:w="108" w:type="dxa"/>
          </w:tblCellMar>
        </w:tblPrEx>
        <w:trPr>
          <w:jc w:val="center"/>
        </w:trPr>
        <w:tc>
          <w:tcPr>
            <w:tcW w:w="2712" w:type="dxa"/>
            <w:noWrap w:val="0"/>
            <w:vAlign w:val="top"/>
          </w:tcPr>
          <w:p w14:paraId="11DBEB82">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签订时间：</w:t>
            </w:r>
          </w:p>
        </w:tc>
        <w:tc>
          <w:tcPr>
            <w:tcW w:w="4356" w:type="dxa"/>
            <w:noWrap w:val="0"/>
            <w:vAlign w:val="top"/>
          </w:tcPr>
          <w:p w14:paraId="7FB865C4">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15B118F4">
        <w:tblPrEx>
          <w:tblCellMar>
            <w:top w:w="0" w:type="dxa"/>
            <w:left w:w="108" w:type="dxa"/>
            <w:bottom w:w="0" w:type="dxa"/>
            <w:right w:w="108" w:type="dxa"/>
          </w:tblCellMar>
        </w:tblPrEx>
        <w:trPr>
          <w:jc w:val="center"/>
        </w:trPr>
        <w:tc>
          <w:tcPr>
            <w:tcW w:w="2712" w:type="dxa"/>
            <w:noWrap w:val="0"/>
            <w:vAlign w:val="top"/>
          </w:tcPr>
          <w:p w14:paraId="5899F7C1">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签订地点：</w:t>
            </w:r>
          </w:p>
        </w:tc>
        <w:tc>
          <w:tcPr>
            <w:tcW w:w="4356" w:type="dxa"/>
            <w:noWrap w:val="0"/>
            <w:vAlign w:val="top"/>
          </w:tcPr>
          <w:p w14:paraId="2CBBE471">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bl>
    <w:p w14:paraId="4A404FDB">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b/>
          <w:bCs/>
          <w:sz w:val="32"/>
          <w:szCs w:val="32"/>
        </w:rPr>
        <w:br w:type="page"/>
      </w:r>
    </w:p>
    <w:p w14:paraId="5D0F3E73">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rPr>
        <w:sectPr>
          <w:headerReference r:id="rId3" w:type="default"/>
          <w:pgSz w:w="11906" w:h="16838"/>
          <w:pgMar w:top="1440" w:right="1800" w:bottom="1440" w:left="1800" w:header="851" w:footer="992" w:gutter="0"/>
          <w:cols w:space="720" w:num="1"/>
          <w:docGrid w:type="lines" w:linePitch="312" w:charSpace="0"/>
        </w:sectPr>
      </w:pPr>
    </w:p>
    <w:p w14:paraId="5C475845">
      <w:pPr>
        <w:keepNext w:val="0"/>
        <w:keepLines w:val="0"/>
        <w:pageBreakBefore w:val="0"/>
        <w:widowControl/>
        <w:kinsoku/>
        <w:wordWrap/>
        <w:overflowPunct/>
        <w:topLinePunct w:val="0"/>
        <w:bidi w:val="0"/>
        <w:spacing w:line="360" w:lineRule="auto"/>
        <w:ind w:right="0"/>
        <w:jc w:val="center"/>
        <w:rPr>
          <w:rFonts w:hint="eastAsia" w:ascii="宋体" w:hAnsi="宋体" w:eastAsia="宋体" w:cs="宋体"/>
          <w:b/>
          <w:snapToGrid w:val="0"/>
          <w:kern w:val="0"/>
          <w:sz w:val="32"/>
          <w:szCs w:val="32"/>
        </w:rPr>
      </w:pPr>
      <w:r>
        <w:rPr>
          <w:rFonts w:hint="eastAsia" w:ascii="宋体" w:hAnsi="宋体" w:eastAsia="宋体" w:cs="宋体"/>
          <w:b/>
          <w:snapToGrid w:val="0"/>
          <w:kern w:val="0"/>
          <w:sz w:val="32"/>
          <w:szCs w:val="32"/>
        </w:rPr>
        <w:t>技术服务合同</w:t>
      </w:r>
    </w:p>
    <w:p w14:paraId="79DD2081">
      <w:pPr>
        <w:keepNext w:val="0"/>
        <w:keepLines w:val="0"/>
        <w:pageBreakBefore w:val="0"/>
        <w:widowControl/>
        <w:kinsoku/>
        <w:wordWrap/>
        <w:overflowPunct/>
        <w:topLinePunct w:val="0"/>
        <w:bidi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委托方（甲方）：</w:t>
      </w:r>
      <w:r>
        <w:rPr>
          <w:rFonts w:hint="eastAsia" w:ascii="宋体" w:hAnsi="宋体" w:eastAsia="宋体" w:cs="宋体"/>
          <w:snapToGrid w:val="0"/>
          <w:kern w:val="0"/>
          <w:sz w:val="28"/>
          <w:szCs w:val="28"/>
          <w:u w:val="single"/>
        </w:rPr>
        <w:t xml:space="preserve">               </w:t>
      </w:r>
    </w:p>
    <w:p w14:paraId="5B1A37E1">
      <w:pPr>
        <w:keepNext w:val="0"/>
        <w:keepLines w:val="0"/>
        <w:pageBreakBefore w:val="0"/>
        <w:widowControl/>
        <w:kinsoku/>
        <w:wordWrap/>
        <w:overflowPunct/>
        <w:topLinePunct w:val="0"/>
        <w:bidi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受托方（乙方）：</w:t>
      </w:r>
      <w:r>
        <w:rPr>
          <w:rFonts w:hint="eastAsia" w:ascii="宋体" w:hAnsi="宋体" w:eastAsia="宋体" w:cs="宋体"/>
          <w:snapToGrid w:val="0"/>
          <w:kern w:val="0"/>
          <w:sz w:val="28"/>
          <w:szCs w:val="28"/>
          <w:u w:val="single"/>
        </w:rPr>
        <w:t xml:space="preserve">               </w:t>
      </w:r>
    </w:p>
    <w:p w14:paraId="1C0FA19C">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本合同为甲方委托乙方就</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项目进行的技术服务，并支付相应的技术服务报酬。为明确各自的权利和义务，双方经过平等协商，根据《中华人民共和国</w:t>
      </w:r>
      <w:r>
        <w:rPr>
          <w:rFonts w:hint="eastAsia" w:ascii="宋体" w:hAnsi="宋体" w:cs="宋体"/>
          <w:snapToGrid w:val="0"/>
          <w:kern w:val="0"/>
          <w:sz w:val="28"/>
          <w:szCs w:val="28"/>
          <w:lang w:val="en-US" w:eastAsia="zh-CN"/>
        </w:rPr>
        <w:t>民法典</w:t>
      </w:r>
      <w:r>
        <w:rPr>
          <w:rFonts w:hint="eastAsia" w:ascii="宋体" w:hAnsi="宋体" w:eastAsia="宋体" w:cs="宋体"/>
          <w:snapToGrid w:val="0"/>
          <w:kern w:val="0"/>
          <w:sz w:val="28"/>
          <w:szCs w:val="28"/>
        </w:rPr>
        <w:t>》等有关法律法规的规定，订立本合同。</w:t>
      </w:r>
    </w:p>
    <w:p w14:paraId="56905DA4">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0" w:name="_Toc363053358"/>
      <w:bookmarkStart w:id="1" w:name="_Toc374455082"/>
      <w:r>
        <w:rPr>
          <w:rFonts w:hint="eastAsia" w:ascii="宋体" w:hAnsi="宋体" w:eastAsia="宋体" w:cs="宋体"/>
          <w:snapToGrid w:val="0"/>
          <w:kern w:val="0"/>
          <w:sz w:val="28"/>
          <w:szCs w:val="28"/>
        </w:rPr>
        <w:t>1.服务项目概要</w:t>
      </w:r>
      <w:bookmarkEnd w:id="0"/>
      <w:bookmarkEnd w:id="1"/>
      <w:r>
        <w:rPr>
          <w:rFonts w:hint="eastAsia" w:ascii="宋体" w:hAnsi="宋体" w:eastAsia="宋体" w:cs="宋体"/>
          <w:snapToGrid w:val="0"/>
          <w:kern w:val="0"/>
          <w:sz w:val="28"/>
          <w:szCs w:val="28"/>
        </w:rPr>
        <w:t xml:space="preserve"> </w:t>
      </w:r>
    </w:p>
    <w:p w14:paraId="48D4578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cs="宋体"/>
          <w:snapToGrid w:val="0"/>
          <w:kern w:val="0"/>
          <w:sz w:val="28"/>
          <w:szCs w:val="28"/>
          <w:u w:val="single"/>
          <w:lang w:val="en-US" w:eastAsia="zh-CN"/>
        </w:rPr>
      </w:pPr>
      <w:r>
        <w:rPr>
          <w:rFonts w:hint="eastAsia" w:ascii="宋体" w:hAnsi="宋体" w:cs="宋体"/>
          <w:snapToGrid w:val="0"/>
          <w:kern w:val="0"/>
          <w:sz w:val="28"/>
          <w:szCs w:val="28"/>
          <w:lang w:val="en-US" w:eastAsia="zh-CN"/>
        </w:rPr>
        <w:t>1.1项目概况：</w:t>
      </w:r>
      <w:r>
        <w:rPr>
          <w:rFonts w:hint="eastAsia" w:ascii="宋体" w:hAnsi="宋体" w:cs="宋体"/>
          <w:snapToGrid w:val="0"/>
          <w:kern w:val="0"/>
          <w:sz w:val="28"/>
          <w:szCs w:val="28"/>
          <w:u w:val="single"/>
          <w:lang w:val="en-US" w:eastAsia="zh-CN"/>
        </w:rPr>
        <w:t>陕西周至国家级自然保护区地处秦岭核心地段,是珍稀鸟类迁徙停歇与栖息繁育关键区域,区域内记录鸟类 170余种,现有鸟类资源本底数据90%以上多依托日常巡护零散记录,缺乏系统性样线调查与声景生态连续监测,60%以上密林、夜行性鸟类种群结构、活动规律、受干扰程度底数不清。随着周边人为进山活动、野外噪声持续影响鸟类生境,亟需通过专项鸟类调查和声景监测摸清资源现状,精准掌握栖息地受胁迫因素,为栖息地管护、野生鸟类保育、秦岭生物多样性管控提供科学依据,补齐鸟类监测体系短板。</w:t>
      </w:r>
    </w:p>
    <w:p w14:paraId="694F128B">
      <w:pPr>
        <w:keepNext w:val="0"/>
        <w:keepLines w:val="0"/>
        <w:pageBreakBefore w:val="0"/>
        <w:widowControl/>
        <w:kinsoku/>
        <w:wordWrap/>
        <w:overflowPunct/>
        <w:topLinePunct w:val="0"/>
        <w:bidi w:val="0"/>
        <w:spacing w:line="360" w:lineRule="auto"/>
        <w:ind w:left="0" w:leftChars="0" w:right="0" w:firstLine="560" w:firstLineChars="200"/>
        <w:jc w:val="left"/>
        <w:rPr>
          <w:rFonts w:hint="default" w:ascii="宋体" w:hAnsi="宋体" w:cs="宋体"/>
          <w:snapToGrid w:val="0"/>
          <w:kern w:val="0"/>
          <w:sz w:val="28"/>
          <w:szCs w:val="28"/>
          <w:u w:val="single"/>
          <w:lang w:val="en-US" w:eastAsia="zh-CN"/>
        </w:rPr>
      </w:pPr>
      <w:r>
        <w:rPr>
          <w:rFonts w:hint="eastAsia" w:ascii="宋体" w:hAnsi="宋体" w:cs="宋体"/>
          <w:snapToGrid w:val="0"/>
          <w:kern w:val="0"/>
          <w:sz w:val="28"/>
          <w:szCs w:val="28"/>
          <w:u w:val="single"/>
          <w:lang w:val="en-US" w:eastAsia="zh-CN"/>
        </w:rPr>
        <w:t>当前,保护区的野生动物，特别是鸟类资源的本底数据仍需完善，现阶段鸟类相关监测均在开展其他野生动植物监测工作中同步顺带完成，未针对鸟类调查布设样线，基于实际需求及政策趋势，开展野生鸟类调查及声景生态监测，通过布设鸟类监测样线、引入被动声学监测等自动化、智能化技术，实现对鸟类多样性、种群动态及声景环境的全天候、无干扰精准监测，为科学评估保护成效、制定针对性管理策略提供不可或缺的数据支撑。</w:t>
      </w:r>
    </w:p>
    <w:p w14:paraId="0F7DACF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cs="宋体"/>
          <w:snapToGrid w:val="0"/>
          <w:kern w:val="0"/>
          <w:sz w:val="28"/>
          <w:szCs w:val="28"/>
          <w:lang w:val="en-US" w:eastAsia="zh-CN"/>
        </w:rPr>
        <w:t>1.2</w:t>
      </w:r>
      <w:r>
        <w:rPr>
          <w:rFonts w:hint="eastAsia" w:ascii="宋体" w:hAnsi="宋体" w:eastAsia="宋体" w:cs="宋体"/>
          <w:snapToGrid w:val="0"/>
          <w:kern w:val="0"/>
          <w:sz w:val="28"/>
          <w:szCs w:val="28"/>
        </w:rPr>
        <w:t>服务的内容：</w:t>
      </w:r>
      <w:r>
        <w:rPr>
          <w:rFonts w:hint="eastAsia" w:ascii="宋体" w:hAnsi="宋体" w:eastAsia="宋体" w:cs="宋体"/>
          <w:snapToGrid w:val="0"/>
          <w:kern w:val="0"/>
          <w:sz w:val="28"/>
          <w:szCs w:val="28"/>
          <w:u w:val="single"/>
        </w:rPr>
        <w:t>野生鸟类调查及声景生态监测：1</w:t>
      </w:r>
      <w:r>
        <w:rPr>
          <w:rFonts w:hint="eastAsia" w:ascii="宋体" w:hAnsi="宋体" w:cs="宋体"/>
          <w:snapToGrid w:val="0"/>
          <w:kern w:val="0"/>
          <w:sz w:val="28"/>
          <w:szCs w:val="28"/>
          <w:u w:val="single"/>
          <w:lang w:eastAsia="zh-CN"/>
        </w:rPr>
        <w:t>）</w:t>
      </w:r>
      <w:r>
        <w:rPr>
          <w:rFonts w:hint="eastAsia" w:ascii="宋体" w:hAnsi="宋体" w:eastAsia="宋体" w:cs="宋体"/>
          <w:snapToGrid w:val="0"/>
          <w:kern w:val="0"/>
          <w:sz w:val="28"/>
          <w:szCs w:val="28"/>
          <w:u w:val="single"/>
        </w:rPr>
        <w:t>样线监测调查54条；2</w:t>
      </w:r>
      <w:r>
        <w:rPr>
          <w:rFonts w:hint="eastAsia" w:ascii="宋体" w:hAnsi="宋体" w:cs="宋体"/>
          <w:snapToGrid w:val="0"/>
          <w:kern w:val="0"/>
          <w:sz w:val="28"/>
          <w:szCs w:val="28"/>
          <w:u w:val="single"/>
          <w:lang w:eastAsia="zh-CN"/>
        </w:rPr>
        <w:t>）</w:t>
      </w:r>
      <w:r>
        <w:rPr>
          <w:rFonts w:hint="eastAsia" w:ascii="宋体" w:hAnsi="宋体" w:eastAsia="宋体" w:cs="宋体"/>
          <w:snapToGrid w:val="0"/>
          <w:kern w:val="0"/>
          <w:sz w:val="28"/>
          <w:szCs w:val="28"/>
          <w:u w:val="single"/>
        </w:rPr>
        <w:t>调查成果报告编制1篇；3、鸟类图鉴等成果资料300份。</w:t>
      </w:r>
      <w:r>
        <w:rPr>
          <w:rFonts w:hint="eastAsia" w:ascii="宋体" w:hAnsi="宋体" w:eastAsia="宋体" w:cs="宋体"/>
          <w:snapToGrid w:val="0"/>
          <w:kern w:val="0"/>
          <w:sz w:val="28"/>
          <w:szCs w:val="28"/>
        </w:rPr>
        <w:t>。</w:t>
      </w:r>
    </w:p>
    <w:p w14:paraId="2DCC0928">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default" w:ascii="宋体" w:hAnsi="宋体" w:eastAsia="宋体" w:cs="宋体"/>
          <w:snapToGrid w:val="0"/>
          <w:kern w:val="0"/>
          <w:sz w:val="28"/>
          <w:szCs w:val="28"/>
          <w:lang w:val="en-US" w:eastAsia="zh-CN"/>
        </w:rPr>
      </w:pPr>
      <w:bookmarkStart w:id="2" w:name="_Toc363053359"/>
      <w:bookmarkStart w:id="3" w:name="_Toc374455083"/>
      <w:r>
        <w:rPr>
          <w:rFonts w:hint="eastAsia" w:ascii="宋体" w:hAnsi="宋体" w:eastAsia="宋体" w:cs="宋体"/>
          <w:snapToGrid w:val="0"/>
          <w:kern w:val="0"/>
          <w:sz w:val="28"/>
          <w:szCs w:val="28"/>
        </w:rPr>
        <w:t>2.调查及监测目标</w:t>
      </w:r>
      <w:r>
        <w:rPr>
          <w:rFonts w:hint="eastAsia" w:ascii="宋体" w:hAnsi="宋体" w:cs="宋体"/>
          <w:snapToGrid w:val="0"/>
          <w:kern w:val="0"/>
          <w:sz w:val="28"/>
          <w:szCs w:val="28"/>
          <w:lang w:eastAsia="zh-CN"/>
        </w:rPr>
        <w:t>、</w:t>
      </w:r>
      <w:r>
        <w:rPr>
          <w:rFonts w:hint="eastAsia" w:ascii="宋体" w:hAnsi="宋体" w:cs="宋体"/>
          <w:snapToGrid w:val="0"/>
          <w:kern w:val="0"/>
          <w:sz w:val="28"/>
          <w:szCs w:val="28"/>
          <w:lang w:val="en-US" w:eastAsia="zh-CN"/>
        </w:rPr>
        <w:t>调查内容</w:t>
      </w:r>
    </w:p>
    <w:p w14:paraId="5870D3A8">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u w:val="single"/>
        </w:rPr>
      </w:pPr>
      <w:r>
        <w:rPr>
          <w:rFonts w:hint="eastAsia" w:ascii="宋体" w:hAnsi="宋体" w:cs="宋体"/>
          <w:snapToGrid w:val="0"/>
          <w:kern w:val="0"/>
          <w:sz w:val="28"/>
          <w:szCs w:val="28"/>
          <w:u w:val="none"/>
          <w:lang w:val="en-US" w:eastAsia="zh-CN"/>
        </w:rPr>
        <w:t>2.1</w:t>
      </w:r>
      <w:r>
        <w:rPr>
          <w:rFonts w:hint="eastAsia" w:ascii="宋体" w:hAnsi="宋体" w:eastAsia="宋体" w:cs="宋体"/>
          <w:snapToGrid w:val="0"/>
          <w:kern w:val="0"/>
          <w:sz w:val="28"/>
          <w:szCs w:val="28"/>
        </w:rPr>
        <w:t>调查及监测目标</w:t>
      </w:r>
      <w:r>
        <w:rPr>
          <w:rFonts w:hint="eastAsia" w:ascii="宋体" w:hAnsi="宋体" w:cs="宋体"/>
          <w:snapToGrid w:val="0"/>
          <w:kern w:val="0"/>
          <w:sz w:val="28"/>
          <w:szCs w:val="28"/>
          <w:lang w:eastAsia="zh-CN"/>
        </w:rPr>
        <w:t>：</w:t>
      </w:r>
      <w:r>
        <w:rPr>
          <w:rFonts w:hint="eastAsia" w:ascii="宋体" w:hAnsi="宋体" w:eastAsia="宋体" w:cs="宋体"/>
          <w:snapToGrid w:val="0"/>
          <w:kern w:val="0"/>
          <w:sz w:val="28"/>
          <w:szCs w:val="28"/>
          <w:u w:val="single"/>
        </w:rPr>
        <w:t>建立和更新保护区鸟类物种名录，更新本底数据；掌握鸟类种群数量、空间分布及群落结构特征；监测鸟类种群繁殖与迁徙的动态变化；评估鸟类栖息地状况及主要受威胁因素；建立保护区鸟类声纹数据库；获取鸟类物种组成及活动的节律信息；评估不同海拔梯度鸟类群落声景变化特征；探索声景生态指标在生物多样性监测中的应用价值。识别保护空缺，为保护区鸟类资源保护与管理提供科学依据。</w:t>
      </w:r>
    </w:p>
    <w:p w14:paraId="4AB9D7D0">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cs="宋体"/>
          <w:snapToGrid w:val="0"/>
          <w:kern w:val="0"/>
          <w:sz w:val="28"/>
          <w:szCs w:val="28"/>
          <w:u w:val="single"/>
          <w:lang w:val="en-US" w:eastAsia="zh-CN"/>
        </w:rPr>
      </w:pPr>
      <w:r>
        <w:rPr>
          <w:rFonts w:hint="eastAsia" w:ascii="宋体" w:hAnsi="宋体" w:cs="宋体"/>
          <w:snapToGrid w:val="0"/>
          <w:kern w:val="0"/>
          <w:sz w:val="28"/>
          <w:szCs w:val="28"/>
          <w:lang w:val="en-US" w:eastAsia="zh-CN"/>
        </w:rPr>
        <w:t>2.2调查内容：</w:t>
      </w:r>
      <w:r>
        <w:rPr>
          <w:rFonts w:hint="eastAsia" w:ascii="宋体" w:hAnsi="宋体" w:cs="宋体"/>
          <w:snapToGrid w:val="0"/>
          <w:kern w:val="0"/>
          <w:sz w:val="28"/>
          <w:szCs w:val="28"/>
          <w:u w:val="single"/>
          <w:lang w:val="en-US" w:eastAsia="zh-CN"/>
        </w:rPr>
        <w:t>1）鸟类物种多样性调查：调查记录保护区内鸟类的种类、数量、分布及居留型（留鸟、夏候鸟、冬候鸟、旅鸟），建立完整的鸟类物种名录。重点关注繁殖鸟类与迁徙候鸟，了解其繁殖与迁徙特征；2）种群数量与分布调查：采用标准化方法估算主要鸟类种群数量，绘制鸟类分布位点图，分析不同海拔梯度和生境梯度条件下的鸟类分布特征；3）栖息地调查：调查鸟类栖息地的植被类型、海拔、坡向、水源等生境特征，评估栖息地质量与受干扰程度；4）受威胁因素调查：记录人类活动（旅游、放牧、采集等）对鸟类及其栖息地的影响，分析主要受威胁因素。</w:t>
      </w:r>
    </w:p>
    <w:p w14:paraId="7E1ED1A2">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u w:val="single"/>
        </w:rPr>
      </w:pPr>
      <w:r>
        <w:rPr>
          <w:rFonts w:hint="eastAsia" w:ascii="宋体" w:hAnsi="宋体" w:cs="宋体"/>
          <w:snapToGrid w:val="0"/>
          <w:kern w:val="0"/>
          <w:sz w:val="28"/>
          <w:szCs w:val="28"/>
          <w:lang w:val="en-US" w:eastAsia="zh-CN"/>
        </w:rPr>
        <w:t>2.3调查对象：</w:t>
      </w:r>
      <w:r>
        <w:rPr>
          <w:rFonts w:hint="eastAsia" w:ascii="宋体" w:hAnsi="宋体" w:cs="宋体"/>
          <w:snapToGrid w:val="0"/>
          <w:kern w:val="0"/>
          <w:sz w:val="28"/>
          <w:szCs w:val="28"/>
          <w:u w:val="single"/>
          <w:lang w:val="en-US" w:eastAsia="zh-CN"/>
        </w:rPr>
        <w:t>为周至自然保护区全域范围内所有野生鸟类资源，围绕种群结构、鸟类多样性、珍稀濒危特有鸟类资源、栖息生境状况、迁徙活动规律五大核心维度开展系统性、全方位调查，全面掌握区域鸟类资源现状与动态特征。</w:t>
      </w:r>
    </w:p>
    <w:p w14:paraId="276A057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r>
        <w:rPr>
          <w:rFonts w:hint="eastAsia" w:ascii="宋体" w:hAnsi="宋体" w:cs="宋体"/>
          <w:snapToGrid w:val="0"/>
          <w:kern w:val="0"/>
          <w:sz w:val="28"/>
          <w:szCs w:val="28"/>
          <w:lang w:val="en-US" w:eastAsia="zh-CN"/>
        </w:rPr>
        <w:t>3.</w:t>
      </w:r>
      <w:r>
        <w:rPr>
          <w:rFonts w:hint="eastAsia" w:ascii="宋体" w:hAnsi="宋体" w:eastAsia="宋体" w:cs="宋体"/>
          <w:snapToGrid w:val="0"/>
          <w:kern w:val="0"/>
          <w:sz w:val="28"/>
          <w:szCs w:val="28"/>
        </w:rPr>
        <w:t>服务具体要求</w:t>
      </w:r>
      <w:bookmarkEnd w:id="2"/>
      <w:bookmarkEnd w:id="3"/>
    </w:p>
    <w:p w14:paraId="01B0A42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cs="宋体"/>
          <w:snapToGrid w:val="0"/>
          <w:kern w:val="0"/>
          <w:sz w:val="28"/>
          <w:szCs w:val="28"/>
          <w:u w:val="single"/>
          <w:lang w:val="en-US" w:eastAsia="zh-CN"/>
        </w:rPr>
      </w:pPr>
      <w:r>
        <w:rPr>
          <w:rFonts w:hint="eastAsia" w:ascii="宋体" w:hAnsi="宋体" w:cs="宋体"/>
          <w:snapToGrid w:val="0"/>
          <w:kern w:val="0"/>
          <w:sz w:val="28"/>
          <w:szCs w:val="28"/>
          <w:lang w:val="en-US" w:eastAsia="zh-CN"/>
        </w:rPr>
        <w:t>3</w:t>
      </w:r>
      <w:r>
        <w:rPr>
          <w:rFonts w:hint="eastAsia" w:ascii="宋体" w:hAnsi="宋体" w:eastAsia="宋体" w:cs="宋体"/>
          <w:snapToGrid w:val="0"/>
          <w:kern w:val="0"/>
          <w:sz w:val="28"/>
          <w:szCs w:val="28"/>
        </w:rPr>
        <w:t>.1</w:t>
      </w:r>
      <w:r>
        <w:rPr>
          <w:rFonts w:hint="eastAsia" w:ascii="宋体" w:hAnsi="宋体" w:cs="宋体"/>
          <w:snapToGrid w:val="0"/>
          <w:kern w:val="0"/>
          <w:sz w:val="28"/>
          <w:szCs w:val="28"/>
          <w:lang w:val="en-US" w:eastAsia="zh-CN"/>
        </w:rPr>
        <w:t>服务要求：</w:t>
      </w:r>
      <w:r>
        <w:rPr>
          <w:rFonts w:hint="eastAsia" w:ascii="宋体" w:hAnsi="宋体" w:cs="宋体"/>
          <w:snapToGrid w:val="0"/>
          <w:kern w:val="0"/>
          <w:sz w:val="28"/>
          <w:szCs w:val="28"/>
          <w:u w:val="single"/>
          <w:lang w:val="en-US" w:eastAsia="zh-CN"/>
        </w:rPr>
        <w:t>（一）需满足国家相关标准、行业标准、地方标准或者其他标准规范；符合相关质量验收合格标准。</w:t>
      </w:r>
    </w:p>
    <w:p w14:paraId="0EC404A0">
      <w:pPr>
        <w:keepNext w:val="0"/>
        <w:keepLines w:val="0"/>
        <w:pageBreakBefore w:val="0"/>
        <w:widowControl/>
        <w:kinsoku/>
        <w:wordWrap/>
        <w:overflowPunct/>
        <w:topLinePunct w:val="0"/>
        <w:bidi w:val="0"/>
        <w:spacing w:line="360" w:lineRule="auto"/>
        <w:ind w:left="0" w:leftChars="0" w:right="0" w:firstLine="560" w:firstLineChars="200"/>
        <w:jc w:val="left"/>
        <w:rPr>
          <w:rFonts w:hint="default" w:ascii="宋体" w:hAnsi="宋体" w:eastAsia="宋体" w:cs="宋体"/>
          <w:snapToGrid w:val="0"/>
          <w:kern w:val="0"/>
          <w:sz w:val="28"/>
          <w:szCs w:val="28"/>
          <w:u w:val="single"/>
          <w:lang w:val="en-US" w:eastAsia="zh-CN"/>
        </w:rPr>
      </w:pPr>
      <w:r>
        <w:rPr>
          <w:rFonts w:hint="eastAsia" w:ascii="宋体" w:hAnsi="宋体" w:cs="宋体"/>
          <w:snapToGrid w:val="0"/>
          <w:kern w:val="0"/>
          <w:sz w:val="28"/>
          <w:szCs w:val="28"/>
          <w:u w:val="single"/>
          <w:lang w:val="en-US" w:eastAsia="zh-CN"/>
        </w:rPr>
        <w:t>（二）项目进行期间，按照服务任务及委托要求，按期完成阶段性计划，并及时上报工作开展执行情况，提交相关成果（具体见《成果提交单》）。</w:t>
      </w:r>
    </w:p>
    <w:p w14:paraId="646A5F9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cs="宋体"/>
          <w:snapToGrid w:val="0"/>
          <w:kern w:val="0"/>
          <w:sz w:val="28"/>
          <w:szCs w:val="28"/>
          <w:lang w:val="en-US" w:eastAsia="zh-CN"/>
        </w:rPr>
        <w:t>3</w:t>
      </w:r>
      <w:r>
        <w:rPr>
          <w:rFonts w:hint="eastAsia" w:ascii="宋体" w:hAnsi="宋体" w:eastAsia="宋体" w:cs="宋体"/>
          <w:snapToGrid w:val="0"/>
          <w:kern w:val="0"/>
          <w:sz w:val="28"/>
          <w:szCs w:val="28"/>
        </w:rPr>
        <w:t>.</w:t>
      </w:r>
      <w:r>
        <w:rPr>
          <w:rFonts w:hint="eastAsia" w:ascii="宋体" w:hAnsi="宋体" w:cs="宋体"/>
          <w:snapToGrid w:val="0"/>
          <w:kern w:val="0"/>
          <w:sz w:val="28"/>
          <w:szCs w:val="28"/>
          <w:lang w:val="en-US" w:eastAsia="zh-CN"/>
        </w:rPr>
        <w:t>2</w:t>
      </w:r>
      <w:r>
        <w:rPr>
          <w:rFonts w:hint="eastAsia" w:ascii="宋体" w:hAnsi="宋体" w:eastAsia="宋体" w:cs="宋体"/>
          <w:snapToGrid w:val="0"/>
          <w:kern w:val="0"/>
          <w:sz w:val="28"/>
          <w:szCs w:val="28"/>
        </w:rPr>
        <w:t>服务期限：</w:t>
      </w:r>
      <w:r>
        <w:rPr>
          <w:rFonts w:hint="eastAsia" w:ascii="宋体" w:hAnsi="宋体" w:eastAsia="宋体" w:cs="宋体"/>
          <w:snapToGrid w:val="0"/>
          <w:kern w:val="0"/>
          <w:sz w:val="28"/>
          <w:szCs w:val="28"/>
          <w:u w:val="single"/>
        </w:rPr>
        <w:t>自合同签订之日至2027年10月30日。</w:t>
      </w:r>
    </w:p>
    <w:p w14:paraId="56C0BDF6">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cs="宋体"/>
          <w:snapToGrid w:val="0"/>
          <w:kern w:val="0"/>
          <w:sz w:val="28"/>
          <w:szCs w:val="28"/>
          <w:lang w:val="en-US" w:eastAsia="zh-CN"/>
        </w:rPr>
      </w:pPr>
      <w:bookmarkStart w:id="4" w:name="_Toc374455085"/>
      <w:bookmarkStart w:id="5" w:name="_Toc363053361"/>
      <w:r>
        <w:rPr>
          <w:rFonts w:hint="eastAsia" w:ascii="宋体" w:hAnsi="宋体" w:cs="宋体"/>
          <w:snapToGrid w:val="0"/>
          <w:kern w:val="0"/>
          <w:sz w:val="28"/>
          <w:szCs w:val="28"/>
          <w:lang w:val="en-US" w:eastAsia="zh-CN"/>
        </w:rPr>
        <w:t>3.3成果提交清单：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5865"/>
        <w:gridCol w:w="1801"/>
      </w:tblGrid>
      <w:tr w14:paraId="658F3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856" w:type="dxa"/>
            <w:noWrap w:val="0"/>
            <w:vAlign w:val="center"/>
          </w:tcPr>
          <w:p w14:paraId="20761E0C">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b/>
                <w:bCs/>
                <w:i w:val="0"/>
                <w:iCs w:val="0"/>
                <w:snapToGrid w:val="0"/>
                <w:color w:val="auto"/>
                <w:kern w:val="0"/>
                <w:sz w:val="20"/>
                <w:szCs w:val="20"/>
                <w:highlight w:val="none"/>
                <w:u w:val="none"/>
                <w:lang w:val="en-US" w:eastAsia="zh-CN" w:bidi="ar"/>
              </w:rPr>
            </w:pPr>
            <w:r>
              <w:rPr>
                <w:rFonts w:hint="eastAsia" w:ascii="仿宋" w:hAnsi="仿宋" w:eastAsia="仿宋" w:cs="仿宋"/>
                <w:b/>
                <w:bCs/>
                <w:i w:val="0"/>
                <w:iCs w:val="0"/>
                <w:snapToGrid w:val="0"/>
                <w:color w:val="auto"/>
                <w:kern w:val="0"/>
                <w:sz w:val="20"/>
                <w:szCs w:val="20"/>
                <w:highlight w:val="none"/>
                <w:u w:val="none"/>
                <w:lang w:val="en-US" w:eastAsia="zh-CN" w:bidi="ar"/>
              </w:rPr>
              <w:t>序号</w:t>
            </w:r>
          </w:p>
        </w:tc>
        <w:tc>
          <w:tcPr>
            <w:tcW w:w="5865" w:type="dxa"/>
            <w:noWrap w:val="0"/>
            <w:vAlign w:val="center"/>
          </w:tcPr>
          <w:p w14:paraId="1B308CF1">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b/>
                <w:bCs/>
                <w:i w:val="0"/>
                <w:iCs w:val="0"/>
                <w:snapToGrid w:val="0"/>
                <w:color w:val="auto"/>
                <w:kern w:val="0"/>
                <w:sz w:val="20"/>
                <w:szCs w:val="20"/>
                <w:highlight w:val="none"/>
                <w:u w:val="none"/>
                <w:lang w:val="en-US" w:eastAsia="zh-CN" w:bidi="ar"/>
              </w:rPr>
            </w:pPr>
            <w:r>
              <w:rPr>
                <w:rFonts w:hint="eastAsia" w:ascii="仿宋" w:hAnsi="仿宋" w:eastAsia="仿宋" w:cs="仿宋"/>
                <w:b/>
                <w:bCs/>
                <w:i w:val="0"/>
                <w:iCs w:val="0"/>
                <w:snapToGrid w:val="0"/>
                <w:color w:val="auto"/>
                <w:kern w:val="0"/>
                <w:sz w:val="20"/>
                <w:szCs w:val="20"/>
                <w:highlight w:val="none"/>
                <w:u w:val="none"/>
                <w:lang w:val="en-US" w:eastAsia="zh-CN" w:bidi="ar"/>
              </w:rPr>
              <w:t>成果名称</w:t>
            </w:r>
          </w:p>
        </w:tc>
        <w:tc>
          <w:tcPr>
            <w:tcW w:w="1801" w:type="dxa"/>
            <w:noWrap w:val="0"/>
            <w:vAlign w:val="center"/>
          </w:tcPr>
          <w:p w14:paraId="45E44E55">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b/>
                <w:bCs/>
                <w:i w:val="0"/>
                <w:iCs w:val="0"/>
                <w:snapToGrid w:val="0"/>
                <w:color w:val="auto"/>
                <w:kern w:val="0"/>
                <w:sz w:val="20"/>
                <w:szCs w:val="20"/>
                <w:highlight w:val="none"/>
                <w:u w:val="none"/>
                <w:lang w:val="en-US" w:eastAsia="zh-CN" w:bidi="ar"/>
              </w:rPr>
            </w:pPr>
            <w:r>
              <w:rPr>
                <w:rFonts w:hint="eastAsia" w:ascii="仿宋" w:hAnsi="仿宋" w:eastAsia="仿宋" w:cs="仿宋"/>
                <w:b/>
                <w:bCs/>
                <w:i w:val="0"/>
                <w:iCs w:val="0"/>
                <w:snapToGrid w:val="0"/>
                <w:color w:val="auto"/>
                <w:kern w:val="0"/>
                <w:sz w:val="20"/>
                <w:szCs w:val="20"/>
                <w:highlight w:val="none"/>
                <w:u w:val="none"/>
                <w:lang w:val="en-US" w:eastAsia="zh-CN" w:bidi="ar"/>
              </w:rPr>
              <w:t>形式</w:t>
            </w:r>
          </w:p>
        </w:tc>
      </w:tr>
      <w:tr w14:paraId="7CB3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6" w:type="dxa"/>
            <w:noWrap w:val="0"/>
            <w:vAlign w:val="center"/>
          </w:tcPr>
          <w:p w14:paraId="4F4BEFF4">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1</w:t>
            </w:r>
          </w:p>
        </w:tc>
        <w:tc>
          <w:tcPr>
            <w:tcW w:w="5865" w:type="dxa"/>
            <w:noWrap w:val="0"/>
            <w:vAlign w:val="center"/>
          </w:tcPr>
          <w:p w14:paraId="5525BF42">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《陕西周至国家级自然保护区鸟类多样性调查报告》</w:t>
            </w:r>
          </w:p>
        </w:tc>
        <w:tc>
          <w:tcPr>
            <w:tcW w:w="1801" w:type="dxa"/>
            <w:noWrap w:val="0"/>
            <w:vAlign w:val="center"/>
          </w:tcPr>
          <w:p w14:paraId="18AAD6BC">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纸质+电子</w:t>
            </w:r>
          </w:p>
        </w:tc>
      </w:tr>
      <w:tr w14:paraId="056A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6" w:type="dxa"/>
            <w:noWrap w:val="0"/>
            <w:vAlign w:val="center"/>
          </w:tcPr>
          <w:p w14:paraId="0D3F6516">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2</w:t>
            </w:r>
          </w:p>
        </w:tc>
        <w:tc>
          <w:tcPr>
            <w:tcW w:w="5865" w:type="dxa"/>
            <w:noWrap w:val="0"/>
            <w:vAlign w:val="center"/>
          </w:tcPr>
          <w:p w14:paraId="21AE62C3">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《陕西周至国家级自然保护区鸟类图鉴》（带正式书号，精装12开本彩印）</w:t>
            </w:r>
          </w:p>
        </w:tc>
        <w:tc>
          <w:tcPr>
            <w:tcW w:w="1801" w:type="dxa"/>
            <w:noWrap w:val="0"/>
            <w:vAlign w:val="center"/>
          </w:tcPr>
          <w:p w14:paraId="58082C25">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纸质+电子</w:t>
            </w:r>
          </w:p>
        </w:tc>
      </w:tr>
      <w:tr w14:paraId="6D92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6" w:type="dxa"/>
            <w:noWrap w:val="0"/>
            <w:vAlign w:val="center"/>
          </w:tcPr>
          <w:p w14:paraId="74196B6D">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3</w:t>
            </w:r>
          </w:p>
        </w:tc>
        <w:tc>
          <w:tcPr>
            <w:tcW w:w="5865" w:type="dxa"/>
            <w:noWrap w:val="0"/>
            <w:vAlign w:val="center"/>
          </w:tcPr>
          <w:p w14:paraId="6BA3E807">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鸟类物种名录（更新版）</w:t>
            </w:r>
          </w:p>
        </w:tc>
        <w:tc>
          <w:tcPr>
            <w:tcW w:w="1801" w:type="dxa"/>
            <w:noWrap w:val="0"/>
            <w:vAlign w:val="center"/>
          </w:tcPr>
          <w:p w14:paraId="7377BD9E">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电子</w:t>
            </w:r>
          </w:p>
        </w:tc>
      </w:tr>
      <w:tr w14:paraId="638A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6" w:type="dxa"/>
            <w:noWrap w:val="0"/>
            <w:vAlign w:val="center"/>
          </w:tcPr>
          <w:p w14:paraId="7EB8D129">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4</w:t>
            </w:r>
          </w:p>
        </w:tc>
        <w:tc>
          <w:tcPr>
            <w:tcW w:w="5865" w:type="dxa"/>
            <w:noWrap w:val="0"/>
            <w:vAlign w:val="center"/>
          </w:tcPr>
          <w:p w14:paraId="3E67E9E5">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鸟类分布位点图与调查样线图（GIS）</w:t>
            </w:r>
          </w:p>
        </w:tc>
        <w:tc>
          <w:tcPr>
            <w:tcW w:w="1801" w:type="dxa"/>
            <w:noWrap w:val="0"/>
            <w:vAlign w:val="center"/>
          </w:tcPr>
          <w:p w14:paraId="74943005">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电子</w:t>
            </w:r>
          </w:p>
        </w:tc>
      </w:tr>
      <w:tr w14:paraId="78DA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6" w:type="dxa"/>
            <w:noWrap w:val="0"/>
            <w:vAlign w:val="center"/>
          </w:tcPr>
          <w:p w14:paraId="6DB331D8">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5</w:t>
            </w:r>
          </w:p>
        </w:tc>
        <w:tc>
          <w:tcPr>
            <w:tcW w:w="5865" w:type="dxa"/>
            <w:noWrap w:val="0"/>
            <w:vAlign w:val="center"/>
          </w:tcPr>
          <w:p w14:paraId="24E37F44">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鸟类影像资料库（照片+视频+音频）</w:t>
            </w:r>
          </w:p>
        </w:tc>
        <w:tc>
          <w:tcPr>
            <w:tcW w:w="1801" w:type="dxa"/>
            <w:noWrap w:val="0"/>
            <w:vAlign w:val="center"/>
          </w:tcPr>
          <w:p w14:paraId="0591320E">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电子</w:t>
            </w:r>
          </w:p>
        </w:tc>
      </w:tr>
      <w:tr w14:paraId="634A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6" w:type="dxa"/>
            <w:noWrap w:val="0"/>
            <w:vAlign w:val="center"/>
          </w:tcPr>
          <w:p w14:paraId="5F3E4558">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6</w:t>
            </w:r>
          </w:p>
        </w:tc>
        <w:tc>
          <w:tcPr>
            <w:tcW w:w="5865" w:type="dxa"/>
            <w:noWrap w:val="0"/>
            <w:vAlign w:val="center"/>
          </w:tcPr>
          <w:p w14:paraId="792003B7">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原始调查数据（记录表+红外相机数据+声纹数据）</w:t>
            </w:r>
          </w:p>
        </w:tc>
        <w:tc>
          <w:tcPr>
            <w:tcW w:w="1801" w:type="dxa"/>
            <w:noWrap w:val="0"/>
            <w:vAlign w:val="center"/>
          </w:tcPr>
          <w:p w14:paraId="33A0559E">
            <w:pPr>
              <w:keepNext w:val="0"/>
              <w:keepLines w:val="0"/>
              <w:pageBreakBefore w:val="0"/>
              <w:widowControl w:val="0"/>
              <w:kinsoku/>
              <w:wordWrap/>
              <w:overflowPunct/>
              <w:topLinePunct w:val="0"/>
              <w:autoSpaceDE/>
              <w:autoSpaceDN/>
              <w:bidi w:val="0"/>
              <w:adjustRightInd w:val="0"/>
              <w:snapToGrid w:val="0"/>
              <w:spacing w:line="340" w:lineRule="exact"/>
              <w:jc w:val="both"/>
              <w:textAlignment w:val="auto"/>
              <w:rPr>
                <w:rFonts w:hint="eastAsia" w:ascii="仿宋" w:hAnsi="仿宋" w:eastAsia="仿宋" w:cs="仿宋"/>
                <w:i w:val="0"/>
                <w:iCs w:val="0"/>
                <w:snapToGrid w:val="0"/>
                <w:color w:val="auto"/>
                <w:kern w:val="0"/>
                <w:sz w:val="20"/>
                <w:szCs w:val="20"/>
                <w:highlight w:val="none"/>
                <w:u w:val="none"/>
                <w:lang w:val="en-US" w:eastAsia="zh-CN" w:bidi="ar"/>
              </w:rPr>
            </w:pPr>
            <w:r>
              <w:rPr>
                <w:rFonts w:hint="eastAsia" w:ascii="仿宋" w:hAnsi="仿宋" w:eastAsia="仿宋" w:cs="仿宋"/>
                <w:i w:val="0"/>
                <w:iCs w:val="0"/>
                <w:snapToGrid w:val="0"/>
                <w:color w:val="auto"/>
                <w:kern w:val="0"/>
                <w:sz w:val="20"/>
                <w:szCs w:val="20"/>
                <w:highlight w:val="none"/>
                <w:u w:val="none"/>
                <w:lang w:val="en-US" w:eastAsia="zh-CN" w:bidi="ar"/>
              </w:rPr>
              <w:t>纸质+电子</w:t>
            </w:r>
          </w:p>
        </w:tc>
      </w:tr>
    </w:tbl>
    <w:p w14:paraId="4700B086">
      <w:pPr>
        <w:keepNext w:val="0"/>
        <w:keepLines w:val="0"/>
        <w:pageBreakBefore w:val="0"/>
        <w:widowControl/>
        <w:kinsoku/>
        <w:wordWrap/>
        <w:overflowPunct/>
        <w:topLinePunct w:val="0"/>
        <w:bidi w:val="0"/>
        <w:spacing w:line="360" w:lineRule="auto"/>
        <w:ind w:right="0" w:firstLine="560" w:firstLineChars="200"/>
        <w:jc w:val="left"/>
        <w:outlineLvl w:val="1"/>
        <w:rPr>
          <w:rFonts w:hint="eastAsia" w:ascii="宋体" w:hAnsi="宋体" w:eastAsia="宋体" w:cs="宋体"/>
          <w:snapToGrid w:val="0"/>
          <w:kern w:val="0"/>
          <w:sz w:val="28"/>
          <w:szCs w:val="28"/>
        </w:rPr>
      </w:pPr>
      <w:bookmarkStart w:id="30" w:name="_GoBack"/>
      <w:bookmarkEnd w:id="30"/>
      <w:r>
        <w:rPr>
          <w:rFonts w:hint="eastAsia" w:ascii="宋体" w:hAnsi="宋体" w:eastAsia="宋体" w:cs="宋体"/>
          <w:snapToGrid w:val="0"/>
          <w:kern w:val="0"/>
          <w:sz w:val="28"/>
          <w:szCs w:val="28"/>
        </w:rPr>
        <w:t>4.组织与管理</w:t>
      </w:r>
      <w:bookmarkEnd w:id="4"/>
      <w:bookmarkEnd w:id="5"/>
    </w:p>
    <w:p w14:paraId="743B353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4.1在本合同有效期内，乙方应派出专业技术人员为甲方提供技术服务。技术服务人员名单见附件《技术服务人员表》。</w:t>
      </w:r>
    </w:p>
    <w:p w14:paraId="4AD09CE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4.2本合同双方分别指定项目负责人如下：</w:t>
      </w:r>
    </w:p>
    <w:p w14:paraId="29ECBEF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（1）甲方负责人：</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，电话：</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6EF1A7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（2）乙方负责人：</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，电话：</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F986833">
      <w:pPr>
        <w:keepNext w:val="0"/>
        <w:keepLines w:val="0"/>
        <w:pageBreakBefore w:val="0"/>
        <w:widowControl/>
        <w:kinsoku/>
        <w:wordWrap/>
        <w:overflowPunct/>
        <w:topLinePunct w:val="0"/>
        <w:bidi w:val="0"/>
        <w:spacing w:line="360" w:lineRule="auto"/>
        <w:ind w:left="0" w:leftChars="0" w:right="0" w:firstLine="700" w:firstLineChars="2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项目负责人的主要职责为：</w:t>
      </w:r>
    </w:p>
    <w:p w14:paraId="389FB84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（1）牵头组织本方技术服务工作；</w:t>
      </w:r>
    </w:p>
    <w:p w14:paraId="0BCE6A1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（2）负责组织协调合同的签订、履行；</w:t>
      </w:r>
    </w:p>
    <w:p w14:paraId="0134436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（3）负责跟踪或报告技术服务工作进展和成果；</w:t>
      </w:r>
    </w:p>
    <w:p w14:paraId="591AB3B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（4）负责与另一方的沟通协调、信息传递等工作，为技术服务工作提供便利条件。</w:t>
      </w:r>
    </w:p>
    <w:p w14:paraId="5EA67EA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4.3人员更换</w:t>
      </w:r>
    </w:p>
    <w:p w14:paraId="738D426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4.3.1一方变更项目负责人的，应当及时以书面形式通知另一方。</w:t>
      </w:r>
    </w:p>
    <w:p w14:paraId="5628E03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4.3.2乙方更换其项目负责人与其他技术服务人员，须征得甲方书面同意。</w:t>
      </w:r>
    </w:p>
    <w:p w14:paraId="31FBC75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4.3.3甲方认为乙方工作人员不能胜任项目工作或玩忽职守的，有权要求乙方立即更换。上述被更换的人员无甲方另行批准不得重新参加本项目技术服务工作。</w:t>
      </w:r>
    </w:p>
    <w:p w14:paraId="0AD34378">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6" w:name="_Toc374455086"/>
      <w:bookmarkStart w:id="7" w:name="_Toc363053362"/>
      <w:r>
        <w:rPr>
          <w:rFonts w:hint="eastAsia" w:ascii="宋体" w:hAnsi="宋体" w:eastAsia="宋体" w:cs="宋体"/>
          <w:snapToGrid w:val="0"/>
          <w:kern w:val="0"/>
          <w:sz w:val="28"/>
          <w:szCs w:val="28"/>
        </w:rPr>
        <w:t>5.技术服务报酬及支付方式</w:t>
      </w:r>
      <w:bookmarkEnd w:id="6"/>
      <w:bookmarkEnd w:id="7"/>
    </w:p>
    <w:p w14:paraId="18077BE7">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5.1技术服务报酬总额为：人民币（大写）</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r>
        <w:rPr>
          <w:rFonts w:hint="eastAsia" w:ascii="宋体" w:hAnsi="宋体" w:eastAsia="宋体" w:cs="宋体"/>
          <w:snapToGrid w:val="0"/>
          <w:kern w:val="0"/>
          <w:sz w:val="28"/>
          <w:szCs w:val="28"/>
          <w:u w:val="single"/>
        </w:rPr>
        <w:t xml:space="preserve">    </w:t>
      </w:r>
      <w:r>
        <w:rPr>
          <w:rFonts w:hint="eastAsia" w:ascii="宋体" w:hAnsi="宋体" w:cs="宋体"/>
          <w:snapToGrid w:val="0"/>
          <w:kern w:val="0"/>
          <w:sz w:val="28"/>
          <w:szCs w:val="28"/>
          <w:u w:val="single"/>
          <w:lang w:val="en-US" w:eastAsia="zh-CN"/>
        </w:rPr>
        <w:t xml:space="preserve">      </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）（含税）。该报酬包含乙方履行本合同所需全部费用，包括但不限于员工工资、加班费、咨询费、资料费、交通费、食宿费以及税费等。</w:t>
      </w:r>
    </w:p>
    <w:p w14:paraId="1971138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5.2技术服务报酬由甲方</w:t>
      </w:r>
      <w:r>
        <w:rPr>
          <w:rFonts w:hint="eastAsia" w:ascii="宋体" w:hAnsi="宋体" w:eastAsia="宋体" w:cs="宋体"/>
          <w:snapToGrid w:val="0"/>
          <w:kern w:val="0"/>
          <w:sz w:val="28"/>
          <w:szCs w:val="28"/>
          <w:u w:val="single"/>
        </w:rPr>
        <w:t xml:space="preserve"> </w:t>
      </w:r>
      <w:r>
        <w:rPr>
          <w:rFonts w:hint="eastAsia" w:ascii="宋体" w:hAnsi="宋体" w:cs="宋体"/>
          <w:snapToGrid w:val="0"/>
          <w:kern w:val="0"/>
          <w:sz w:val="28"/>
          <w:szCs w:val="28"/>
          <w:u w:val="single"/>
          <w:lang w:val="en-US" w:eastAsia="zh-CN"/>
        </w:rPr>
        <w:t xml:space="preserve">分期 </w:t>
      </w:r>
      <w:r>
        <w:rPr>
          <w:rFonts w:hint="eastAsia" w:ascii="宋体" w:hAnsi="宋体" w:eastAsia="宋体" w:cs="宋体"/>
          <w:snapToGrid w:val="0"/>
          <w:kern w:val="0"/>
          <w:sz w:val="28"/>
          <w:szCs w:val="28"/>
        </w:rPr>
        <w:t>支付乙方。具体支付方式和时间如下：</w:t>
      </w:r>
    </w:p>
    <w:p w14:paraId="39A9CFC1">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u w:val="single"/>
        </w:rPr>
      </w:pPr>
      <w:bookmarkStart w:id="8" w:name="_Toc374455087"/>
      <w:bookmarkStart w:id="9" w:name="_Toc363053363"/>
      <w:r>
        <w:rPr>
          <w:rFonts w:hint="eastAsia" w:ascii="宋体" w:hAnsi="宋体" w:eastAsia="宋体" w:cs="宋体"/>
          <w:snapToGrid w:val="0"/>
          <w:kern w:val="0"/>
          <w:sz w:val="28"/>
          <w:szCs w:val="28"/>
          <w:u w:val="single"/>
        </w:rPr>
        <w:t>1</w:t>
      </w:r>
      <w:r>
        <w:rPr>
          <w:rFonts w:hint="eastAsia" w:ascii="宋体" w:hAnsi="宋体" w:cs="宋体"/>
          <w:snapToGrid w:val="0"/>
          <w:kern w:val="0"/>
          <w:sz w:val="28"/>
          <w:szCs w:val="28"/>
          <w:u w:val="single"/>
          <w:lang w:eastAsia="zh-CN"/>
        </w:rPr>
        <w:t>）</w:t>
      </w:r>
      <w:r>
        <w:rPr>
          <w:rFonts w:hint="eastAsia" w:ascii="宋体" w:hAnsi="宋体" w:eastAsia="宋体" w:cs="宋体"/>
          <w:snapToGrid w:val="0"/>
          <w:kern w:val="0"/>
          <w:sz w:val="28"/>
          <w:szCs w:val="28"/>
          <w:u w:val="single"/>
        </w:rPr>
        <w:t>进度款，合同签订后，乙方提交外业调查施工方案（含样线布设方案、人员到位清单、设备进场证明）并经甲方书面确认后，达到付款条件起30个工作日内，支付合同总金额的50.0%；</w:t>
      </w:r>
    </w:p>
    <w:p w14:paraId="00304E70">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u w:val="single"/>
        </w:rPr>
        <w:t>2</w:t>
      </w:r>
      <w:r>
        <w:rPr>
          <w:rFonts w:hint="eastAsia" w:ascii="宋体" w:hAnsi="宋体" w:cs="宋体"/>
          <w:snapToGrid w:val="0"/>
          <w:kern w:val="0"/>
          <w:sz w:val="28"/>
          <w:szCs w:val="28"/>
          <w:u w:val="single"/>
          <w:lang w:eastAsia="zh-CN"/>
        </w:rPr>
        <w:t>）</w:t>
      </w:r>
      <w:r>
        <w:rPr>
          <w:rFonts w:hint="eastAsia" w:ascii="宋体" w:hAnsi="宋体" w:eastAsia="宋体" w:cs="宋体"/>
          <w:snapToGrid w:val="0"/>
          <w:kern w:val="0"/>
          <w:sz w:val="28"/>
          <w:szCs w:val="28"/>
          <w:u w:val="single"/>
        </w:rPr>
        <w:t>进度款，外业调查全部完成，由单位组织自验收合格后，达到付款条件起30个工作日内，支付合同总金额的30.0%；</w:t>
      </w:r>
    </w:p>
    <w:p w14:paraId="65E035EC">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u w:val="single"/>
        </w:rPr>
        <w:t>3</w:t>
      </w:r>
      <w:r>
        <w:rPr>
          <w:rFonts w:hint="eastAsia" w:ascii="宋体" w:hAnsi="宋体" w:cs="宋体"/>
          <w:snapToGrid w:val="0"/>
          <w:kern w:val="0"/>
          <w:sz w:val="28"/>
          <w:szCs w:val="28"/>
          <w:u w:val="single"/>
          <w:lang w:eastAsia="zh-CN"/>
        </w:rPr>
        <w:t>）</w:t>
      </w:r>
      <w:r>
        <w:rPr>
          <w:rFonts w:hint="eastAsia" w:ascii="宋体" w:hAnsi="宋体" w:eastAsia="宋体" w:cs="宋体"/>
          <w:snapToGrid w:val="0"/>
          <w:kern w:val="0"/>
          <w:sz w:val="28"/>
          <w:szCs w:val="28"/>
          <w:u w:val="single"/>
        </w:rPr>
        <w:t>进度款，按要求全部完成项目建设任务，通过专家评审验收合格后，达到付款条件起30个工作日内，支付合同总金额的20.0%。</w:t>
      </w:r>
    </w:p>
    <w:p w14:paraId="42A1DF4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6.技术服务工作成果的验收</w:t>
      </w:r>
      <w:bookmarkEnd w:id="8"/>
      <w:bookmarkEnd w:id="9"/>
    </w:p>
    <w:p w14:paraId="19E3021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w:t>
      </w:r>
      <w:r>
        <w:rPr>
          <w:rFonts w:hint="eastAsia" w:ascii="宋体" w:hAnsi="宋体" w:cs="宋体"/>
          <w:snapToGrid w:val="0"/>
          <w:kern w:val="0"/>
          <w:sz w:val="28"/>
          <w:szCs w:val="28"/>
          <w:lang w:val="en-US" w:eastAsia="zh-CN"/>
        </w:rPr>
        <w:t>1</w:t>
      </w:r>
      <w:r>
        <w:rPr>
          <w:rFonts w:hint="eastAsia" w:ascii="宋体" w:hAnsi="宋体" w:eastAsia="宋体" w:cs="宋体"/>
          <w:snapToGrid w:val="0"/>
          <w:kern w:val="0"/>
          <w:sz w:val="28"/>
          <w:szCs w:val="28"/>
        </w:rPr>
        <w:t>技术服务工作成果的验收标准：</w:t>
      </w:r>
      <w:r>
        <w:rPr>
          <w:rFonts w:hint="eastAsia" w:ascii="宋体" w:hAnsi="宋体" w:eastAsia="宋体" w:cs="宋体"/>
          <w:snapToGrid w:val="0"/>
          <w:kern w:val="0"/>
          <w:sz w:val="28"/>
          <w:szCs w:val="28"/>
          <w:u w:val="single"/>
        </w:rPr>
        <w:t>外业调查全部完成，由单位组织初验、按要求全部完成项目建设任务，由专家进行最终评审验收。</w:t>
      </w:r>
    </w:p>
    <w:p w14:paraId="31CC4BD8">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0" w:name="_Toc363053364"/>
      <w:bookmarkStart w:id="11" w:name="_Toc374455088"/>
      <w:r>
        <w:rPr>
          <w:rFonts w:hint="eastAsia" w:ascii="宋体" w:hAnsi="宋体" w:eastAsia="宋体" w:cs="宋体"/>
          <w:snapToGrid w:val="0"/>
          <w:kern w:val="0"/>
          <w:sz w:val="28"/>
          <w:szCs w:val="28"/>
        </w:rPr>
        <w:t>7.知识产权</w:t>
      </w:r>
      <w:bookmarkEnd w:id="10"/>
      <w:bookmarkEnd w:id="11"/>
    </w:p>
    <w:p w14:paraId="2681209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7.1在本合同有效期内，甲方利用乙方提交的技术服务工作成果所完成的新的技术成果，归</w:t>
      </w:r>
      <w:r>
        <w:rPr>
          <w:rFonts w:hint="eastAsia" w:ascii="宋体" w:hAnsi="宋体" w:eastAsia="宋体" w:cs="宋体"/>
          <w:snapToGrid w:val="0"/>
          <w:kern w:val="0"/>
          <w:sz w:val="28"/>
          <w:szCs w:val="28"/>
          <w:u w:val="single"/>
        </w:rPr>
        <w:t xml:space="preserve">甲 </w:t>
      </w:r>
      <w:r>
        <w:rPr>
          <w:rFonts w:hint="eastAsia" w:ascii="宋体" w:hAnsi="宋体" w:eastAsia="宋体" w:cs="宋体"/>
          <w:snapToGrid w:val="0"/>
          <w:kern w:val="0"/>
          <w:sz w:val="28"/>
          <w:szCs w:val="28"/>
        </w:rPr>
        <w:t>方所有。</w:t>
      </w:r>
    </w:p>
    <w:p w14:paraId="3E205657">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7.2在本合同有效期内，乙方利用甲方提供的技术资料和工作条件所完成的新的技术成果，归</w:t>
      </w:r>
      <w:r>
        <w:rPr>
          <w:rFonts w:hint="eastAsia" w:ascii="宋体" w:hAnsi="宋体" w:eastAsia="宋体" w:cs="宋体"/>
          <w:snapToGrid w:val="0"/>
          <w:kern w:val="0"/>
          <w:sz w:val="28"/>
          <w:szCs w:val="28"/>
          <w:u w:val="single"/>
        </w:rPr>
        <w:t xml:space="preserve">甲 </w:t>
      </w:r>
      <w:r>
        <w:rPr>
          <w:rFonts w:hint="eastAsia" w:ascii="宋体" w:hAnsi="宋体" w:eastAsia="宋体" w:cs="宋体"/>
          <w:snapToGrid w:val="0"/>
          <w:kern w:val="0"/>
          <w:sz w:val="28"/>
          <w:szCs w:val="28"/>
        </w:rPr>
        <w:t>方所有。</w:t>
      </w:r>
    </w:p>
    <w:p w14:paraId="18E87E1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2" w:name="_Toc363053365"/>
      <w:bookmarkStart w:id="13" w:name="_Toc374455089"/>
      <w:r>
        <w:rPr>
          <w:rFonts w:hint="eastAsia" w:ascii="宋体" w:hAnsi="宋体" w:eastAsia="宋体" w:cs="宋体"/>
          <w:snapToGrid w:val="0"/>
          <w:kern w:val="0"/>
          <w:sz w:val="28"/>
          <w:szCs w:val="28"/>
        </w:rPr>
        <w:t>8.保密义务</w:t>
      </w:r>
      <w:bookmarkEnd w:id="12"/>
      <w:bookmarkEnd w:id="13"/>
    </w:p>
    <w:p w14:paraId="7B9BFC2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8.1一方及其工作人员应对技术服务合同签订、履行过程中了解到的涉及到另一方商业秘密的文件资料以及其他尚未公开的有关信息承担保密责任，并采取相应的保密措施。双方应承担的保密义务包括但不限于：</w:t>
      </w:r>
    </w:p>
    <w:p w14:paraId="4B82D20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8.1.1未经一方书面同意，另一方不得将上述保密信息披露给任何第三人；</w:t>
      </w:r>
    </w:p>
    <w:p w14:paraId="64C25AE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8.1.2 不得将上述保密信息用于本合同以外的其他目的。</w:t>
      </w:r>
    </w:p>
    <w:p w14:paraId="3B9C428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8.1.3 在技术服务项目通过评审后或按合同要求，及时将上述资料和信息返还对方或按对方要求作适当处理。</w:t>
      </w:r>
    </w:p>
    <w:p w14:paraId="2037B8A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8.2 涉密人员范围</w:t>
      </w:r>
    </w:p>
    <w:p w14:paraId="1B52A163">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甲方涉密人员范围：</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1C2A66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乙方涉密人员范围：</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CADF1C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8.3上述保密义务的期限至保密信息正式向社会公开之日或一方书面解除另一方此合同项下保密义务之日止。</w:t>
      </w:r>
    </w:p>
    <w:p w14:paraId="4AAF51B9">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4" w:name="_Toc374455090"/>
      <w:bookmarkStart w:id="15" w:name="_Toc363053366"/>
      <w:r>
        <w:rPr>
          <w:rFonts w:hint="eastAsia" w:ascii="宋体" w:hAnsi="宋体" w:eastAsia="宋体" w:cs="宋体"/>
          <w:snapToGrid w:val="0"/>
          <w:kern w:val="0"/>
          <w:sz w:val="28"/>
          <w:szCs w:val="28"/>
        </w:rPr>
        <w:t>9.违约责任</w:t>
      </w:r>
      <w:bookmarkEnd w:id="14"/>
      <w:bookmarkEnd w:id="15"/>
    </w:p>
    <w:p w14:paraId="68FA876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 乙方不履行本合同义务或履行义务不符合约定的，甲方有权要求乙方承担继续履行、赔偿损失或支付违约金等违约责任。</w:t>
      </w:r>
    </w:p>
    <w:p w14:paraId="38334B1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9.1.1 乙方未按期完成技术服务工作的，每逾期1天，应向甲方支付相当于技术服务报酬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%的违约金，逾期超过</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日的，甲方有权单方解除合同。</w:t>
      </w:r>
    </w:p>
    <w:p w14:paraId="6376755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9.1.2 乙方未按合同约定履行合同义务，经甲方催告仍未纠正的，甲方有权单方解除合同。由于整改纠正造成进度延期交付的视同逾期交付。</w:t>
      </w:r>
    </w:p>
    <w:p w14:paraId="0A13AC3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9.1.3乙方提供的技术服务不符合本合同约定的验收标准，未通过甲方验收的，乙方应退还甲方已支付的全部款项，并向甲方支付相当于技术服务报酬 </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45BFCC7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9.1.4乙方违反合同约定的保密义务，应承担一切法律责任并向甲方支付相当于技术服务报酬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5975E58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9.1.5合同因乙方原因解除的，甲方有权停止支付并要求乙方退还甲方已支付的全部款项，且乙方应向甲方支付相当于技术服务报酬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1276167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9.1.6乙方因违约需要向甲方支付违约金或赔偿损失的，甲方有权从任何一期合同应付款项中予以扣除。</w:t>
      </w:r>
    </w:p>
    <w:p w14:paraId="11F1FD9F">
      <w:pPr>
        <w:keepNext w:val="0"/>
        <w:keepLines w:val="0"/>
        <w:pageBreakBefore w:val="0"/>
        <w:widowControl/>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9.2甲方不履行本合同义务或者履行义务不符合约定的，乙方有权要求甲方承担继续履行、支付违约金等违约责任。</w:t>
      </w:r>
    </w:p>
    <w:p w14:paraId="681B923C">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9.2.1甲方不提供工作条件或提供的工作条件不符合约定，影响工作进度和质量，承担由此造成的项目延期、费用增加的责任。</w:t>
      </w:r>
    </w:p>
    <w:p w14:paraId="3D20AB3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9.2.2甲方逾期支付技术服务报酬的，应就逾期部分向乙方支付按照中国人民银行规定的同期贷款基准利率计算的逾期付款违约金。</w:t>
      </w:r>
    </w:p>
    <w:p w14:paraId="4C14D69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9.2.3甲方无正当理由不接受工作成果的，已支付的报酬不得追回，未支付的报酬应当支付，并向乙方支付相当于技术服务报酬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%的违约金；甲方无正当理由逾期接受工作成果的，每逾期1天， 应向乙方支付相当于技术服务报酬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%的违约金，逾期超过</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日的，乙方有权单方解除合同。</w:t>
      </w:r>
    </w:p>
    <w:p w14:paraId="6579154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9.2.4甲方违反合同约定的保密义务，应承担一切法律责任并向乙方支付相当于技术服务报酬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1A2EDC0E">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6" w:name="_Toc363053367"/>
      <w:bookmarkStart w:id="17" w:name="_Toc374455091"/>
      <w:r>
        <w:rPr>
          <w:rFonts w:hint="eastAsia" w:ascii="宋体" w:hAnsi="宋体" w:eastAsia="宋体" w:cs="宋体"/>
          <w:snapToGrid w:val="0"/>
          <w:kern w:val="0"/>
          <w:sz w:val="28"/>
          <w:szCs w:val="28"/>
        </w:rPr>
        <w:t>10.合同变更和解除</w:t>
      </w:r>
      <w:bookmarkEnd w:id="16"/>
      <w:bookmarkEnd w:id="17"/>
    </w:p>
    <w:p w14:paraId="14FD9BF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10.1双方经协商一致可变更或解除合同，并以书面形式确定。</w:t>
      </w:r>
    </w:p>
    <w:p w14:paraId="4F6EB5A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10.2有下列情形之一的，一方可以向另一方提出变更或解除合同的书面请求，另一方应当在10日内予以书面答复；逾期未予书面答复的，视为同意：</w:t>
      </w:r>
    </w:p>
    <w:p w14:paraId="4951D8B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（1）因对方违约使合同不能继续履行或没有必要继续履行；</w:t>
      </w:r>
    </w:p>
    <w:p w14:paraId="4AEBE34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1F74DB6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10.3法律规定的合同解除情形出现时，一方主张解除合同的，应当书面通知对方。合同自通知到达对方时解除。</w:t>
      </w:r>
    </w:p>
    <w:p w14:paraId="5C3D6EC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10.4本合同中约定可单方解除合同的，单方解除合同的条件成就时，享有解除权的一方可单方解除合同，但应书面通知对方。合同自通知到达对方时解除。</w:t>
      </w:r>
    </w:p>
    <w:p w14:paraId="76C8B6D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8" w:name="_Toc363053368"/>
      <w:bookmarkStart w:id="19" w:name="_Toc374455092"/>
      <w:r>
        <w:rPr>
          <w:rFonts w:hint="eastAsia" w:ascii="宋体" w:hAnsi="宋体" w:eastAsia="宋体" w:cs="宋体"/>
          <w:snapToGrid w:val="0"/>
          <w:kern w:val="0"/>
          <w:sz w:val="28"/>
          <w:szCs w:val="28"/>
        </w:rPr>
        <w:t>11.争议解决</w:t>
      </w:r>
      <w:bookmarkEnd w:id="18"/>
      <w:bookmarkEnd w:id="19"/>
    </w:p>
    <w:p w14:paraId="30B5345C">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11.1因合同及合同有关事项发生的争议，双方应本着诚实信用原则，通过友好协商解决，经协商仍无法达成一致的，按以下第</w:t>
      </w:r>
      <w:r>
        <w:rPr>
          <w:rFonts w:hint="eastAsia" w:ascii="宋体" w:hAnsi="宋体" w:eastAsia="宋体" w:cs="宋体"/>
          <w:sz w:val="28"/>
          <w:szCs w:val="28"/>
          <w:u w:val="single"/>
        </w:rPr>
        <w:t xml:space="preserve">  </w:t>
      </w:r>
      <w:r>
        <w:rPr>
          <w:rFonts w:hint="eastAsia" w:ascii="宋体" w:hAnsi="宋体" w:cs="宋体"/>
          <w:sz w:val="28"/>
          <w:szCs w:val="28"/>
          <w:u w:val="single"/>
          <w:lang w:eastAsia="zh-CN"/>
        </w:rPr>
        <w:t>（</w:t>
      </w:r>
      <w:r>
        <w:rPr>
          <w:rFonts w:hint="eastAsia" w:ascii="宋体" w:hAnsi="宋体" w:cs="宋体"/>
          <w:sz w:val="28"/>
          <w:szCs w:val="28"/>
          <w:u w:val="single"/>
          <w:lang w:val="en-US" w:eastAsia="zh-CN"/>
        </w:rPr>
        <w:t>2</w:t>
      </w:r>
      <w:r>
        <w:rPr>
          <w:rFonts w:hint="eastAsia" w:ascii="宋体" w:hAnsi="宋体" w:cs="宋体"/>
          <w:sz w:val="28"/>
          <w:szCs w:val="28"/>
          <w:u w:val="single"/>
          <w:lang w:eastAsia="zh-CN"/>
        </w:rPr>
        <w:t>）</w:t>
      </w:r>
      <w:r>
        <w:rPr>
          <w:rFonts w:hint="eastAsia" w:ascii="宋体" w:hAnsi="宋体" w:eastAsia="宋体" w:cs="宋体"/>
          <w:sz w:val="28"/>
          <w:szCs w:val="28"/>
        </w:rPr>
        <w:t>种方式处理：</w:t>
      </w:r>
    </w:p>
    <w:p w14:paraId="6DF07D26">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（1）仲裁：提交</w:t>
      </w:r>
      <w:r>
        <w:rPr>
          <w:rFonts w:hint="eastAsia" w:ascii="宋体" w:hAnsi="宋体" w:eastAsia="宋体" w:cs="宋体"/>
          <w:sz w:val="28"/>
          <w:szCs w:val="28"/>
          <w:u w:val="single"/>
        </w:rPr>
        <w:t xml:space="preserve">          </w:t>
      </w:r>
      <w:r>
        <w:rPr>
          <w:rFonts w:hint="eastAsia" w:ascii="宋体" w:hAnsi="宋体" w:eastAsia="宋体" w:cs="宋体"/>
          <w:sz w:val="28"/>
          <w:szCs w:val="28"/>
        </w:rPr>
        <w:t>仲裁，按照申请仲裁时该仲裁机构有效的仲裁规则进行仲裁。仲裁裁决是终局的，对双方均有约束力。</w:t>
      </w:r>
    </w:p>
    <w:p w14:paraId="0851ABA3">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（2）诉讼：向</w:t>
      </w:r>
      <w:r>
        <w:rPr>
          <w:rFonts w:hint="eastAsia" w:ascii="宋体" w:hAnsi="宋体" w:eastAsia="宋体" w:cs="宋体"/>
          <w:sz w:val="28"/>
          <w:szCs w:val="28"/>
          <w:u w:val="single"/>
        </w:rPr>
        <w:t>甲方</w:t>
      </w:r>
      <w:r>
        <w:rPr>
          <w:rFonts w:hint="eastAsia" w:ascii="宋体" w:hAnsi="宋体" w:eastAsia="宋体" w:cs="宋体"/>
          <w:sz w:val="28"/>
          <w:szCs w:val="28"/>
        </w:rPr>
        <w:t>所在地人民法院提起诉讼。</w:t>
      </w:r>
    </w:p>
    <w:p w14:paraId="0111932F">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z w:val="28"/>
          <w:szCs w:val="28"/>
        </w:rPr>
        <w:t>11.2在争议解决期间，合同中未涉及争议部分的条款仍须履行。</w:t>
      </w:r>
      <w:r>
        <w:rPr>
          <w:rFonts w:hint="eastAsia" w:ascii="宋体" w:hAnsi="宋体" w:eastAsia="宋体" w:cs="宋体"/>
          <w:snapToGrid w:val="0"/>
          <w:kern w:val="0"/>
          <w:sz w:val="28"/>
          <w:szCs w:val="28"/>
        </w:rPr>
        <w:t xml:space="preserve"> </w:t>
      </w:r>
    </w:p>
    <w:p w14:paraId="010D3399">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0" w:name="_Toc363053370"/>
      <w:bookmarkStart w:id="21" w:name="_Toc374455094"/>
      <w:r>
        <w:rPr>
          <w:rFonts w:hint="eastAsia" w:ascii="宋体" w:hAnsi="宋体" w:eastAsia="宋体" w:cs="宋体"/>
          <w:snapToGrid w:val="0"/>
          <w:kern w:val="0"/>
          <w:sz w:val="28"/>
          <w:szCs w:val="28"/>
        </w:rPr>
        <w:t>13.本合同的组成部分</w:t>
      </w:r>
      <w:bookmarkEnd w:id="20"/>
      <w:bookmarkEnd w:id="21"/>
    </w:p>
    <w:p w14:paraId="4732EDCB">
      <w:pPr>
        <w:keepNext w:val="0"/>
        <w:keepLines w:val="0"/>
        <w:pageBreakBefore w:val="0"/>
        <w:widowControl/>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与履行本合同有关的下列技术文件，经双方约定，作为本合同的组成部分。</w:t>
      </w:r>
    </w:p>
    <w:p w14:paraId="7AF33A4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2" w:name="_Toc363053371"/>
      <w:bookmarkStart w:id="23" w:name="_Toc374455095"/>
      <w:r>
        <w:rPr>
          <w:rFonts w:hint="eastAsia" w:ascii="宋体" w:hAnsi="宋体" w:eastAsia="宋体" w:cs="宋体"/>
          <w:snapToGrid w:val="0"/>
          <w:kern w:val="0"/>
          <w:sz w:val="28"/>
          <w:szCs w:val="28"/>
        </w:rPr>
        <w:t>14.</w:t>
      </w:r>
      <w:bookmarkStart w:id="24" w:name="_Toc332123376"/>
      <w:bookmarkStart w:id="25" w:name="_Toc251677240"/>
      <w:r>
        <w:rPr>
          <w:rFonts w:hint="eastAsia" w:ascii="宋体" w:hAnsi="宋体" w:eastAsia="宋体" w:cs="宋体"/>
          <w:snapToGrid w:val="0"/>
          <w:kern w:val="0"/>
          <w:sz w:val="28"/>
          <w:szCs w:val="28"/>
        </w:rPr>
        <w:t>其他</w:t>
      </w:r>
      <w:bookmarkEnd w:id="22"/>
      <w:bookmarkEnd w:id="23"/>
      <w:r>
        <w:rPr>
          <w:rFonts w:hint="eastAsia" w:ascii="宋体" w:hAnsi="宋体" w:eastAsia="宋体" w:cs="宋体"/>
          <w:snapToGrid w:val="0"/>
          <w:kern w:val="0"/>
          <w:sz w:val="28"/>
          <w:szCs w:val="28"/>
        </w:rPr>
        <w:t xml:space="preserve"> </w:t>
      </w:r>
    </w:p>
    <w:p w14:paraId="492AE43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14.1本合同经双方法定代表人（负责人）或其授权代表签署并加盖双方公章或合同专用章之日起生效。合同签订日期以双方中最后一方签署并加盖公章或合同专用章的日期为准。</w:t>
      </w:r>
    </w:p>
    <w:bookmarkEnd w:id="24"/>
    <w:bookmarkEnd w:id="25"/>
    <w:p w14:paraId="45B0C97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bookmarkStart w:id="26" w:name="_Toc239494036"/>
      <w:bookmarkStart w:id="27" w:name="_Toc239498608"/>
      <w:bookmarkStart w:id="28" w:name="_Toc332123379"/>
      <w:bookmarkStart w:id="29" w:name="_Toc246906537"/>
      <w:r>
        <w:rPr>
          <w:rFonts w:hint="eastAsia" w:ascii="宋体" w:hAnsi="宋体" w:eastAsia="宋体" w:cs="宋体"/>
          <w:snapToGrid w:val="0"/>
          <w:kern w:val="0"/>
          <w:sz w:val="28"/>
          <w:szCs w:val="28"/>
        </w:rPr>
        <w:t>14.2本合同一式</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份，甲方执</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份，乙方执</w:t>
      </w:r>
      <w:r>
        <w:rPr>
          <w:rFonts w:hint="eastAsia" w:ascii="宋体" w:hAnsi="宋体" w:eastAsia="宋体" w:cs="宋体"/>
          <w:b/>
          <w:snapToGrid w:val="0"/>
          <w:kern w:val="0"/>
          <w:sz w:val="28"/>
          <w:szCs w:val="28"/>
          <w:u w:val="single"/>
        </w:rPr>
        <w:t xml:space="preserve">   </w:t>
      </w:r>
      <w:r>
        <w:rPr>
          <w:rFonts w:hint="eastAsia" w:ascii="宋体" w:hAnsi="宋体" w:eastAsia="宋体" w:cs="宋体"/>
          <w:snapToGrid w:val="0"/>
          <w:kern w:val="0"/>
          <w:sz w:val="28"/>
          <w:szCs w:val="28"/>
        </w:rPr>
        <w:t>份，具有同等法律效力。</w:t>
      </w:r>
    </w:p>
    <w:p w14:paraId="23D9DF1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14.3特别约定</w:t>
      </w:r>
      <w:bookmarkEnd w:id="26"/>
      <w:bookmarkEnd w:id="27"/>
      <w:bookmarkEnd w:id="28"/>
      <w:bookmarkEnd w:id="29"/>
    </w:p>
    <w:p w14:paraId="64794318">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本特别约定是合同各方经协商后对合同其他条款的修改或补充，如有不一致，以特别约定为准。</w:t>
      </w:r>
    </w:p>
    <w:p w14:paraId="561697C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p>
    <w:tbl>
      <w:tblPr>
        <w:tblStyle w:val="12"/>
        <w:tblW w:w="0" w:type="auto"/>
        <w:jc w:val="center"/>
        <w:tblLayout w:type="fixed"/>
        <w:tblCellMar>
          <w:top w:w="0" w:type="dxa"/>
          <w:left w:w="108" w:type="dxa"/>
          <w:bottom w:w="0" w:type="dxa"/>
          <w:right w:w="108" w:type="dxa"/>
        </w:tblCellMar>
      </w:tblPr>
      <w:tblGrid>
        <w:gridCol w:w="4378"/>
        <w:gridCol w:w="4146"/>
      </w:tblGrid>
      <w:tr w14:paraId="152362FC">
        <w:tblPrEx>
          <w:tblCellMar>
            <w:top w:w="0" w:type="dxa"/>
            <w:left w:w="108" w:type="dxa"/>
            <w:bottom w:w="0" w:type="dxa"/>
            <w:right w:w="108" w:type="dxa"/>
          </w:tblCellMar>
        </w:tblPrEx>
        <w:trPr>
          <w:cantSplit/>
          <w:trHeight w:val="1642" w:hRule="exact"/>
          <w:jc w:val="center"/>
        </w:trPr>
        <w:tc>
          <w:tcPr>
            <w:tcW w:w="4378" w:type="dxa"/>
            <w:noWrap w:val="0"/>
            <w:vAlign w:val="center"/>
          </w:tcPr>
          <w:p w14:paraId="0274E7CD">
            <w:pPr>
              <w:keepNext w:val="0"/>
              <w:keepLines w:val="0"/>
              <w:pageBreakBefore w:val="0"/>
              <w:kinsoku/>
              <w:wordWrap/>
              <w:overflowPunct/>
              <w:topLinePunct w:val="0"/>
              <w:autoSpaceDE w:val="0"/>
              <w:autoSpaceDN w:val="0"/>
              <w:bidi w:val="0"/>
              <w:snapToGrid w:val="0"/>
              <w:spacing w:line="360" w:lineRule="auto"/>
              <w:ind w:left="0" w:leftChars="0" w:right="0" w:firstLine="140" w:firstLineChars="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甲方：</w:t>
            </w:r>
          </w:p>
          <w:p w14:paraId="670E28DF">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（盖章）     </w:t>
            </w:r>
          </w:p>
        </w:tc>
        <w:tc>
          <w:tcPr>
            <w:tcW w:w="4146" w:type="dxa"/>
            <w:noWrap w:val="0"/>
            <w:vAlign w:val="center"/>
          </w:tcPr>
          <w:p w14:paraId="676AAB33">
            <w:pPr>
              <w:keepNext w:val="0"/>
              <w:keepLines w:val="0"/>
              <w:pageBreakBefore w:val="0"/>
              <w:kinsoku/>
              <w:wordWrap/>
              <w:overflowPunct/>
              <w:topLinePunct w:val="0"/>
              <w:autoSpaceDE w:val="0"/>
              <w:autoSpaceDN w:val="0"/>
              <w:bidi w:val="0"/>
              <w:snapToGrid w:val="0"/>
              <w:spacing w:line="360" w:lineRule="auto"/>
              <w:ind w:left="0" w:leftChars="0" w:right="0" w:firstLine="140" w:firstLineChars="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乙方： </w:t>
            </w:r>
          </w:p>
          <w:p w14:paraId="1945F3B7">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（盖章）</w:t>
            </w:r>
          </w:p>
        </w:tc>
      </w:tr>
      <w:tr w14:paraId="051E0006">
        <w:tblPrEx>
          <w:tblCellMar>
            <w:top w:w="0" w:type="dxa"/>
            <w:left w:w="108" w:type="dxa"/>
            <w:bottom w:w="0" w:type="dxa"/>
            <w:right w:w="108" w:type="dxa"/>
          </w:tblCellMar>
        </w:tblPrEx>
        <w:trPr>
          <w:cantSplit/>
          <w:trHeight w:val="1453" w:hRule="exact"/>
          <w:jc w:val="center"/>
        </w:trPr>
        <w:tc>
          <w:tcPr>
            <w:tcW w:w="4378" w:type="dxa"/>
            <w:noWrap w:val="0"/>
            <w:vAlign w:val="center"/>
          </w:tcPr>
          <w:p w14:paraId="0457C9D9">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法定代表人(负责人)或</w:t>
            </w:r>
          </w:p>
          <w:p w14:paraId="3AA5B41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授权代表（签字）：</w:t>
            </w:r>
          </w:p>
        </w:tc>
        <w:tc>
          <w:tcPr>
            <w:tcW w:w="4146" w:type="dxa"/>
            <w:noWrap w:val="0"/>
            <w:vAlign w:val="center"/>
          </w:tcPr>
          <w:p w14:paraId="3FCD7D34">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法定代表人（负责人）或</w:t>
            </w:r>
          </w:p>
          <w:p w14:paraId="3356B5E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授权代表（签字）：</w:t>
            </w:r>
          </w:p>
        </w:tc>
      </w:tr>
      <w:tr w14:paraId="12253168">
        <w:tblPrEx>
          <w:tblCellMar>
            <w:top w:w="0" w:type="dxa"/>
            <w:left w:w="108" w:type="dxa"/>
            <w:bottom w:w="0" w:type="dxa"/>
            <w:right w:w="108" w:type="dxa"/>
          </w:tblCellMar>
        </w:tblPrEx>
        <w:trPr>
          <w:cantSplit/>
          <w:trHeight w:val="461" w:hRule="exact"/>
          <w:jc w:val="center"/>
        </w:trPr>
        <w:tc>
          <w:tcPr>
            <w:tcW w:w="4378" w:type="dxa"/>
            <w:noWrap w:val="0"/>
            <w:vAlign w:val="center"/>
          </w:tcPr>
          <w:p w14:paraId="7F74F406">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签订日期：</w:t>
            </w:r>
          </w:p>
        </w:tc>
        <w:tc>
          <w:tcPr>
            <w:tcW w:w="4146" w:type="dxa"/>
            <w:noWrap w:val="0"/>
            <w:vAlign w:val="center"/>
          </w:tcPr>
          <w:p w14:paraId="2A6272B1">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签订日期：</w:t>
            </w:r>
          </w:p>
        </w:tc>
      </w:tr>
      <w:tr w14:paraId="7F4D80EB">
        <w:tblPrEx>
          <w:tblCellMar>
            <w:top w:w="0" w:type="dxa"/>
            <w:left w:w="108" w:type="dxa"/>
            <w:bottom w:w="0" w:type="dxa"/>
            <w:right w:w="108" w:type="dxa"/>
          </w:tblCellMar>
        </w:tblPrEx>
        <w:trPr>
          <w:cantSplit/>
          <w:trHeight w:val="466" w:hRule="exact"/>
          <w:jc w:val="center"/>
        </w:trPr>
        <w:tc>
          <w:tcPr>
            <w:tcW w:w="4378" w:type="dxa"/>
            <w:noWrap w:val="0"/>
            <w:vAlign w:val="center"/>
          </w:tcPr>
          <w:p w14:paraId="2F64A737">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地址：</w:t>
            </w:r>
          </w:p>
        </w:tc>
        <w:tc>
          <w:tcPr>
            <w:tcW w:w="4146" w:type="dxa"/>
            <w:noWrap w:val="0"/>
            <w:vAlign w:val="center"/>
          </w:tcPr>
          <w:p w14:paraId="126597F2">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地址：</w:t>
            </w:r>
          </w:p>
        </w:tc>
      </w:tr>
      <w:tr w14:paraId="79A3B5BC">
        <w:tblPrEx>
          <w:tblCellMar>
            <w:top w:w="0" w:type="dxa"/>
            <w:left w:w="108" w:type="dxa"/>
            <w:bottom w:w="0" w:type="dxa"/>
            <w:right w:w="108" w:type="dxa"/>
          </w:tblCellMar>
        </w:tblPrEx>
        <w:trPr>
          <w:cantSplit/>
          <w:trHeight w:val="466" w:hRule="exact"/>
          <w:jc w:val="center"/>
        </w:trPr>
        <w:tc>
          <w:tcPr>
            <w:tcW w:w="4378" w:type="dxa"/>
            <w:noWrap w:val="0"/>
            <w:vAlign w:val="center"/>
          </w:tcPr>
          <w:p w14:paraId="37AD3F5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邮编：</w:t>
            </w:r>
          </w:p>
        </w:tc>
        <w:tc>
          <w:tcPr>
            <w:tcW w:w="4146" w:type="dxa"/>
            <w:noWrap w:val="0"/>
            <w:vAlign w:val="center"/>
          </w:tcPr>
          <w:p w14:paraId="32D814B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邮编：</w:t>
            </w:r>
          </w:p>
        </w:tc>
      </w:tr>
      <w:tr w14:paraId="7F3417B8">
        <w:tblPrEx>
          <w:tblCellMar>
            <w:top w:w="0" w:type="dxa"/>
            <w:left w:w="108" w:type="dxa"/>
            <w:bottom w:w="0" w:type="dxa"/>
            <w:right w:w="108" w:type="dxa"/>
          </w:tblCellMar>
        </w:tblPrEx>
        <w:trPr>
          <w:cantSplit/>
          <w:trHeight w:val="466" w:hRule="exact"/>
          <w:jc w:val="center"/>
        </w:trPr>
        <w:tc>
          <w:tcPr>
            <w:tcW w:w="4378" w:type="dxa"/>
            <w:noWrap w:val="0"/>
            <w:vAlign w:val="center"/>
          </w:tcPr>
          <w:p w14:paraId="637F9FCB">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联系人：</w:t>
            </w:r>
          </w:p>
        </w:tc>
        <w:tc>
          <w:tcPr>
            <w:tcW w:w="4146" w:type="dxa"/>
            <w:noWrap w:val="0"/>
            <w:vAlign w:val="center"/>
          </w:tcPr>
          <w:p w14:paraId="2DFF8814">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联系人：</w:t>
            </w:r>
          </w:p>
        </w:tc>
      </w:tr>
      <w:tr w14:paraId="1BA2A99D">
        <w:tblPrEx>
          <w:tblCellMar>
            <w:top w:w="0" w:type="dxa"/>
            <w:left w:w="108" w:type="dxa"/>
            <w:bottom w:w="0" w:type="dxa"/>
            <w:right w:w="108" w:type="dxa"/>
          </w:tblCellMar>
        </w:tblPrEx>
        <w:trPr>
          <w:cantSplit/>
          <w:trHeight w:val="466" w:hRule="exact"/>
          <w:jc w:val="center"/>
        </w:trPr>
        <w:tc>
          <w:tcPr>
            <w:tcW w:w="4378" w:type="dxa"/>
            <w:noWrap w:val="0"/>
            <w:vAlign w:val="center"/>
          </w:tcPr>
          <w:p w14:paraId="452AD5BD">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电话：</w:t>
            </w:r>
          </w:p>
        </w:tc>
        <w:tc>
          <w:tcPr>
            <w:tcW w:w="4146" w:type="dxa"/>
            <w:noWrap w:val="0"/>
            <w:vAlign w:val="center"/>
          </w:tcPr>
          <w:p w14:paraId="20442D2B">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电话：</w:t>
            </w:r>
          </w:p>
        </w:tc>
      </w:tr>
      <w:tr w14:paraId="64F5E9F9">
        <w:tblPrEx>
          <w:tblCellMar>
            <w:top w:w="0" w:type="dxa"/>
            <w:left w:w="108" w:type="dxa"/>
            <w:bottom w:w="0" w:type="dxa"/>
            <w:right w:w="108" w:type="dxa"/>
          </w:tblCellMar>
        </w:tblPrEx>
        <w:trPr>
          <w:cantSplit/>
          <w:trHeight w:val="466" w:hRule="exact"/>
          <w:jc w:val="center"/>
        </w:trPr>
        <w:tc>
          <w:tcPr>
            <w:tcW w:w="4378" w:type="dxa"/>
            <w:noWrap w:val="0"/>
            <w:vAlign w:val="center"/>
          </w:tcPr>
          <w:p w14:paraId="27BF73A0">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开户银行：</w:t>
            </w:r>
          </w:p>
        </w:tc>
        <w:tc>
          <w:tcPr>
            <w:tcW w:w="4146" w:type="dxa"/>
            <w:noWrap w:val="0"/>
            <w:vAlign w:val="center"/>
          </w:tcPr>
          <w:p w14:paraId="6396AF1A">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开户银行： </w:t>
            </w:r>
          </w:p>
        </w:tc>
      </w:tr>
      <w:tr w14:paraId="3CDC0357">
        <w:tblPrEx>
          <w:tblCellMar>
            <w:top w:w="0" w:type="dxa"/>
            <w:left w:w="108" w:type="dxa"/>
            <w:bottom w:w="0" w:type="dxa"/>
            <w:right w:w="108" w:type="dxa"/>
          </w:tblCellMar>
        </w:tblPrEx>
        <w:trPr>
          <w:cantSplit/>
          <w:trHeight w:val="466" w:hRule="exact"/>
          <w:jc w:val="center"/>
        </w:trPr>
        <w:tc>
          <w:tcPr>
            <w:tcW w:w="4378" w:type="dxa"/>
            <w:noWrap w:val="0"/>
            <w:vAlign w:val="center"/>
          </w:tcPr>
          <w:p w14:paraId="36158A16">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账号：</w:t>
            </w:r>
          </w:p>
        </w:tc>
        <w:tc>
          <w:tcPr>
            <w:tcW w:w="4146" w:type="dxa"/>
            <w:noWrap w:val="0"/>
            <w:vAlign w:val="center"/>
          </w:tcPr>
          <w:p w14:paraId="6D1ACB30">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账号：</w:t>
            </w:r>
          </w:p>
        </w:tc>
      </w:tr>
    </w:tbl>
    <w:p w14:paraId="417AF636">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sz w:val="28"/>
          <w:szCs w:val="28"/>
        </w:rPr>
        <w:t>附件：</w:t>
      </w:r>
    </w:p>
    <w:p w14:paraId="12EA4B10">
      <w:pPr>
        <w:keepNext w:val="0"/>
        <w:keepLines w:val="0"/>
        <w:pageBreakBefore w:val="0"/>
        <w:widowControl/>
        <w:kinsoku/>
        <w:wordWrap/>
        <w:overflowPunct/>
        <w:topLinePunct w:val="0"/>
        <w:bidi w:val="0"/>
        <w:spacing w:line="360" w:lineRule="auto"/>
        <w:ind w:left="0" w:leftChars="0" w:right="0"/>
        <w:jc w:val="center"/>
        <w:rPr>
          <w:rFonts w:hint="eastAsia" w:ascii="宋体" w:hAnsi="宋体" w:eastAsia="宋体" w:cs="宋体"/>
          <w:b/>
          <w:sz w:val="32"/>
          <w:szCs w:val="32"/>
        </w:rPr>
      </w:pPr>
      <w:r>
        <w:rPr>
          <w:rFonts w:hint="eastAsia" w:ascii="宋体" w:hAnsi="宋体" w:eastAsia="宋体" w:cs="宋体"/>
          <w:b/>
          <w:sz w:val="32"/>
          <w:szCs w:val="32"/>
        </w:rPr>
        <w:t>技术服务人员表</w:t>
      </w:r>
    </w:p>
    <w:p w14:paraId="392E90A8">
      <w:pPr>
        <w:keepNext w:val="0"/>
        <w:keepLines w:val="0"/>
        <w:pageBreakBefore w:val="0"/>
        <w:widowControl/>
        <w:kinsoku/>
        <w:wordWrap/>
        <w:overflowPunct/>
        <w:topLinePunct w:val="0"/>
        <w:bidi w:val="0"/>
        <w:spacing w:line="360" w:lineRule="auto"/>
        <w:ind w:left="0" w:leftChars="0" w:right="0"/>
        <w:jc w:val="center"/>
        <w:rPr>
          <w:rFonts w:hint="eastAsia" w:ascii="宋体" w:hAnsi="宋体" w:eastAsia="宋体" w:cs="宋体"/>
          <w:b/>
          <w:sz w:val="32"/>
          <w:szCs w:val="32"/>
        </w:rPr>
      </w:pPr>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935"/>
        <w:gridCol w:w="945"/>
        <w:gridCol w:w="1474"/>
        <w:gridCol w:w="1272"/>
        <w:gridCol w:w="1378"/>
        <w:gridCol w:w="1581"/>
      </w:tblGrid>
      <w:tr w14:paraId="59A29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exact"/>
        </w:trPr>
        <w:tc>
          <w:tcPr>
            <w:tcW w:w="550" w:type="pct"/>
            <w:noWrap w:val="0"/>
            <w:vAlign w:val="center"/>
          </w:tcPr>
          <w:p w14:paraId="05907661">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548" w:type="pct"/>
            <w:noWrap w:val="0"/>
            <w:vAlign w:val="center"/>
          </w:tcPr>
          <w:p w14:paraId="43417904">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554" w:type="pct"/>
            <w:noWrap w:val="0"/>
            <w:vAlign w:val="center"/>
          </w:tcPr>
          <w:p w14:paraId="46549CB4">
            <w:pPr>
              <w:jc w:val="center"/>
              <w:rPr>
                <w:rFonts w:hint="eastAsia" w:ascii="宋体" w:hAnsi="宋体" w:eastAsia="宋体" w:cs="宋体"/>
                <w:sz w:val="24"/>
                <w:szCs w:val="24"/>
              </w:rPr>
            </w:pPr>
            <w:r>
              <w:rPr>
                <w:rFonts w:hint="eastAsia" w:ascii="宋体" w:hAnsi="宋体" w:eastAsia="宋体" w:cs="宋体"/>
                <w:sz w:val="24"/>
                <w:szCs w:val="24"/>
              </w:rPr>
              <w:t>性别</w:t>
            </w:r>
          </w:p>
        </w:tc>
        <w:tc>
          <w:tcPr>
            <w:tcW w:w="864" w:type="pct"/>
            <w:noWrap w:val="0"/>
            <w:vAlign w:val="center"/>
          </w:tcPr>
          <w:p w14:paraId="2EEA1B25">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年龄</w:t>
            </w:r>
          </w:p>
        </w:tc>
        <w:tc>
          <w:tcPr>
            <w:tcW w:w="746" w:type="pct"/>
            <w:noWrap w:val="0"/>
            <w:vAlign w:val="center"/>
          </w:tcPr>
          <w:p w14:paraId="3131A5FE">
            <w:pPr>
              <w:jc w:val="center"/>
              <w:rPr>
                <w:rFonts w:hint="eastAsia" w:ascii="宋体" w:hAnsi="宋体" w:eastAsia="宋体" w:cs="宋体"/>
                <w:sz w:val="24"/>
                <w:szCs w:val="24"/>
              </w:rPr>
            </w:pPr>
            <w:r>
              <w:rPr>
                <w:rFonts w:hint="eastAsia" w:ascii="宋体" w:hAnsi="宋体" w:eastAsia="宋体" w:cs="宋体"/>
                <w:sz w:val="24"/>
                <w:szCs w:val="24"/>
              </w:rPr>
              <w:t>职称</w:t>
            </w:r>
          </w:p>
        </w:tc>
        <w:tc>
          <w:tcPr>
            <w:tcW w:w="808" w:type="pct"/>
            <w:noWrap w:val="0"/>
            <w:vAlign w:val="center"/>
          </w:tcPr>
          <w:p w14:paraId="72E6C3B6">
            <w:pPr>
              <w:jc w:val="center"/>
              <w:rPr>
                <w:rFonts w:hint="eastAsia" w:ascii="宋体" w:hAnsi="宋体" w:eastAsia="宋体" w:cs="宋体"/>
                <w:sz w:val="24"/>
                <w:szCs w:val="24"/>
              </w:rPr>
            </w:pPr>
            <w:r>
              <w:rPr>
                <w:rFonts w:hint="eastAsia" w:ascii="宋体" w:hAnsi="宋体" w:eastAsia="宋体" w:cs="宋体"/>
                <w:sz w:val="24"/>
                <w:szCs w:val="24"/>
              </w:rPr>
              <w:t>专业</w:t>
            </w:r>
          </w:p>
        </w:tc>
        <w:tc>
          <w:tcPr>
            <w:tcW w:w="927" w:type="pct"/>
            <w:noWrap w:val="0"/>
            <w:vAlign w:val="center"/>
          </w:tcPr>
          <w:p w14:paraId="12AB197B">
            <w:pPr>
              <w:jc w:val="center"/>
              <w:rPr>
                <w:rFonts w:hint="eastAsia" w:ascii="宋体" w:hAnsi="宋体" w:eastAsia="宋体" w:cs="宋体"/>
                <w:sz w:val="24"/>
                <w:szCs w:val="24"/>
              </w:rPr>
            </w:pPr>
            <w:r>
              <w:rPr>
                <w:rFonts w:hint="eastAsia" w:ascii="宋体" w:hAnsi="宋体" w:eastAsia="宋体" w:cs="宋体"/>
                <w:sz w:val="24"/>
                <w:szCs w:val="24"/>
              </w:rPr>
              <w:t>承担的主要工作职务</w:t>
            </w:r>
          </w:p>
        </w:tc>
      </w:tr>
      <w:tr w14:paraId="7304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exact"/>
        </w:trPr>
        <w:tc>
          <w:tcPr>
            <w:tcW w:w="550" w:type="pct"/>
            <w:noWrap w:val="0"/>
            <w:vAlign w:val="center"/>
          </w:tcPr>
          <w:p w14:paraId="69C18D1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548" w:type="pct"/>
            <w:noWrap w:val="0"/>
            <w:vAlign w:val="center"/>
          </w:tcPr>
          <w:p w14:paraId="34D53A58">
            <w:pPr>
              <w:jc w:val="left"/>
              <w:rPr>
                <w:rFonts w:hint="eastAsia" w:ascii="宋体" w:hAnsi="宋体" w:eastAsia="宋体" w:cs="宋体"/>
                <w:sz w:val="24"/>
                <w:szCs w:val="24"/>
              </w:rPr>
            </w:pPr>
          </w:p>
        </w:tc>
        <w:tc>
          <w:tcPr>
            <w:tcW w:w="554" w:type="pct"/>
            <w:noWrap w:val="0"/>
            <w:vAlign w:val="center"/>
          </w:tcPr>
          <w:p w14:paraId="6416A369">
            <w:pPr>
              <w:jc w:val="left"/>
              <w:rPr>
                <w:rFonts w:hint="eastAsia" w:ascii="宋体" w:hAnsi="宋体" w:eastAsia="宋体" w:cs="宋体"/>
                <w:sz w:val="24"/>
                <w:szCs w:val="24"/>
              </w:rPr>
            </w:pPr>
          </w:p>
        </w:tc>
        <w:tc>
          <w:tcPr>
            <w:tcW w:w="864" w:type="pct"/>
            <w:noWrap w:val="0"/>
            <w:vAlign w:val="center"/>
          </w:tcPr>
          <w:p w14:paraId="2B474DB9">
            <w:pPr>
              <w:jc w:val="left"/>
              <w:rPr>
                <w:rFonts w:hint="eastAsia" w:ascii="宋体" w:hAnsi="宋体" w:eastAsia="宋体" w:cs="宋体"/>
                <w:sz w:val="24"/>
                <w:szCs w:val="24"/>
              </w:rPr>
            </w:pPr>
          </w:p>
        </w:tc>
        <w:tc>
          <w:tcPr>
            <w:tcW w:w="746" w:type="pct"/>
            <w:noWrap w:val="0"/>
            <w:vAlign w:val="center"/>
          </w:tcPr>
          <w:p w14:paraId="5A6B945B">
            <w:pPr>
              <w:jc w:val="left"/>
              <w:rPr>
                <w:rFonts w:hint="eastAsia" w:ascii="宋体" w:hAnsi="宋体" w:eastAsia="宋体" w:cs="宋体"/>
                <w:sz w:val="24"/>
                <w:szCs w:val="24"/>
              </w:rPr>
            </w:pPr>
          </w:p>
        </w:tc>
        <w:tc>
          <w:tcPr>
            <w:tcW w:w="808" w:type="pct"/>
            <w:noWrap w:val="0"/>
            <w:vAlign w:val="center"/>
          </w:tcPr>
          <w:p w14:paraId="4B8EAAE1">
            <w:pPr>
              <w:jc w:val="left"/>
              <w:rPr>
                <w:rFonts w:hint="eastAsia" w:ascii="宋体" w:hAnsi="宋体" w:eastAsia="宋体" w:cs="宋体"/>
                <w:sz w:val="24"/>
                <w:szCs w:val="24"/>
              </w:rPr>
            </w:pPr>
          </w:p>
        </w:tc>
        <w:tc>
          <w:tcPr>
            <w:tcW w:w="927" w:type="pct"/>
            <w:noWrap w:val="0"/>
            <w:vAlign w:val="center"/>
          </w:tcPr>
          <w:p w14:paraId="09A5773E">
            <w:pPr>
              <w:jc w:val="left"/>
              <w:rPr>
                <w:rFonts w:hint="eastAsia" w:ascii="宋体" w:hAnsi="宋体" w:eastAsia="宋体" w:cs="宋体"/>
                <w:sz w:val="24"/>
                <w:szCs w:val="24"/>
              </w:rPr>
            </w:pPr>
          </w:p>
        </w:tc>
      </w:tr>
      <w:tr w14:paraId="498A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550" w:type="pct"/>
            <w:noWrap w:val="0"/>
            <w:vAlign w:val="center"/>
          </w:tcPr>
          <w:p w14:paraId="1A000B7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548" w:type="pct"/>
            <w:noWrap w:val="0"/>
            <w:vAlign w:val="center"/>
          </w:tcPr>
          <w:p w14:paraId="513F7F01">
            <w:pPr>
              <w:jc w:val="left"/>
              <w:rPr>
                <w:rFonts w:hint="eastAsia" w:ascii="宋体" w:hAnsi="宋体" w:eastAsia="宋体" w:cs="宋体"/>
                <w:sz w:val="24"/>
                <w:szCs w:val="24"/>
              </w:rPr>
            </w:pPr>
          </w:p>
        </w:tc>
        <w:tc>
          <w:tcPr>
            <w:tcW w:w="554" w:type="pct"/>
            <w:noWrap w:val="0"/>
            <w:vAlign w:val="center"/>
          </w:tcPr>
          <w:p w14:paraId="109432F7">
            <w:pPr>
              <w:jc w:val="left"/>
              <w:rPr>
                <w:rFonts w:hint="eastAsia" w:ascii="宋体" w:hAnsi="宋体" w:eastAsia="宋体" w:cs="宋体"/>
                <w:sz w:val="24"/>
                <w:szCs w:val="24"/>
              </w:rPr>
            </w:pPr>
          </w:p>
        </w:tc>
        <w:tc>
          <w:tcPr>
            <w:tcW w:w="864" w:type="pct"/>
            <w:noWrap w:val="0"/>
            <w:vAlign w:val="center"/>
          </w:tcPr>
          <w:p w14:paraId="44FC7BF0">
            <w:pPr>
              <w:jc w:val="left"/>
              <w:rPr>
                <w:rFonts w:hint="eastAsia" w:ascii="宋体" w:hAnsi="宋体" w:eastAsia="宋体" w:cs="宋体"/>
                <w:sz w:val="24"/>
                <w:szCs w:val="24"/>
              </w:rPr>
            </w:pPr>
          </w:p>
        </w:tc>
        <w:tc>
          <w:tcPr>
            <w:tcW w:w="746" w:type="pct"/>
            <w:noWrap w:val="0"/>
            <w:vAlign w:val="center"/>
          </w:tcPr>
          <w:p w14:paraId="10DE703A">
            <w:pPr>
              <w:jc w:val="left"/>
              <w:rPr>
                <w:rFonts w:hint="eastAsia" w:ascii="宋体" w:hAnsi="宋体" w:eastAsia="宋体" w:cs="宋体"/>
                <w:sz w:val="24"/>
                <w:szCs w:val="24"/>
              </w:rPr>
            </w:pPr>
          </w:p>
        </w:tc>
        <w:tc>
          <w:tcPr>
            <w:tcW w:w="808" w:type="pct"/>
            <w:noWrap w:val="0"/>
            <w:vAlign w:val="center"/>
          </w:tcPr>
          <w:p w14:paraId="332F6444">
            <w:pPr>
              <w:jc w:val="left"/>
              <w:rPr>
                <w:rFonts w:hint="eastAsia" w:ascii="宋体" w:hAnsi="宋体" w:eastAsia="宋体" w:cs="宋体"/>
                <w:sz w:val="24"/>
                <w:szCs w:val="24"/>
              </w:rPr>
            </w:pPr>
          </w:p>
        </w:tc>
        <w:tc>
          <w:tcPr>
            <w:tcW w:w="927" w:type="pct"/>
            <w:noWrap w:val="0"/>
            <w:vAlign w:val="center"/>
          </w:tcPr>
          <w:p w14:paraId="77E1BC4E">
            <w:pPr>
              <w:jc w:val="left"/>
              <w:rPr>
                <w:rFonts w:hint="eastAsia" w:ascii="宋体" w:hAnsi="宋体" w:eastAsia="宋体" w:cs="宋体"/>
                <w:sz w:val="24"/>
                <w:szCs w:val="24"/>
              </w:rPr>
            </w:pPr>
          </w:p>
        </w:tc>
      </w:tr>
      <w:tr w14:paraId="1E4A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550" w:type="pct"/>
            <w:noWrap w:val="0"/>
            <w:vAlign w:val="center"/>
          </w:tcPr>
          <w:p w14:paraId="700B076B">
            <w:pPr>
              <w:jc w:val="left"/>
              <w:rPr>
                <w:rFonts w:hint="eastAsia" w:ascii="宋体" w:hAnsi="宋体" w:eastAsia="宋体" w:cs="宋体"/>
                <w:sz w:val="24"/>
                <w:szCs w:val="24"/>
              </w:rPr>
            </w:pPr>
          </w:p>
        </w:tc>
        <w:tc>
          <w:tcPr>
            <w:tcW w:w="548" w:type="pct"/>
            <w:noWrap w:val="0"/>
            <w:vAlign w:val="center"/>
          </w:tcPr>
          <w:p w14:paraId="1C008E8C">
            <w:pPr>
              <w:jc w:val="left"/>
              <w:rPr>
                <w:rFonts w:hint="eastAsia" w:ascii="宋体" w:hAnsi="宋体" w:eastAsia="宋体" w:cs="宋体"/>
                <w:sz w:val="24"/>
                <w:szCs w:val="24"/>
              </w:rPr>
            </w:pPr>
          </w:p>
        </w:tc>
        <w:tc>
          <w:tcPr>
            <w:tcW w:w="554" w:type="pct"/>
            <w:noWrap w:val="0"/>
            <w:vAlign w:val="center"/>
          </w:tcPr>
          <w:p w14:paraId="68102577">
            <w:pPr>
              <w:jc w:val="left"/>
              <w:rPr>
                <w:rFonts w:hint="eastAsia" w:ascii="宋体" w:hAnsi="宋体" w:eastAsia="宋体" w:cs="宋体"/>
                <w:sz w:val="24"/>
                <w:szCs w:val="24"/>
              </w:rPr>
            </w:pPr>
          </w:p>
        </w:tc>
        <w:tc>
          <w:tcPr>
            <w:tcW w:w="864" w:type="pct"/>
            <w:noWrap w:val="0"/>
            <w:vAlign w:val="center"/>
          </w:tcPr>
          <w:p w14:paraId="76D312E3">
            <w:pPr>
              <w:jc w:val="left"/>
              <w:rPr>
                <w:rFonts w:hint="eastAsia" w:ascii="宋体" w:hAnsi="宋体" w:eastAsia="宋体" w:cs="宋体"/>
                <w:sz w:val="24"/>
                <w:szCs w:val="24"/>
              </w:rPr>
            </w:pPr>
          </w:p>
        </w:tc>
        <w:tc>
          <w:tcPr>
            <w:tcW w:w="746" w:type="pct"/>
            <w:noWrap w:val="0"/>
            <w:vAlign w:val="center"/>
          </w:tcPr>
          <w:p w14:paraId="2F740761">
            <w:pPr>
              <w:jc w:val="left"/>
              <w:rPr>
                <w:rFonts w:hint="eastAsia" w:ascii="宋体" w:hAnsi="宋体" w:eastAsia="宋体" w:cs="宋体"/>
                <w:sz w:val="24"/>
                <w:szCs w:val="24"/>
              </w:rPr>
            </w:pPr>
          </w:p>
        </w:tc>
        <w:tc>
          <w:tcPr>
            <w:tcW w:w="808" w:type="pct"/>
            <w:noWrap w:val="0"/>
            <w:vAlign w:val="center"/>
          </w:tcPr>
          <w:p w14:paraId="6A6C9D27">
            <w:pPr>
              <w:jc w:val="left"/>
              <w:rPr>
                <w:rFonts w:hint="eastAsia" w:ascii="宋体" w:hAnsi="宋体" w:eastAsia="宋体" w:cs="宋体"/>
                <w:sz w:val="24"/>
                <w:szCs w:val="24"/>
              </w:rPr>
            </w:pPr>
          </w:p>
        </w:tc>
        <w:tc>
          <w:tcPr>
            <w:tcW w:w="927" w:type="pct"/>
            <w:noWrap w:val="0"/>
            <w:vAlign w:val="center"/>
          </w:tcPr>
          <w:p w14:paraId="73B0D01B">
            <w:pPr>
              <w:jc w:val="left"/>
              <w:rPr>
                <w:rFonts w:hint="eastAsia" w:ascii="宋体" w:hAnsi="宋体" w:eastAsia="宋体" w:cs="宋体"/>
                <w:sz w:val="24"/>
                <w:szCs w:val="24"/>
              </w:rPr>
            </w:pPr>
          </w:p>
        </w:tc>
      </w:tr>
      <w:tr w14:paraId="42B5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550" w:type="pct"/>
            <w:noWrap w:val="0"/>
            <w:vAlign w:val="center"/>
          </w:tcPr>
          <w:p w14:paraId="1A5DEBF8">
            <w:pPr>
              <w:jc w:val="left"/>
              <w:rPr>
                <w:rFonts w:hint="eastAsia" w:ascii="宋体" w:hAnsi="宋体" w:eastAsia="宋体" w:cs="宋体"/>
                <w:sz w:val="24"/>
                <w:szCs w:val="24"/>
              </w:rPr>
            </w:pPr>
          </w:p>
        </w:tc>
        <w:tc>
          <w:tcPr>
            <w:tcW w:w="548" w:type="pct"/>
            <w:noWrap w:val="0"/>
            <w:vAlign w:val="center"/>
          </w:tcPr>
          <w:p w14:paraId="7AE8FAF1">
            <w:pPr>
              <w:jc w:val="left"/>
              <w:rPr>
                <w:rFonts w:hint="eastAsia" w:ascii="宋体" w:hAnsi="宋体" w:eastAsia="宋体" w:cs="宋体"/>
                <w:sz w:val="24"/>
                <w:szCs w:val="24"/>
              </w:rPr>
            </w:pPr>
          </w:p>
        </w:tc>
        <w:tc>
          <w:tcPr>
            <w:tcW w:w="554" w:type="pct"/>
            <w:noWrap w:val="0"/>
            <w:vAlign w:val="center"/>
          </w:tcPr>
          <w:p w14:paraId="09832B0F">
            <w:pPr>
              <w:jc w:val="left"/>
              <w:rPr>
                <w:rFonts w:hint="eastAsia" w:ascii="宋体" w:hAnsi="宋体" w:eastAsia="宋体" w:cs="宋体"/>
                <w:sz w:val="24"/>
                <w:szCs w:val="24"/>
              </w:rPr>
            </w:pPr>
          </w:p>
        </w:tc>
        <w:tc>
          <w:tcPr>
            <w:tcW w:w="864" w:type="pct"/>
            <w:noWrap w:val="0"/>
            <w:vAlign w:val="center"/>
          </w:tcPr>
          <w:p w14:paraId="0B5C1F3C">
            <w:pPr>
              <w:jc w:val="left"/>
              <w:rPr>
                <w:rFonts w:hint="eastAsia" w:ascii="宋体" w:hAnsi="宋体" w:eastAsia="宋体" w:cs="宋体"/>
                <w:sz w:val="24"/>
                <w:szCs w:val="24"/>
              </w:rPr>
            </w:pPr>
          </w:p>
        </w:tc>
        <w:tc>
          <w:tcPr>
            <w:tcW w:w="746" w:type="pct"/>
            <w:noWrap w:val="0"/>
            <w:vAlign w:val="center"/>
          </w:tcPr>
          <w:p w14:paraId="579F8DAF">
            <w:pPr>
              <w:jc w:val="left"/>
              <w:rPr>
                <w:rFonts w:hint="eastAsia" w:ascii="宋体" w:hAnsi="宋体" w:eastAsia="宋体" w:cs="宋体"/>
                <w:sz w:val="24"/>
                <w:szCs w:val="24"/>
              </w:rPr>
            </w:pPr>
          </w:p>
        </w:tc>
        <w:tc>
          <w:tcPr>
            <w:tcW w:w="808" w:type="pct"/>
            <w:noWrap w:val="0"/>
            <w:vAlign w:val="center"/>
          </w:tcPr>
          <w:p w14:paraId="71805B9A">
            <w:pPr>
              <w:jc w:val="left"/>
              <w:rPr>
                <w:rFonts w:hint="eastAsia" w:ascii="宋体" w:hAnsi="宋体" w:eastAsia="宋体" w:cs="宋体"/>
                <w:sz w:val="24"/>
                <w:szCs w:val="24"/>
              </w:rPr>
            </w:pPr>
          </w:p>
        </w:tc>
        <w:tc>
          <w:tcPr>
            <w:tcW w:w="927" w:type="pct"/>
            <w:noWrap w:val="0"/>
            <w:vAlign w:val="center"/>
          </w:tcPr>
          <w:p w14:paraId="7B84A016">
            <w:pPr>
              <w:jc w:val="left"/>
              <w:rPr>
                <w:rFonts w:hint="eastAsia" w:ascii="宋体" w:hAnsi="宋体" w:eastAsia="宋体" w:cs="宋体"/>
                <w:sz w:val="24"/>
                <w:szCs w:val="24"/>
              </w:rPr>
            </w:pPr>
          </w:p>
        </w:tc>
      </w:tr>
      <w:tr w14:paraId="74EC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550" w:type="pct"/>
            <w:noWrap w:val="0"/>
            <w:vAlign w:val="center"/>
          </w:tcPr>
          <w:p w14:paraId="7B03AE42">
            <w:p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548" w:type="pct"/>
            <w:noWrap w:val="0"/>
            <w:vAlign w:val="center"/>
          </w:tcPr>
          <w:p w14:paraId="5BD77749">
            <w:pPr>
              <w:jc w:val="left"/>
              <w:rPr>
                <w:rFonts w:hint="eastAsia" w:ascii="宋体" w:hAnsi="宋体" w:eastAsia="宋体" w:cs="宋体"/>
                <w:sz w:val="24"/>
                <w:szCs w:val="24"/>
              </w:rPr>
            </w:pPr>
          </w:p>
        </w:tc>
        <w:tc>
          <w:tcPr>
            <w:tcW w:w="554" w:type="pct"/>
            <w:noWrap w:val="0"/>
            <w:vAlign w:val="center"/>
          </w:tcPr>
          <w:p w14:paraId="049694D0">
            <w:pPr>
              <w:jc w:val="left"/>
              <w:rPr>
                <w:rFonts w:hint="eastAsia" w:ascii="宋体" w:hAnsi="宋体" w:eastAsia="宋体" w:cs="宋体"/>
                <w:sz w:val="24"/>
                <w:szCs w:val="24"/>
              </w:rPr>
            </w:pPr>
          </w:p>
        </w:tc>
        <w:tc>
          <w:tcPr>
            <w:tcW w:w="864" w:type="pct"/>
            <w:noWrap w:val="0"/>
            <w:vAlign w:val="center"/>
          </w:tcPr>
          <w:p w14:paraId="74411757">
            <w:pPr>
              <w:jc w:val="left"/>
              <w:rPr>
                <w:rFonts w:hint="eastAsia" w:ascii="宋体" w:hAnsi="宋体" w:eastAsia="宋体" w:cs="宋体"/>
                <w:sz w:val="24"/>
                <w:szCs w:val="24"/>
              </w:rPr>
            </w:pPr>
          </w:p>
        </w:tc>
        <w:tc>
          <w:tcPr>
            <w:tcW w:w="746" w:type="pct"/>
            <w:noWrap w:val="0"/>
            <w:vAlign w:val="center"/>
          </w:tcPr>
          <w:p w14:paraId="3B6BA2D3">
            <w:pPr>
              <w:jc w:val="left"/>
              <w:rPr>
                <w:rFonts w:hint="eastAsia" w:ascii="宋体" w:hAnsi="宋体" w:eastAsia="宋体" w:cs="宋体"/>
                <w:sz w:val="24"/>
                <w:szCs w:val="24"/>
              </w:rPr>
            </w:pPr>
          </w:p>
        </w:tc>
        <w:tc>
          <w:tcPr>
            <w:tcW w:w="808" w:type="pct"/>
            <w:noWrap w:val="0"/>
            <w:vAlign w:val="center"/>
          </w:tcPr>
          <w:p w14:paraId="47D372B7">
            <w:pPr>
              <w:jc w:val="left"/>
              <w:rPr>
                <w:rFonts w:hint="eastAsia" w:ascii="宋体" w:hAnsi="宋体" w:eastAsia="宋体" w:cs="宋体"/>
                <w:sz w:val="24"/>
                <w:szCs w:val="24"/>
              </w:rPr>
            </w:pPr>
          </w:p>
        </w:tc>
        <w:tc>
          <w:tcPr>
            <w:tcW w:w="927" w:type="pct"/>
            <w:noWrap w:val="0"/>
            <w:vAlign w:val="center"/>
          </w:tcPr>
          <w:p w14:paraId="6FA341C9">
            <w:pPr>
              <w:jc w:val="left"/>
              <w:rPr>
                <w:rFonts w:hint="eastAsia" w:ascii="宋体" w:hAnsi="宋体" w:eastAsia="宋体" w:cs="宋体"/>
                <w:sz w:val="24"/>
                <w:szCs w:val="24"/>
              </w:rPr>
            </w:pPr>
          </w:p>
        </w:tc>
      </w:tr>
    </w:tbl>
    <w:p w14:paraId="31CB637B">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p>
    <w:sectPr>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5A19C">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670611D"/>
    <w:rsid w:val="13D45273"/>
    <w:rsid w:val="1A394628"/>
    <w:rsid w:val="31945D63"/>
    <w:rsid w:val="369C0393"/>
    <w:rsid w:val="3F94648D"/>
    <w:rsid w:val="4D2F6535"/>
    <w:rsid w:val="6369543E"/>
    <w:rsid w:val="6ABA2F28"/>
    <w:rsid w:val="6CB53620"/>
    <w:rsid w:val="7A647E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Document Map"/>
    <w:basedOn w:val="1"/>
    <w:qFormat/>
    <w:uiPriority w:val="0"/>
    <w:pPr>
      <w:shd w:val="clear" w:color="auto" w:fill="000080"/>
    </w:pPr>
  </w:style>
  <w:style w:type="paragraph" w:styleId="4">
    <w:name w:val="Body Text Indent"/>
    <w:basedOn w:val="1"/>
    <w:qFormat/>
    <w:uiPriority w:val="0"/>
    <w:pPr>
      <w:spacing w:line="360" w:lineRule="auto"/>
      <w:ind w:firstLine="555"/>
    </w:pPr>
    <w:rPr>
      <w:rFonts w:eastAsia="楷体_GB2312"/>
      <w:sz w:val="28"/>
    </w:r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8">
    <w:name w:val="toc 1"/>
    <w:basedOn w:val="1"/>
    <w:next w:val="1"/>
    <w:qFormat/>
    <w:uiPriority w:val="0"/>
  </w:style>
  <w:style w:type="paragraph" w:styleId="9">
    <w:name w:val="footnote text"/>
    <w:basedOn w:val="1"/>
    <w:link w:val="19"/>
    <w:qFormat/>
    <w:uiPriority w:val="0"/>
    <w:pPr>
      <w:snapToGrid w:val="0"/>
      <w:jc w:val="left"/>
    </w:pPr>
    <w:rPr>
      <w:rFonts w:ascii="宋体" w:hAnsi="宋体" w:eastAsia="宋体"/>
      <w:sz w:val="18"/>
    </w:rPr>
  </w:style>
  <w:style w:type="paragraph" w:styleId="10">
    <w:name w:val="toc 2"/>
    <w:basedOn w:val="1"/>
    <w:next w:val="1"/>
    <w:qFormat/>
    <w:uiPriority w:val="0"/>
    <w:pPr>
      <w:ind w:left="420" w:leftChars="200"/>
    </w:pPr>
  </w:style>
  <w:style w:type="paragraph" w:styleId="11">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uiPriority w:val="0"/>
    <w:rPr>
      <w:color w:val="0000FF"/>
      <w:u w:val="single"/>
    </w:rPr>
  </w:style>
  <w:style w:type="character" w:styleId="17">
    <w:name w:val="footnote reference"/>
    <w:qFormat/>
    <w:uiPriority w:val="0"/>
    <w:rPr>
      <w:vertAlign w:val="superscript"/>
    </w:rPr>
  </w:style>
  <w:style w:type="character" w:customStyle="1" w:styleId="18">
    <w:name w:val="页眉 Char Char"/>
    <w:link w:val="7"/>
    <w:qFormat/>
    <w:uiPriority w:val="0"/>
    <w:rPr>
      <w:rFonts w:eastAsia="宋体"/>
      <w:kern w:val="2"/>
      <w:sz w:val="18"/>
      <w:szCs w:val="18"/>
      <w:lang w:val="en-US" w:eastAsia="zh-CN" w:bidi="ar-SA"/>
    </w:rPr>
  </w:style>
  <w:style w:type="character" w:customStyle="1" w:styleId="19">
    <w:name w:val="脚注文本 Char Char"/>
    <w:link w:val="9"/>
    <w:qFormat/>
    <w:uiPriority w:val="0"/>
    <w:rPr>
      <w:rFonts w:ascii="宋体" w:hAnsi="宋体" w:eastAsia="宋体"/>
      <w:kern w:val="2"/>
      <w:sz w:val="18"/>
      <w:lang w:val="en-US" w:eastAsia="zh-CN" w:bidi="ar-SA"/>
    </w:rPr>
  </w:style>
  <w:style w:type="character" w:customStyle="1" w:styleId="20">
    <w:name w:val="样式2 方正仿宋_GBK 三号 加粗"/>
    <w:qFormat/>
    <w:uiPriority w:val="0"/>
    <w:rPr>
      <w:rFonts w:ascii="方正仿宋_GBK" w:hAnsi="方正仿宋_GBK" w:eastAsia="方正仿宋_GBK"/>
      <w:b/>
      <w:bCs/>
      <w:sz w:val="32"/>
    </w:rPr>
  </w:style>
  <w:style w:type="paragraph" w:customStyle="1" w:styleId="21">
    <w:name w:val="_Style 19"/>
    <w:basedOn w:val="2"/>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FOUNDER</Company>
  <Pages>11</Pages>
  <Words>3946</Words>
  <Characters>4128</Characters>
  <Lines>48</Lines>
  <Paragraphs>13</Paragraphs>
  <TotalTime>0</TotalTime>
  <ScaleCrop>false</ScaleCrop>
  <LinksUpToDate>false</LinksUpToDate>
  <CharactersWithSpaces>4431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2013-08-16T02:30:00Z</dcterms:created>
  <dc:creator>FOUNDER</dc:creator>
  <cp:lastModifiedBy>WPS_1530263423</cp:lastModifiedBy>
  <dcterms:modified xsi:type="dcterms:W3CDTF">2026-08-05T03:36:49Z</dcterms:modified>
  <dc:title>合同编号：</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eyJoZGlkIjoiNmNlODdmYTZjMDBjNDU5NmRjMDlmMjkyYTZiMTNmMmQiLCJ1c2VySWQiOiIzODIyOTQ0NTkifQ==</vt:lpwstr>
  </property>
  <property fmtid="{D5CDD505-2E9C-101B-9397-08002B2CF9AE}" pid="4" name="ICV">
    <vt:lpwstr>EB96C927A0FA4550AB7CAB029483B1F4_13</vt:lpwstr>
  </property>
</Properties>
</file>