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版本号：ZYTT2026-HZ03520260527001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2026年汉中市原滨江新区部分道路绿化环境整治工程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ZYTT2026-HZ035</w:t>
      </w:r>
      <w:r>
        <w:br/>
      </w:r>
      <w:r>
        <w:br/>
      </w:r>
      <w:r>
        <w:br/>
      </w:r>
    </w:p>
    <w:p>
      <w:pPr>
        <w:pStyle w:val="null3"/>
        <w:jc w:val="center"/>
        <w:outlineLvl w:val="2"/>
      </w:pPr>
      <w:r>
        <w:rPr>
          <w:rFonts w:ascii="仿宋_GB2312" w:hAnsi="仿宋_GB2312" w:cs="仿宋_GB2312" w:eastAsia="仿宋_GB2312"/>
          <w:sz w:val="28"/>
          <w:b/>
        </w:rPr>
        <w:t>汉中市园林绿化管理处</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汉中市园林绿化管理处</w:t>
      </w:r>
      <w:r>
        <w:rPr>
          <w:rFonts w:ascii="仿宋_GB2312" w:hAnsi="仿宋_GB2312" w:cs="仿宋_GB2312" w:eastAsia="仿宋_GB2312"/>
        </w:rPr>
        <w:t>委托，拟对</w:t>
      </w:r>
      <w:r>
        <w:rPr>
          <w:rFonts w:ascii="仿宋_GB2312" w:hAnsi="仿宋_GB2312" w:cs="仿宋_GB2312" w:eastAsia="仿宋_GB2312"/>
        </w:rPr>
        <w:t>2026年汉中市原滨江新区部分道路绿化环境整治工程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ZYTT2026-HZ035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2026年汉中市原滨江新区部分道路绿化环境整治工程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2026年汉中市原滨江新区部分道路绿化环境整治工程主要建设内容为：修复绿化带，修补人行道及路缘石，新增绿化带镀锌方管护栏等，具体内容详见工程量清单。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采购包1（2026年汉中市原滨江新区部分道 路绿化环境整治）：属于专门面向中小企业采购。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证明书及授权书：法定代表人直接参加磋商的，须出具法定代表人（单位负责人）身份证明。法定代表人授权代表参加磋商的，须出具法定代表人（单位负责人）授权委托书及被授权人身份证复印件</w:t>
      </w:r>
    </w:p>
    <w:p>
      <w:pPr>
        <w:pStyle w:val="null3"/>
      </w:pPr>
      <w:r>
        <w:rPr>
          <w:rFonts w:ascii="仿宋_GB2312" w:hAnsi="仿宋_GB2312" w:cs="仿宋_GB2312" w:eastAsia="仿宋_GB2312"/>
        </w:rPr>
        <w:t>3、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 ”、“重大税收违法案件当事人名单”中(www.creditchina.gov.cn)，也未列入中国政府采购网“政府采购严重违法失信行为记录名单”中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 号）文件要求，需提供加盖公章的《汉中市政府采购供应商资格承诺函》）</w:t>
      </w:r>
    </w:p>
    <w:p>
      <w:pPr>
        <w:pStyle w:val="null3"/>
      </w:pPr>
      <w:r>
        <w:rPr>
          <w:rFonts w:ascii="仿宋_GB2312" w:hAnsi="仿宋_GB2312" w:cs="仿宋_GB2312" w:eastAsia="仿宋_GB2312"/>
        </w:rPr>
        <w:t>4、资格要求：拟派项目负责人须具备园林专业中级及以上职称且未担任其他在建工程的项目负责人，提供无在建承诺书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汉中市园林绿化管理处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汉台区将坛西路315号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汉中市园林绿化管理处经办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0916-2514459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 A1 号楼 2402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采购包1：619,148.96元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代理服务费收费标准：招标代理服务费参照《国家计委关于印发招标代理服务费管理暂行办法 的通知》（计价格〔2002〕1980号）文件及国家发改委下发的《关于降低部分建设项目收费 标准规范收费行为等有关问题的通知》（发改价格〔2011〕534号）文件规定的收费标准收取 。招标代理服务费以中标价为基数计算，按差额定率累进法计算收取。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汉中市园林绿化管理处</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汉中市园林绿化管理处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汉中市园林绿化管理处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联系人：罗恒</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619,148.96</w:t>
      </w:r>
    </w:p>
    <w:p>
      <w:pPr>
        <w:pStyle w:val="null3"/>
      </w:pPr>
      <w:r>
        <w:rPr>
          <w:rFonts w:ascii="仿宋_GB2312" w:hAnsi="仿宋_GB2312" w:cs="仿宋_GB2312" w:eastAsia="仿宋_GB2312"/>
        </w:rPr>
        <w:t>采购包最高限价（元）: 619,089.34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园林绿化工程施工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619,148.96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标的名称：园林绿化工程施工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一、工程概况：</w:t>
            </w:r>
          </w:p>
          <w:p>
            <w:pPr>
              <w:pStyle w:val="null3"/>
              <w:ind w:firstLine="480"/>
              <w:jc w:val="both"/>
            </w:pPr>
            <w:r>
              <w:rPr>
                <w:rFonts w:ascii="仿宋_GB2312" w:hAnsi="仿宋_GB2312" w:cs="仿宋_GB2312" w:eastAsia="仿宋_GB2312"/>
                <w:sz w:val="24"/>
              </w:rPr>
              <w:t>该工程主要内容为：修复绿化带，修补人行道及路缘石，新增绿化带镀锌方管护栏</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b/>
              </w:rPr>
              <w:t>二、编制依据：</w:t>
            </w:r>
          </w:p>
          <w:p>
            <w:pPr>
              <w:pStyle w:val="null3"/>
              <w:ind w:firstLine="435"/>
              <w:jc w:val="both"/>
            </w:pPr>
            <w:r>
              <w:rPr>
                <w:rFonts w:ascii="仿宋_GB2312" w:hAnsi="仿宋_GB2312" w:cs="仿宋_GB2312" w:eastAsia="仿宋_GB2312"/>
                <w:sz w:val="21"/>
                <w:b/>
              </w:rPr>
              <w:t xml:space="preserve"> </w:t>
            </w:r>
            <w:r>
              <w:rPr>
                <w:rFonts w:ascii="仿宋_GB2312" w:hAnsi="仿宋_GB2312" w:cs="仿宋_GB2312" w:eastAsia="仿宋_GB2312"/>
                <w:sz w:val="24"/>
              </w:rPr>
              <w:t>1、20</w:t>
            </w:r>
            <w:r>
              <w:rPr>
                <w:rFonts w:ascii="仿宋_GB2312" w:hAnsi="仿宋_GB2312" w:cs="仿宋_GB2312" w:eastAsia="仿宋_GB2312"/>
                <w:sz w:val="24"/>
              </w:rPr>
              <w:t>25</w:t>
            </w:r>
            <w:r>
              <w:rPr>
                <w:rFonts w:ascii="仿宋_GB2312" w:hAnsi="仿宋_GB2312" w:cs="仿宋_GB2312" w:eastAsia="仿宋_GB2312"/>
                <w:sz w:val="24"/>
              </w:rPr>
              <w:t>《陕西省建筑工程工程量清单计价规则》；</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、《陕西省建设工程费用规则》（</w:t>
            </w:r>
            <w:r>
              <w:rPr>
                <w:rFonts w:ascii="仿宋_GB2312" w:hAnsi="仿宋_GB2312" w:cs="仿宋_GB2312" w:eastAsia="仿宋_GB2312"/>
                <w:sz w:val="24"/>
              </w:rPr>
              <w:t>2025）、《建设工程工程量清单计价标准》（2025）、《房屋建筑与装修工程工程量计算标准》、《通用安装工程工程量计算标准》及其配套文件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、《陕西省</w:t>
            </w:r>
            <w:r>
              <w:rPr>
                <w:rFonts w:ascii="仿宋_GB2312" w:hAnsi="仿宋_GB2312" w:cs="仿宋_GB2312" w:eastAsia="仿宋_GB2312"/>
                <w:sz w:val="24"/>
              </w:rPr>
              <w:t>园林绿化</w:t>
            </w:r>
            <w:r>
              <w:rPr>
                <w:rFonts w:ascii="仿宋_GB2312" w:hAnsi="仿宋_GB2312" w:cs="仿宋_GB2312" w:eastAsia="仿宋_GB2312"/>
                <w:sz w:val="24"/>
              </w:rPr>
              <w:t>工程消耗量定额》（</w:t>
            </w:r>
            <w:r>
              <w:rPr>
                <w:rFonts w:ascii="仿宋_GB2312" w:hAnsi="仿宋_GB2312" w:cs="仿宋_GB2312" w:eastAsia="仿宋_GB2312"/>
                <w:sz w:val="24"/>
              </w:rPr>
              <w:t>2025）、《陕西省通用安装工程消耗量定额》（2025）、《陕西省</w:t>
            </w:r>
            <w:r>
              <w:rPr>
                <w:rFonts w:ascii="仿宋_GB2312" w:hAnsi="仿宋_GB2312" w:cs="仿宋_GB2312" w:eastAsia="仿宋_GB2312"/>
                <w:sz w:val="24"/>
              </w:rPr>
              <w:t>市政工程消耗量</w:t>
            </w:r>
            <w:r>
              <w:rPr>
                <w:rFonts w:ascii="仿宋_GB2312" w:hAnsi="仿宋_GB2312" w:cs="仿宋_GB2312" w:eastAsia="仿宋_GB2312"/>
                <w:sz w:val="24"/>
              </w:rPr>
              <w:t>定额》（</w:t>
            </w:r>
            <w:r>
              <w:rPr>
                <w:rFonts w:ascii="仿宋_GB2312" w:hAnsi="仿宋_GB2312" w:cs="仿宋_GB2312" w:eastAsia="仿宋_GB2312"/>
                <w:sz w:val="24"/>
              </w:rPr>
              <w:t>2025）；</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、《陕西省</w:t>
            </w:r>
            <w:r>
              <w:rPr>
                <w:rFonts w:ascii="仿宋_GB2312" w:hAnsi="仿宋_GB2312" w:cs="仿宋_GB2312" w:eastAsia="仿宋_GB2312"/>
                <w:sz w:val="24"/>
              </w:rPr>
              <w:t>园林绿化</w:t>
            </w:r>
            <w:r>
              <w:rPr>
                <w:rFonts w:ascii="仿宋_GB2312" w:hAnsi="仿宋_GB2312" w:cs="仿宋_GB2312" w:eastAsia="仿宋_GB2312"/>
                <w:sz w:val="24"/>
              </w:rPr>
              <w:t>工程基价表》（</w:t>
            </w:r>
            <w:r>
              <w:rPr>
                <w:rFonts w:ascii="仿宋_GB2312" w:hAnsi="仿宋_GB2312" w:cs="仿宋_GB2312" w:eastAsia="仿宋_GB2312"/>
                <w:sz w:val="24"/>
              </w:rPr>
              <w:t>2025）、《陕西省</w:t>
            </w:r>
            <w:r>
              <w:rPr>
                <w:rFonts w:ascii="仿宋_GB2312" w:hAnsi="仿宋_GB2312" w:cs="仿宋_GB2312" w:eastAsia="仿宋_GB2312"/>
                <w:sz w:val="24"/>
              </w:rPr>
              <w:t>市政</w:t>
            </w:r>
            <w:r>
              <w:rPr>
                <w:rFonts w:ascii="仿宋_GB2312" w:hAnsi="仿宋_GB2312" w:cs="仿宋_GB2312" w:eastAsia="仿宋_GB2312"/>
                <w:sz w:val="24"/>
              </w:rPr>
              <w:t>工程基价表》（</w:t>
            </w:r>
            <w:r>
              <w:rPr>
                <w:rFonts w:ascii="仿宋_GB2312" w:hAnsi="仿宋_GB2312" w:cs="仿宋_GB2312" w:eastAsia="仿宋_GB2312"/>
                <w:sz w:val="24"/>
              </w:rPr>
              <w:t>2025）；</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《陕西省住房和城乡建设厅关于印发</w:t>
            </w:r>
            <w:r>
              <w:rPr>
                <w:rFonts w:ascii="仿宋_GB2312" w:hAnsi="仿宋_GB2312" w:cs="仿宋_GB2312" w:eastAsia="仿宋_GB2312"/>
                <w:sz w:val="24"/>
              </w:rPr>
              <w:t>2025 陕西省建设工程费用规则等计价依据的通知》陕建管发〔2025〕10号文件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、该工程税金费率执行陕建发【</w:t>
            </w:r>
            <w:r>
              <w:rPr>
                <w:rFonts w:ascii="仿宋_GB2312" w:hAnsi="仿宋_GB2312" w:cs="仿宋_GB2312" w:eastAsia="仿宋_GB2312"/>
                <w:sz w:val="24"/>
              </w:rPr>
              <w:t>2019】45号文件《关于调整建设工程计价依据增值税税率的通知》；</w:t>
            </w:r>
          </w:p>
          <w:p>
            <w:pPr>
              <w:pStyle w:val="null3"/>
              <w:ind w:firstLine="480"/>
              <w:jc w:val="both"/>
            </w:pPr>
            <w:r>
              <w:rPr>
                <w:rFonts w:ascii="仿宋_GB2312" w:hAnsi="仿宋_GB2312" w:cs="仿宋_GB2312" w:eastAsia="仿宋_GB2312"/>
                <w:sz w:val="24"/>
              </w:rPr>
              <w:t>7、该工程执行陕建发【2019】1246号文件，决定把落实实名制管理费用列入安全文明施工措施费（不可竞争费）计取；</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、主要材料价按汉中市工程造价管理办公室发布的《汉中建设工程造价信息》</w:t>
            </w:r>
            <w:r>
              <w:rPr>
                <w:rFonts w:ascii="仿宋_GB2312" w:hAnsi="仿宋_GB2312" w:cs="仿宋_GB2312" w:eastAsia="仿宋_GB2312"/>
                <w:sz w:val="24"/>
              </w:rPr>
              <w:t>20</w:t>
            </w:r>
            <w:r>
              <w:rPr>
                <w:rFonts w:ascii="仿宋_GB2312" w:hAnsi="仿宋_GB2312" w:cs="仿宋_GB2312" w:eastAsia="仿宋_GB2312"/>
                <w:sz w:val="24"/>
              </w:rPr>
              <w:t>26</w:t>
            </w:r>
            <w:r>
              <w:rPr>
                <w:rFonts w:ascii="仿宋_GB2312" w:hAnsi="仿宋_GB2312" w:cs="仿宋_GB2312" w:eastAsia="仿宋_GB2312"/>
                <w:sz w:val="24"/>
              </w:rPr>
              <w:t>年第</w:t>
            </w:r>
            <w:r>
              <w:rPr>
                <w:rFonts w:ascii="仿宋_GB2312" w:hAnsi="仿宋_GB2312" w:cs="仿宋_GB2312" w:eastAsia="仿宋_GB2312"/>
                <w:sz w:val="24"/>
              </w:rPr>
              <w:t>2</w:t>
            </w:r>
            <w:r>
              <w:rPr>
                <w:rFonts w:ascii="仿宋_GB2312" w:hAnsi="仿宋_GB2312" w:cs="仿宋_GB2312" w:eastAsia="仿宋_GB2312"/>
                <w:sz w:val="24"/>
              </w:rPr>
              <w:t>期材料价</w:t>
            </w:r>
            <w:r>
              <w:rPr>
                <w:rFonts w:ascii="仿宋_GB2312" w:hAnsi="仿宋_GB2312" w:cs="仿宋_GB2312" w:eastAsia="仿宋_GB2312"/>
                <w:sz w:val="24"/>
              </w:rPr>
              <w:t>并结合</w:t>
            </w:r>
            <w:r>
              <w:rPr>
                <w:rFonts w:ascii="仿宋_GB2312" w:hAnsi="仿宋_GB2312" w:cs="仿宋_GB2312" w:eastAsia="仿宋_GB2312"/>
                <w:sz w:val="24"/>
              </w:rPr>
              <w:t>当前建筑材料市场价综合计入。</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、有关问题说明</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、花木移植运距</w:t>
            </w:r>
            <w:r>
              <w:rPr>
                <w:rFonts w:ascii="仿宋_GB2312" w:hAnsi="仿宋_GB2312" w:cs="仿宋_GB2312" w:eastAsia="仿宋_GB2312"/>
                <w:sz w:val="24"/>
              </w:rPr>
              <w:t>按</w:t>
            </w:r>
            <w:r>
              <w:rPr>
                <w:rFonts w:ascii="仿宋_GB2312" w:hAnsi="仿宋_GB2312" w:cs="仿宋_GB2312" w:eastAsia="仿宋_GB2312"/>
                <w:sz w:val="24"/>
              </w:rPr>
              <w:t>3km</w:t>
            </w:r>
            <w:r>
              <w:rPr>
                <w:rFonts w:ascii="仿宋_GB2312" w:hAnsi="仿宋_GB2312" w:cs="仿宋_GB2312" w:eastAsia="仿宋_GB2312"/>
                <w:sz w:val="24"/>
              </w:rPr>
              <w:t>计算；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养护期</w:t>
            </w:r>
            <w:r>
              <w:rPr>
                <w:rFonts w:ascii="仿宋_GB2312" w:hAnsi="仿宋_GB2312" w:cs="仿宋_GB2312" w:eastAsia="仿宋_GB2312"/>
                <w:sz w:val="24"/>
              </w:rPr>
              <w:t>按</w:t>
            </w:r>
            <w:r>
              <w:rPr>
                <w:rFonts w:ascii="仿宋_GB2312" w:hAnsi="仿宋_GB2312" w:cs="仿宋_GB2312" w:eastAsia="仿宋_GB2312"/>
                <w:sz w:val="24"/>
              </w:rPr>
              <w:t>一年</w:t>
            </w:r>
            <w:r>
              <w:rPr>
                <w:rFonts w:ascii="仿宋_GB2312" w:hAnsi="仿宋_GB2312" w:cs="仿宋_GB2312" w:eastAsia="仿宋_GB2312"/>
                <w:sz w:val="24"/>
              </w:rPr>
              <w:t>计算；</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、本工程量清单中的工程量及清单描述如与实际施工不符时，竣工结算时按实际发生签证工程量进行调整；</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工期与质量等级要求：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工期：</w:t>
            </w:r>
            <w:r>
              <w:rPr>
                <w:rFonts w:ascii="仿宋_GB2312" w:hAnsi="仿宋_GB2312" w:cs="仿宋_GB2312" w:eastAsia="仿宋_GB2312"/>
                <w:sz w:val="24"/>
              </w:rPr>
              <w:t>10日历天</w:t>
            </w:r>
            <w:r>
              <w:rPr>
                <w:rFonts w:ascii="仿宋_GB2312" w:hAnsi="仿宋_GB2312" w:cs="仿宋_GB2312" w:eastAsia="仿宋_GB2312"/>
                <w:sz w:val="24"/>
              </w:rPr>
              <w:t xml:space="preserve">         </w:t>
            </w:r>
            <w:r>
              <w:rPr>
                <w:rFonts w:ascii="仿宋_GB2312" w:hAnsi="仿宋_GB2312" w:cs="仿宋_GB2312" w:eastAsia="仿宋_GB2312"/>
                <w:sz w:val="24"/>
              </w:rPr>
              <w:t>质量等级：合格</w:t>
            </w:r>
          </w:p>
          <w:p>
            <w:pPr>
              <w:pStyle w:val="null3"/>
              <w:jc w:val="both"/>
            </w:pPr>
            <w:r>
              <w:rPr>
                <w:rFonts w:ascii="仿宋_GB2312" w:hAnsi="仿宋_GB2312" w:cs="仿宋_GB2312" w:eastAsia="仿宋_GB2312"/>
                <w:sz w:val="24"/>
                <w:b/>
              </w:rPr>
              <w:t>五、施工范围：</w:t>
            </w:r>
            <w:r>
              <w:rPr>
                <w:rFonts w:ascii="仿宋_GB2312" w:hAnsi="仿宋_GB2312" w:cs="仿宋_GB2312" w:eastAsia="仿宋_GB2312"/>
                <w:sz w:val="24"/>
                <w:b/>
              </w:rPr>
              <w:t>工程量清单内所含的全部内容</w:t>
            </w:r>
            <w:r>
              <w:rPr>
                <w:rFonts w:ascii="仿宋_GB2312" w:hAnsi="仿宋_GB2312" w:cs="仿宋_GB2312" w:eastAsia="仿宋_GB2312"/>
              </w:rPr>
              <w:t xml:space="preserve">  </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为顺利推进政府采购电子化交易平台应用工作，中标供应商需要在领取中标通知书时向代理机构提供纸质版响应文件，正 本壹份、副本贰份、电子版壹份，若线上电子响应文件与纸质响应文件不一致的，以线上电子响应文件为准；若正本和副本不 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法定代表人直接参加磋商的，须出具法定代表人（单位负责人）身份证明。法定代表人授权代表参加磋商的，须出具法定代表人（单位负责人）授权委托书及被授权人身份证复印件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 ”、“重大税收违法案件当事人名单”中(www.creditchina.gov.cn)，也未列入中国政府采购网“政府采购严重违法失信行为记录名单”中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 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拟派项目负责人须具备园林专业中级及以上职称且未担任其他在建工程的项目负责人，提供无在建承诺书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供应商针对本项目编制完善的资源配置计划，内容包含：①劳动力资源配置计划②施工机械设备投入计划③主要施工材料供应计划。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供应商针对本项目编制科学的项目管理机构，内容包含：①管理机构的配备计划②组织机构的岗位职责及管理制度。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1分；缺1项，得0.5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供应商提供2023年1月至今类似项目业绩（以签订日期为准），每出具一个得1分，满分1分。 评审依据：以供应商提供的业绩合同/协议书的复印件（加盖供应商公章）为评审依据进行计分（合同须体现项目内容、签订时间及签字盖章页等关键页）。</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 规定：价格分采用低价优先法计算，即满足竞争性磋商文件要求且最后报价最低的供应商 的价格为磋商基准价，其价格分为满分。其他供应商的价格分统一按照下列公式计算：磋商报价得分=（磋商基准价/最终磋商报价）×价格权值（即30%）×100 （因落实政府采 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