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版本号：ZXZB-CG2026-22520260810003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超声探头系统采购项目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ZXZB-CG2026-225</w:t>
      </w:r>
      <w:r>
        <w:br/>
      </w:r>
      <w:r>
        <w:br/>
      </w:r>
      <w:r>
        <w:br/>
      </w:r>
    </w:p>
    <w:p>
      <w:pPr>
        <w:pStyle w:val="null3"/>
        <w:jc w:val="center"/>
        <w:outlineLvl w:val="2"/>
      </w:pPr>
      <w:r>
        <w:rPr>
          <w:rFonts w:ascii="仿宋_GB2312" w:hAnsi="仿宋_GB2312" w:cs="仿宋_GB2312" w:eastAsia="仿宋_GB2312"/>
          <w:sz w:val="28"/>
          <w:b/>
        </w:rPr>
        <w:t>陕西中医药大学第二附属医院</w:t>
      </w:r>
    </w:p>
    <w:p>
      <w:pPr>
        <w:pStyle w:val="null3"/>
        <w:jc w:val="center"/>
        <w:outlineLvl w:val="2"/>
      </w:pPr>
      <w:r>
        <w:rPr>
          <w:rFonts w:ascii="仿宋_GB2312" w:hAnsi="仿宋_GB2312" w:cs="仿宋_GB2312" w:eastAsia="仿宋_GB2312"/>
          <w:sz w:val="28"/>
          <w:b/>
        </w:rPr>
        <w:t>陕西中信项目咨询有限公司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陕西中信项目咨询有限公司</w:t>
      </w:r>
      <w:r>
        <w:rPr>
          <w:rFonts w:ascii="仿宋_GB2312" w:hAnsi="仿宋_GB2312" w:cs="仿宋_GB2312" w:eastAsia="仿宋_GB2312"/>
        </w:rPr>
        <w:t>（以下简称“代理机构”）受</w:t>
      </w:r>
      <w:r>
        <w:rPr>
          <w:rFonts w:ascii="仿宋_GB2312" w:hAnsi="仿宋_GB2312" w:cs="仿宋_GB2312" w:eastAsia="仿宋_GB2312"/>
        </w:rPr>
        <w:t>陕西中医药大学第二附属医院</w:t>
      </w:r>
      <w:r>
        <w:rPr>
          <w:rFonts w:ascii="仿宋_GB2312" w:hAnsi="仿宋_GB2312" w:cs="仿宋_GB2312" w:eastAsia="仿宋_GB2312"/>
        </w:rPr>
        <w:t>委托，拟对</w:t>
      </w:r>
      <w:r>
        <w:rPr>
          <w:rFonts w:ascii="仿宋_GB2312" w:hAnsi="仿宋_GB2312" w:cs="仿宋_GB2312" w:eastAsia="仿宋_GB2312"/>
        </w:rPr>
        <w:t>超声探头系统采购项目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ZXZB-CG2026-225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超声探头系统采购项目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陕西中医药大学第二附属医院采购超声探头系统1套。</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具有良好的商业信誉和健全的财务会计制度：提供2025年完整的财务审计报告，或投标截止时间前六个月内公司基本账户开户银行出具的资信证明（附基本存款账户信息），其他组织和自然人提供银行出具的资信证明。</w:t>
      </w:r>
    </w:p>
    <w:p>
      <w:pPr>
        <w:pStyle w:val="null3"/>
      </w:pPr>
      <w:r>
        <w:rPr>
          <w:rFonts w:ascii="仿宋_GB2312" w:hAnsi="仿宋_GB2312" w:cs="仿宋_GB2312" w:eastAsia="仿宋_GB2312"/>
        </w:rPr>
        <w:t>3、具有履行合同所必需的设备和专业技术能力：提供具有履行合同所必需的设备和专业技术能力的承诺书。</w:t>
      </w:r>
    </w:p>
    <w:p>
      <w:pPr>
        <w:pStyle w:val="null3"/>
      </w:pPr>
      <w:r>
        <w:rPr>
          <w:rFonts w:ascii="仿宋_GB2312" w:hAnsi="仿宋_GB2312" w:cs="仿宋_GB2312" w:eastAsia="仿宋_GB2312"/>
        </w:rPr>
        <w:t>4、有依法缴纳税收的良好记录：提供2025年8月至今已缴纳的至少一个月的纳税证明或完税证明，依法免税的单位应提供相关证明材料。</w:t>
      </w:r>
    </w:p>
    <w:p>
      <w:pPr>
        <w:pStyle w:val="null3"/>
      </w:pPr>
      <w:r>
        <w:rPr>
          <w:rFonts w:ascii="仿宋_GB2312" w:hAnsi="仿宋_GB2312" w:cs="仿宋_GB2312" w:eastAsia="仿宋_GB2312"/>
        </w:rPr>
        <w:t>5、有依法缴纳社会保障资金的良好记录：提供2025年8月至今已缴存的至少一个月的社会保障资金缴存单据或社保机构开具的社会保险参保缴费情况证明，依法不需要缴纳社会保障资金的单位应提供相关证明材料。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参加政府采购活动前三年内，在经营活动中没有重大违法记录：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w:t>
      </w:r>
    </w:p>
    <w:p>
      <w:pPr>
        <w:pStyle w:val="null3"/>
      </w:pPr>
      <w:r>
        <w:rPr>
          <w:rFonts w:ascii="仿宋_GB2312" w:hAnsi="仿宋_GB2312" w:cs="仿宋_GB2312" w:eastAsia="仿宋_GB2312"/>
        </w:rPr>
        <w:t>7、法定代表人（主要负责人）授权委托书/身份证明：法定代表人（主要负责人）参与投标时，提供法定代表人（主要负责人）身份证明；授权代表参与投标时，提供法定代表人（主要负责人）授权委托书。</w:t>
      </w:r>
    </w:p>
    <w:p>
      <w:pPr>
        <w:pStyle w:val="null3"/>
      </w:pPr>
      <w:r>
        <w:rPr>
          <w:rFonts w:ascii="仿宋_GB2312" w:hAnsi="仿宋_GB2312" w:cs="仿宋_GB2312" w:eastAsia="仿宋_GB2312"/>
        </w:rPr>
        <w:t>8、医疗器械资质文件：投标人为生产企业的须提供：投标产品《医疗器械注册证》和《医疗器械生产许可证》； 投标人为经销商的须提供：《医疗器械经营许可证》、生产企业投标产品《医疗器械注册证》、《医疗器械生产许可证》。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陕西中医药大学第二附属医院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咸阳市渭阳西路5号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029-33350559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陕西中信项目咨询有限公司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陕西省西安市碑林区和平路71号综合楼5楼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孔仙、贾雅楠、谢圆圆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029-87216602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开户名称：陕西中信项目咨询有限公司</w:t>
            </w:r>
          </w:p>
          <w:p>
            <w:pPr>
              <w:pStyle w:val="null3"/>
            </w:pPr>
            <w:r>
              <w:rPr>
                <w:rFonts w:ascii="仿宋_GB2312" w:hAnsi="仿宋_GB2312" w:cs="仿宋_GB2312" w:eastAsia="仿宋_GB2312"/>
              </w:rPr>
              <w:t>开户银行：中国民生银行股份有限公司西安航天城支行</w:t>
            </w:r>
          </w:p>
          <w:p>
            <w:pPr>
              <w:pStyle w:val="null3"/>
            </w:pPr>
            <w:r>
              <w:rPr>
                <w:rFonts w:ascii="仿宋_GB2312" w:hAnsi="仿宋_GB2312" w:cs="仿宋_GB2312" w:eastAsia="仿宋_GB2312"/>
              </w:rPr>
              <w:t>银行账号：642661038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代理服务费收费标准：参照原《招标代理服务收费管理暂行办法》（计价格〔2002〕1980 号）收费标准下浮45%。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陕西中医药大学第二附属医院</w:t>
      </w:r>
      <w:r>
        <w:rPr>
          <w:rFonts w:ascii="仿宋_GB2312" w:hAnsi="仿宋_GB2312" w:cs="仿宋_GB2312" w:eastAsia="仿宋_GB2312"/>
        </w:rPr>
        <w:t>和</w:t>
      </w:r>
      <w:r>
        <w:rPr>
          <w:rFonts w:ascii="仿宋_GB2312" w:hAnsi="仿宋_GB2312" w:cs="仿宋_GB2312" w:eastAsia="仿宋_GB2312"/>
        </w:rPr>
        <w:t>陕西中信项目咨询有限公司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陕西中医药大学第二附属医院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陕西中信项目咨询有限公司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陕西中医药大学第二附属医院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陕西中信项目咨询有限公司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投标人应保证所提供的服务或其任何一部分均不会侵犯任何第三方的专利权、商标权或其它知识产权。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按照招标文件、国家及行业现行标准执行。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陕西中信项目咨询有限公司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陕西中信项目咨询有限公司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陕西中信项目咨询有限公司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联系人：孔仙</w:t>
      </w:r>
    </w:p>
    <w:p>
      <w:pPr>
        <w:pStyle w:val="null3"/>
      </w:pPr>
      <w:r>
        <w:rPr>
          <w:rFonts w:ascii="仿宋_GB2312" w:hAnsi="仿宋_GB2312" w:cs="仿宋_GB2312" w:eastAsia="仿宋_GB2312"/>
        </w:rPr>
        <w:t>联系电话：029-87216602</w:t>
      </w:r>
    </w:p>
    <w:p>
      <w:pPr>
        <w:pStyle w:val="null3"/>
      </w:pPr>
      <w:r>
        <w:rPr>
          <w:rFonts w:ascii="仿宋_GB2312" w:hAnsi="仿宋_GB2312" w:cs="仿宋_GB2312" w:eastAsia="仿宋_GB2312"/>
        </w:rPr>
        <w:t>地址：西安市碑林区和平路71号综合楼5楼</w:t>
      </w:r>
    </w:p>
    <w:p>
      <w:pPr>
        <w:pStyle w:val="null3"/>
      </w:pPr>
      <w:r>
        <w:rPr>
          <w:rFonts w:ascii="仿宋_GB2312" w:hAnsi="仿宋_GB2312" w:cs="仿宋_GB2312" w:eastAsia="仿宋_GB2312"/>
        </w:rPr>
        <w:t>邮编：710001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陕西中医药大学第二附属医院采购超声探头系统1套。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1,170,000.00</w:t>
      </w:r>
    </w:p>
    <w:p>
      <w:pPr>
        <w:pStyle w:val="null3"/>
      </w:pPr>
      <w:r>
        <w:rPr>
          <w:rFonts w:ascii="仿宋_GB2312" w:hAnsi="仿宋_GB2312" w:cs="仿宋_GB2312" w:eastAsia="仿宋_GB2312"/>
        </w:rPr>
        <w:t>采购包最高限价（元）: 1,170,000.00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超声探头系统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1,170,000.00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标的名称：超声探头系统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一、功能用途</w:t>
            </w:r>
          </w:p>
          <w:p>
            <w:pPr>
              <w:pStyle w:val="null3"/>
            </w:pPr>
            <w:r>
              <w:rPr>
                <w:rFonts w:ascii="仿宋_GB2312" w:hAnsi="仿宋_GB2312" w:cs="仿宋_GB2312" w:eastAsia="仿宋_GB2312"/>
              </w:rPr>
              <w:t>适用于呼吸科，与支气管内窥镜配合使用，通过支气管内窥镜通道进入人体，用于对成人上呼吸道及支气管进行腔内超声成像检查；能够清晰显示气道壁及肺外周结节结构的超声图像；兼容常规支气管镜和超声支气管镜，用于气管、支气管腔内病变的定位与诊断。</w:t>
            </w:r>
          </w:p>
          <w:p>
            <w:pPr>
              <w:pStyle w:val="null3"/>
            </w:pPr>
            <w:r>
              <w:rPr>
                <w:rFonts w:ascii="仿宋_GB2312" w:hAnsi="仿宋_GB2312" w:cs="仿宋_GB2312" w:eastAsia="仿宋_GB2312"/>
              </w:rPr>
              <w:t>二、超声诊断设备</w:t>
            </w:r>
          </w:p>
          <w:p>
            <w:pPr>
              <w:pStyle w:val="null3"/>
            </w:pPr>
            <w:r>
              <w:rPr>
                <w:rFonts w:ascii="仿宋_GB2312" w:hAnsi="仿宋_GB2312" w:cs="仿宋_GB2312" w:eastAsia="仿宋_GB2312"/>
              </w:rPr>
              <w:t>1、超声扫描模式：B模式。</w:t>
            </w:r>
          </w:p>
          <w:p>
            <w:pPr>
              <w:pStyle w:val="null3"/>
            </w:pPr>
            <w:r>
              <w:rPr>
                <w:rFonts w:ascii="仿宋_GB2312" w:hAnsi="仿宋_GB2312" w:cs="仿宋_GB2312" w:eastAsia="仿宋_GB2312"/>
              </w:rPr>
              <w:t>2、扫描方式：360°环形机械径向扫描。</w:t>
            </w:r>
          </w:p>
          <w:p>
            <w:pPr>
              <w:pStyle w:val="null3"/>
            </w:pPr>
            <w:r>
              <w:rPr>
                <w:rFonts w:ascii="仿宋_GB2312" w:hAnsi="仿宋_GB2312" w:cs="仿宋_GB2312" w:eastAsia="仿宋_GB2312"/>
              </w:rPr>
              <w:t>▲3、扫描方向：在垂直于探头插入方向的平面上实现360°圆周扫描。</w:t>
            </w:r>
          </w:p>
          <w:p>
            <w:pPr>
              <w:pStyle w:val="null3"/>
            </w:pPr>
            <w:r>
              <w:rPr>
                <w:rFonts w:ascii="仿宋_GB2312" w:hAnsi="仿宋_GB2312" w:cs="仿宋_GB2312" w:eastAsia="仿宋_GB2312"/>
              </w:rPr>
              <w:t>4、主机可兼容消化、呼吸学科，可搭配多款内窥镜用超声探头。</w:t>
            </w:r>
          </w:p>
          <w:p>
            <w:pPr>
              <w:pStyle w:val="null3"/>
            </w:pPr>
            <w:r>
              <w:rPr>
                <w:rFonts w:ascii="仿宋_GB2312" w:hAnsi="仿宋_GB2312" w:cs="仿宋_GB2312" w:eastAsia="仿宋_GB2312"/>
              </w:rPr>
              <w:t>5、具备便携式独立主机或推车式工作站，主机可独立移动使用。</w:t>
            </w:r>
          </w:p>
          <w:p>
            <w:pPr>
              <w:pStyle w:val="null3"/>
            </w:pPr>
            <w:r>
              <w:rPr>
                <w:rFonts w:ascii="仿宋_GB2312" w:hAnsi="仿宋_GB2312" w:cs="仿宋_GB2312" w:eastAsia="仿宋_GB2312"/>
              </w:rPr>
              <w:t>三、超声探头</w:t>
            </w:r>
          </w:p>
          <w:p>
            <w:pPr>
              <w:pStyle w:val="null3"/>
            </w:pPr>
            <w:r>
              <w:rPr>
                <w:rFonts w:ascii="仿宋_GB2312" w:hAnsi="仿宋_GB2312" w:cs="仿宋_GB2312" w:eastAsia="仿宋_GB2312"/>
              </w:rPr>
              <w:t>★1、探头频率：配置12MHz和20MHz两种及以上频率探头，可灵活切换，兼顾不同深度和分辨率的成像需求。</w:t>
            </w:r>
          </w:p>
          <w:p>
            <w:pPr>
              <w:pStyle w:val="null3"/>
            </w:pPr>
            <w:r>
              <w:rPr>
                <w:rFonts w:ascii="仿宋_GB2312" w:hAnsi="仿宋_GB2312" w:cs="仿宋_GB2312" w:eastAsia="仿宋_GB2312"/>
              </w:rPr>
              <w:t>▲2、提供≥3种不同规格探头。</w:t>
            </w:r>
          </w:p>
          <w:p>
            <w:pPr>
              <w:pStyle w:val="null3"/>
            </w:pPr>
            <w:r>
              <w:rPr>
                <w:rFonts w:ascii="仿宋_GB2312" w:hAnsi="仿宋_GB2312" w:cs="仿宋_GB2312" w:eastAsia="仿宋_GB2312"/>
              </w:rPr>
              <w:t>▲3、外径≤2.5mm。</w:t>
            </w:r>
          </w:p>
          <w:p>
            <w:pPr>
              <w:pStyle w:val="null3"/>
            </w:pPr>
            <w:r>
              <w:rPr>
                <w:rFonts w:ascii="仿宋_GB2312" w:hAnsi="仿宋_GB2312" w:cs="仿宋_GB2312" w:eastAsia="仿宋_GB2312"/>
              </w:rPr>
              <w:t>▲4、探头消毒灭菌：超声探头可进行高水平消毒和灭菌处理。</w:t>
            </w:r>
          </w:p>
          <w:p>
            <w:pPr>
              <w:pStyle w:val="null3"/>
            </w:pPr>
            <w:r>
              <w:rPr>
                <w:rFonts w:ascii="仿宋_GB2312" w:hAnsi="仿宋_GB2312" w:cs="仿宋_GB2312" w:eastAsia="仿宋_GB2312"/>
              </w:rPr>
              <w:t>四、操作与软件</w:t>
            </w:r>
          </w:p>
          <w:p>
            <w:pPr>
              <w:pStyle w:val="null3"/>
            </w:pPr>
            <w:r>
              <w:rPr>
                <w:rFonts w:ascii="仿宋_GB2312" w:hAnsi="仿宋_GB2312" w:cs="仿宋_GB2312" w:eastAsia="仿宋_GB2312"/>
              </w:rPr>
              <w:t>1、配备彩色液晶触摸屏操作界面，支持多语言图形化控制。</w:t>
            </w:r>
          </w:p>
          <w:p>
            <w:pPr>
              <w:pStyle w:val="null3"/>
            </w:pPr>
            <w:r>
              <w:rPr>
                <w:rFonts w:ascii="仿宋_GB2312" w:hAnsi="仿宋_GB2312" w:cs="仿宋_GB2312" w:eastAsia="仿宋_GB2312"/>
              </w:rPr>
              <w:t>2、支持实时超声图像显示，分辨率和成像清晰度满足临床诊断需求。</w:t>
            </w:r>
          </w:p>
          <w:p>
            <w:pPr>
              <w:pStyle w:val="null3"/>
            </w:pPr>
            <w:r>
              <w:rPr>
                <w:rFonts w:ascii="仿宋_GB2312" w:hAnsi="仿宋_GB2312" w:cs="仿宋_GB2312" w:eastAsia="仿宋_GB2312"/>
              </w:rPr>
              <w:t>3、支持图像存储、回放。</w:t>
            </w:r>
          </w:p>
          <w:p>
            <w:pPr>
              <w:pStyle w:val="null3"/>
            </w:pPr>
            <w:r>
              <w:rPr>
                <w:rFonts w:ascii="仿宋_GB2312" w:hAnsi="仿宋_GB2312" w:cs="仿宋_GB2312" w:eastAsia="仿宋_GB2312"/>
              </w:rPr>
              <w:t>4、支持超声图像与内镜图像同步显示功能。</w:t>
            </w:r>
          </w:p>
          <w:p>
            <w:pPr>
              <w:pStyle w:val="null3"/>
            </w:pPr>
            <w:r>
              <w:rPr>
                <w:rFonts w:ascii="仿宋_GB2312" w:hAnsi="仿宋_GB2312" w:cs="仿宋_GB2312" w:eastAsia="仿宋_GB2312"/>
              </w:rPr>
              <w:t>5、具备探头自动识别功能。</w:t>
            </w:r>
          </w:p>
          <w:p>
            <w:pPr>
              <w:pStyle w:val="null3"/>
            </w:pPr>
            <w:r>
              <w:rPr>
                <w:rFonts w:ascii="仿宋_GB2312" w:hAnsi="仿宋_GB2312" w:cs="仿宋_GB2312" w:eastAsia="仿宋_GB2312"/>
                <w:sz w:val="21"/>
                <w:b/>
              </w:rPr>
              <w:t>注：</w:t>
            </w:r>
            <w:r>
              <w:rPr>
                <w:rFonts w:ascii="仿宋_GB2312" w:hAnsi="仿宋_GB2312" w:cs="仿宋_GB2312" w:eastAsia="仿宋_GB2312"/>
                <w:sz w:val="21"/>
                <w:b/>
              </w:rPr>
              <w:t>标注</w:t>
            </w:r>
            <w:r>
              <w:rPr>
                <w:rFonts w:ascii="仿宋_GB2312" w:hAnsi="仿宋_GB2312" w:cs="仿宋_GB2312" w:eastAsia="仿宋_GB2312"/>
                <w:sz w:val="21"/>
                <w:b/>
              </w:rPr>
              <w:t>“</w:t>
            </w:r>
            <w:r>
              <w:rPr>
                <w:rFonts w:ascii="仿宋_GB2312" w:hAnsi="仿宋_GB2312" w:cs="仿宋_GB2312" w:eastAsia="仿宋_GB2312"/>
                <w:sz w:val="21"/>
                <w:b/>
              </w:rPr>
              <w:t>★</w:t>
            </w:r>
            <w:r>
              <w:rPr>
                <w:rFonts w:ascii="仿宋_GB2312" w:hAnsi="仿宋_GB2312" w:cs="仿宋_GB2312" w:eastAsia="仿宋_GB2312"/>
                <w:sz w:val="21"/>
                <w:b/>
              </w:rPr>
              <w:t>”、</w:t>
            </w:r>
            <w:r>
              <w:rPr>
                <w:rFonts w:ascii="仿宋_GB2312" w:hAnsi="仿宋_GB2312" w:cs="仿宋_GB2312" w:eastAsia="仿宋_GB2312"/>
                <w:sz w:val="21"/>
                <w:b/>
              </w:rPr>
              <w:t>“▲”</w:t>
            </w:r>
            <w:r>
              <w:rPr>
                <w:rFonts w:ascii="仿宋_GB2312" w:hAnsi="仿宋_GB2312" w:cs="仿宋_GB2312" w:eastAsia="仿宋_GB2312"/>
                <w:sz w:val="21"/>
                <w:b/>
              </w:rPr>
              <w:t>的</w:t>
            </w:r>
            <w:r>
              <w:rPr>
                <w:rFonts w:ascii="仿宋_GB2312" w:hAnsi="仿宋_GB2312" w:cs="仿宋_GB2312" w:eastAsia="仿宋_GB2312"/>
                <w:sz w:val="21"/>
                <w:b/>
              </w:rPr>
              <w:t>参数，投标人须提供相应的功能证明材料（包括但不限于检测报告、官网和功能截图等可佐证参数符合性的资料），未按要求提供佐证材料的，按参数负偏离处理。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合同签订接采购人通知后30个日历日内到货并安装调试完毕。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进度款，货到安装调试验收合格办理入库后，供应商于3个工作日内持全额正式税务发票向采购人提出支付全部货款的65%的申请，达到付款条件起30个工作日内，支付合同总金额的65.0%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进度款，设备办理入库并正常运行3个月后，供应商提供的商品无故障等各种情况发生，达到付款条件起30个工作日内，支付合同总金额的30.0%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进度款，全部货款的5%，将于设备正常运转1年后，供应商就合同约定义务全部履行完毕后，达到付款条件起30个工作日内，支付合同总金额的5.0%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要求：供应商按照采购人要求将全部货物送到采购人指定地点进行安装、调试，并对采购人工作人员进行培训，完成后向采购人提出验收申请，采购人须在供应商提出书面验收申请之日起2个工作日内，组织验收工作。双方验收人员共同对货物的外观、数量、商标、型号、规格及性能等进行验收，验收合格后双方共同签署验收单。验收不合格的，供应商应于7日内进行重新配送，交货日期不予延长，超过交货期限的，供应商按照合同第十三条第1款向采购人支付延期交货违约金。 （2）验收标准：应按照国家相关法律法规要求及相关质量体系认证标准为准。 （3）验收依据：单证齐全，应有产品合格证、质量证明、使用说明、保修保质证明、发票和其他应当具有的单证，并符合国家法律、法规对该产品规定的国家标准的要求。 （4）货物验收单仅证明供应商所提供的货物截止出具验收单之日时可以按合同要求予以接受，但不能视为供应商对货物存在的潜在缺陷责任的解除。此验收不作为对货物内质量认定的依据。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质量保修范围：质保期内，供应商对所供设备因原厂材质、生产工艺等存在固有质量缺陷产生的故障予以免费保修。 质量保修期：该产品自安装、调试、验收合格并正常使用之日起免费保修，保质期为3年。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 1）供应商如不能及时交货或未按照合同约定及时安装、调试完毕或违反合同第九条约定，迟延30日视为供应商根本违约，采购人有权单方解除合同，同时供应商应向采购人支付合同总价款10%的违约金。如交付的产品数量、品种、规格、质量不符合国家标准和合同约定的由供应商负责包修、包换、退货，供应商应于7日内完成产品的维修或退/换货，并承担由此给采购人造成的所有经济损失；逾期交货的，应向采购人支付迟延履行的违约金，每日违约金按逾期交货货款金额万分之一计算。 2）除前款约定外，供应商未按合同要求提供产品或提供虚假材料，且质量不能满足技术要求的，视为供应商根本违约，采购人有权单方终止合同，同时要求供应商承担承担合同总价款10％的违约金，违约金不足以弥补损失的，由供应商另行支付。 3）自合同签订之日起，若采购人无故中途退货，应向供应商支付退货部分货款的10%的违约金。 4）采购人应当按时向供应商支付货款，逾期付款的，应向供应商支付迟延履行的违约金，每日违约金按逾期付款金额的万分之一计算。 5）供应商未按照合同第十条第2款完成维修义务的，每迟延一日应向采购人支付合同总价款万分之一的违约金，迟延超过7日的，采购人有权委托第三方进行维修，由此产生的费用由供应商承担。</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（1）其他商务要求：投标人负责完成本项目超声探头系统与医院信息系统连接（对接所产生的全部相关费用均包含在投标总报价内）。 （2）投标保证金注意事项： 1）投标保证金缴纳截止时间：同投标文件递交截止时间一致。 2）投标人采用转账、支票、汇票形式缴纳投标保证金的，资金必须从其基本账户转出，必须在汇款凭证注明项目名称；投标人采用保函形式缴纳投标保证金的，请投标人在开标前一天告知代理机构并将保函扫描件发送到代理机构负责人邮箱（798433694@qq.com）。 （3）投标人须在线提交所有通过电子化交易平台实施的政府采购项目的投标文件，同时，线下提交纸质投标文件正本壹份、副本贰份、电子版（U盘）壹份。纸质投标文件正本、副本分别胶装成册（投标文件采用双面打印，逐页加盖投标人鲜章），分别密封(电子版放在正本内)，标袋标明正/副本、项目名称、项目编号，投标人名称。纸质投标文件应与电子化交易平台提交的电子投标文件一致，若电子投标文件与纸质投标文件不一致的，以线上提交的电子投标文件为准。线下纸质投标文件递交截止时间：同在线递交电子投标文件截止时间一致；线下纸质投标文件递交地点：陕西省西安市碑林区和平路71号综合楼5楼506会议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完整的财务审计报告，或投标截止时间前六个月内公司基本账户开户银行出具的资信证明（附基本存款账户信息），其他组织和自然人提供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提供2025年完整的财务审计报告，或投标截止时间前六个月内公司基本账户开户银行出具的资信证明（附基本存款账户信息），其他组织和自然人提供银行出具的资信证明。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提供2025年8月至今已缴纳的至少一个月的纳税证明或完税证明，依法免税的单位应提供相关证明材料。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提供2025年8月至今已缴存的至少一个月的社会保障资金缴存单据或社保机构开具的社会保险参保缴费情况证明，依法不需要缴纳社会保障资金的单位应提供相关证明材料。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法定代表人（主要负责人）授权委托书/身份证明</w:t>
            </w:r>
          </w:p>
        </w:tc>
        <w:tc>
          <w:tcPr>
            <w:tcW w:type="dxa" w:w="3322"/>
          </w:tcPr>
          <w:p>
            <w:pPr>
              <w:pStyle w:val="null3"/>
            </w:pPr>
            <w:r>
              <w:rPr>
                <w:rFonts w:ascii="仿宋_GB2312" w:hAnsi="仿宋_GB2312" w:cs="仿宋_GB2312" w:eastAsia="仿宋_GB2312"/>
              </w:rPr>
              <w:t>法定代表人（主要负责人）参与投标时，提供法定代表人（主要负责人）身份证明；授权代表参与投标时，提供法定代表人（主要负责人）授权委托书。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医疗器械资质文件</w:t>
            </w:r>
          </w:p>
        </w:tc>
        <w:tc>
          <w:tcPr>
            <w:tcW w:type="dxa" w:w="3322"/>
          </w:tcPr>
          <w:p>
            <w:pPr>
              <w:pStyle w:val="null3"/>
            </w:pPr>
            <w:r>
              <w:rPr>
                <w:rFonts w:ascii="仿宋_GB2312" w:hAnsi="仿宋_GB2312" w:cs="仿宋_GB2312" w:eastAsia="仿宋_GB2312"/>
              </w:rPr>
              <w:t>投标人为生产企业的须提供：投标产品《医疗器械注册证》和《医疗器械生产许可证》； 投标人为经销商的须提供：《医疗器械经营许可证》、生产企业投标产品《医疗器械注册证》、《医疗器械生产许可证》。</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投标文件组成</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开标一览表 投标方案.docx 业绩一览表.docx 中小企业声明函 供应商概况与承诺.docx 商务应答表.docx 分项报价表.docx 供应商应提交的相关资格证明材料.docx 投标函 残疾人福利性单位声明函 关于符合本国产品标准的声明函 标的清单 其他资料.docx 投标文件封面 产品技术参数表.docx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签字盖章均符合招标文件要求，且无遗漏。</w:t>
            </w:r>
          </w:p>
        </w:tc>
        <w:tc>
          <w:tcPr>
            <w:tcW w:type="dxa" w:w="1661"/>
          </w:tcPr>
          <w:p>
            <w:pPr>
              <w:pStyle w:val="null3"/>
            </w:pPr>
            <w:r>
              <w:rPr>
                <w:rFonts w:ascii="仿宋_GB2312" w:hAnsi="仿宋_GB2312" w:cs="仿宋_GB2312" w:eastAsia="仿宋_GB2312"/>
              </w:rPr>
              <w:t>开标一览表 投标方案.docx 业绩一览表.docx 中小企业声明函 供应商概况与承诺.docx 商务应答表.docx 分项报价表.docx 供应商应提交的相关资格证明材料.docx 投标函 残疾人福利性单位声明函 关于符合本国产品标准的声明函 标的清单 其他资料.docx 投标文件封面 产品技术参数表.docx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报价唯一且未超出采购预算或最高限价。</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符合法律、法规和招标文件中规定的实质性要求。</w:t>
            </w:r>
          </w:p>
        </w:tc>
        <w:tc>
          <w:tcPr>
            <w:tcW w:type="dxa" w:w="1661"/>
          </w:tcPr>
          <w:p>
            <w:pPr>
              <w:pStyle w:val="null3"/>
            </w:pPr>
            <w:r>
              <w:rPr>
                <w:rFonts w:ascii="仿宋_GB2312" w:hAnsi="仿宋_GB2312" w:cs="仿宋_GB2312" w:eastAsia="仿宋_GB2312"/>
              </w:rPr>
              <w:t>开标一览表 投标方案.docx 业绩一览表.docx 中小企业声明函 供应商概况与承诺.docx 商务应答表.docx 分项报价表.docx 供应商应提交的相关资格证明材料.docx 投标函 残疾人福利性单位声明函 关于符合本国产品标准的声明函 标的清单 其他资料.docx 投标文件封面 产品技术参数表.docx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完全理解并接受法律法规和招标文件对供应商合法经营的各类规约和责任义务要求，没有出现法律法规或招标文件规定的其他无效情形。</w:t>
            </w:r>
          </w:p>
        </w:tc>
        <w:tc>
          <w:tcPr>
            <w:tcW w:type="dxa" w:w="1661"/>
          </w:tcPr>
          <w:p>
            <w:pPr>
              <w:pStyle w:val="null3"/>
            </w:pPr>
            <w:r>
              <w:rPr>
                <w:rFonts w:ascii="仿宋_GB2312" w:hAnsi="仿宋_GB2312" w:cs="仿宋_GB2312" w:eastAsia="仿宋_GB2312"/>
              </w:rPr>
              <w:t>开标一览表 投标方案.docx 业绩一览表.docx 中小企业声明函 供应商概况与承诺.docx 商务应答表.docx 分项报价表.docx 供应商应提交的相关资格证明材料.docx 投标函 残疾人福利性单位声明函 关于符合本国产品标准的声明函 标的清单 其他资料.docx 投标文件封面 产品技术参数表.docx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投标产品技术参数规格清晰、完整匹配采购人采购需求，无负偏离的，得满分32分。 标注“▲”的关键技术参数每有一项负偏离扣3.5分，没有任何标注的普通技术参数，每有一项负偏离扣2分。 注：标注“▲”的参数，投标人须提供相应的功能证明材料（包括但不限于检测报告、官网和功能截图等可佐证参数符合性的资料），未按要求提供佐证材料的，按参数负偏离处理，并按对应规则扣分。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投标产品供货渠道正规合规，货源稳定、品质可控，能够充分保障产品质量、供货时效及后续质保服务。供应商须提供所投产品的合法来源渠道证明文件（包括但不限于销售协议、代理协议、原厂授权等）得5分，未提供相关证明文件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认证证书</w:t>
            </w:r>
          </w:p>
        </w:tc>
        <w:tc>
          <w:tcPr>
            <w:tcW w:type="dxa" w:w="2492"/>
          </w:tcPr>
          <w:p>
            <w:pPr>
              <w:pStyle w:val="null3"/>
            </w:pPr>
            <w:r>
              <w:rPr>
                <w:rFonts w:ascii="仿宋_GB2312" w:hAnsi="仿宋_GB2312" w:cs="仿宋_GB2312" w:eastAsia="仿宋_GB2312"/>
              </w:rPr>
              <w:t>所投产品制造商具备ISO13485医疗器械质量管理体系认证（范围包含超声探头），得3分。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一、评审内容：提供针对本项目的实施方案，内容包含：①项目实施组织与保障；②项目实施进度管理；③设备供货与到货保障；④设备安装与调试实施；⑤项目验收、交付与运维服务。 二、评审标准：方案内容全面详细、阐述条理清晰， 具有针对性，能有效保障本项目实施得10分，每有一项内容缺项扣2分，每有一项有内容但内容存在缺陷，扣0.5分，扣完为止。 备注：缺陷是指内容不合理、虽有内容但不完善、内容表述前后不一致、套用其他项目方案、与项目需求不匹配及其他不利于项目实施的等任意一种情形。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一、评审内容：提供针对本项目的质量保证方案，内容包括：①全流程质量管控架构与标准②出厂及现场实施质量管控措施③质量问题整改追溯与合规验收 二、评审标准：方案内容全面详细、阐述条理清晰，具有针对性，能有效保障本项目实施得3分，每有一项内容缺项扣1分，每有一项有内容但内容存在缺陷，扣0.2分，扣完为止。 备注：缺陷是指内容不合理、虽有内容但不完善、内容表述前后不一致、套用其他项目方案、与项目需求不匹配及其他不利于项目实施的等任意一种情形。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一、评审内容：提供针对本项目的售后服务方案，内容包括：①售后服务体系与服务团队配置②质保期服务内容与响应保障③设备维修、更换与升级服务④备件保障及质保后延续服务 二、评审标准：方案内容全面详细、阐述条理清晰，具有针对性，能有效保障本项目实施得4分，每有一项内容缺项扣1分，每有一项有内容但内容存在缺陷，扣0.2分，扣完为止。 备注：缺陷是指内容不合理、虽有内容但不完善、内容表述前后不一致、套用其他项目方案、与项目需求不匹配及其他不利于项目实施的等任意一种情形。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技术培训服务方案</w:t>
            </w:r>
          </w:p>
        </w:tc>
        <w:tc>
          <w:tcPr>
            <w:tcW w:type="dxa" w:w="2492"/>
          </w:tcPr>
          <w:p>
            <w:pPr>
              <w:pStyle w:val="null3"/>
            </w:pPr>
            <w:r>
              <w:rPr>
                <w:rFonts w:ascii="仿宋_GB2312" w:hAnsi="仿宋_GB2312" w:cs="仿宋_GB2312" w:eastAsia="仿宋_GB2312"/>
              </w:rPr>
              <w:t>一、评审内容：提供针对本项目的技术培训服务方案，内容包括：①培训计划与培训目标②培训内容（包含理论知识培训、设备实操技能培训、日常运维与故障排查培训等）③培训效果保障措施 二、评审标准：方案内容全面详细、阐述条理清晰，具有针对性，能有效保障本项目实施得3分，每有一项内容缺项扣1分，每有一项有内容但内容存在缺陷，扣0.2分，扣完为止。 备注：缺陷是指内容不合理、虽有内容但不完善、内容表述前后不一致、套用其他项目方案、与项目需求不匹配及其他不利于项目实施的等任意一种情形。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1月1日起至投标截止时间止（以合同签订时间为准）所投产品的业绩，业绩以合同（复印件或扫描件加盖供应商公章）为依据，合同至少需包含合同首页、产品页、签章页。每提供一份有效合同得2分，本项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采用低价优先法计算，即实质性满足招标文件要求且投标价格最低的投标报价为评标基准价，其价格分为满分30分。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详见附件：供应商概况与承诺.docx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