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版本号：DRZB2026-ZC-155.1B120260609001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2026年教职工体检项目(二次)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DRZB2026-ZC-155.1B1</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2026年教职工体检项目(二次)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DRZB2026-ZC-155.1B1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2026年教职工体检项目(二次)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2026年教职工体检项目（二次），具体内容详见磋商文件及采购需求。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10、特定资质要求：供应商同时具备合法有效的《医疗机构执业许可证》及《放射诊疗许可证》；</w:t>
      </w:r>
    </w:p>
    <w:p>
      <w:pPr>
        <w:pStyle w:val="null3"/>
      </w:pPr>
      <w:r>
        <w:rPr>
          <w:rFonts w:ascii="仿宋_GB2312" w:hAnsi="仿宋_GB2312" w:cs="仿宋_GB2312" w:eastAsia="仿宋_GB2312"/>
        </w:rPr>
        <w:t>11、非联合体声明：本项目不接受联合体磋商。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采购包1保证金金额：11,155.00元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供应商在领取中标通知书前一次性支付。备注：招单价或下浮率（折扣率）项目时，代理服务费以项目采购预算为基数计算收取。 具体费率如下： 100万元以下，按照1.5%计取。 代理费缴纳账户：银行户名：陕西德仁招标有限公司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2026年教职工体检项目（二次），具体详见磋商文件。 </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603,000.00</w:t>
      </w:r>
    </w:p>
    <w:p>
      <w:pPr>
        <w:pStyle w:val="null3"/>
      </w:pPr>
      <w:r>
        <w:rPr>
          <w:rFonts w:ascii="仿宋_GB2312" w:hAnsi="仿宋_GB2312" w:cs="仿宋_GB2312" w:eastAsia="仿宋_GB2312"/>
        </w:rPr>
        <w:t>采购包最高限价（元）: 603,000.00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0"/>
                <w:b/>
              </w:rPr>
              <w:t>一、项目概况</w:t>
            </w:r>
          </w:p>
          <w:p>
            <w:pPr>
              <w:pStyle w:val="null3"/>
            </w:pPr>
            <w:r>
              <w:rPr>
                <w:rFonts w:ascii="仿宋_GB2312" w:hAnsi="仿宋_GB2312" w:cs="仿宋_GB2312" w:eastAsia="仿宋_GB2312"/>
                <w:sz w:val="20"/>
              </w:rPr>
              <w:t>完成全校在职在编及人事代理教职工的年度健康体检服务，体检总人数约为</w:t>
            </w:r>
            <w:r>
              <w:rPr>
                <w:rFonts w:ascii="仿宋_GB2312" w:hAnsi="仿宋_GB2312" w:cs="仿宋_GB2312" w:eastAsia="仿宋_GB2312"/>
                <w:sz w:val="20"/>
              </w:rPr>
              <w:t>670人。拟选择具备相应资质，医疗设备良好、体检技术优良的供应商承担此项服务。提供包括但不限于临床检查、生化检验、影像学检查等在内的体检服务，并在体检结束后出具个人体检报告及团体汇总分析报告。</w:t>
            </w:r>
          </w:p>
          <w:p>
            <w:pPr>
              <w:pStyle w:val="null3"/>
              <w:jc w:val="both"/>
              <w:outlineLvl w:val="2"/>
            </w:pPr>
            <w:r>
              <w:rPr>
                <w:rFonts w:ascii="仿宋_GB2312" w:hAnsi="仿宋_GB2312" w:cs="仿宋_GB2312" w:eastAsia="仿宋_GB2312"/>
                <w:sz w:val="20"/>
                <w:b/>
              </w:rPr>
              <w:t>二、体检套餐单价限价金额</w:t>
            </w:r>
          </w:p>
          <w:p>
            <w:pPr>
              <w:pStyle w:val="null3"/>
            </w:pPr>
            <w:r>
              <w:rPr>
                <w:rFonts w:ascii="仿宋_GB2312" w:hAnsi="仿宋_GB2312" w:cs="仿宋_GB2312" w:eastAsia="仿宋_GB2312"/>
                <w:sz w:val="20"/>
              </w:rPr>
              <w:t>本项目拟对陕西开放大学约</w:t>
            </w:r>
            <w:r>
              <w:rPr>
                <w:rFonts w:ascii="仿宋_GB2312" w:hAnsi="仿宋_GB2312" w:cs="仿宋_GB2312" w:eastAsia="仿宋_GB2312"/>
                <w:sz w:val="20"/>
              </w:rPr>
              <w:t>670人体检，最终以实际参加体检人数据实结算。</w:t>
            </w:r>
          </w:p>
          <w:tbl>
            <w:tblPr>
              <w:tblInd w:type="dxa" w:w="120"/>
              <w:tblBorders>
                <w:top w:val="none" w:color="000000" w:sz="4"/>
                <w:left w:val="none" w:color="000000" w:sz="4"/>
                <w:bottom w:val="none" w:color="000000" w:sz="4"/>
                <w:right w:val="none" w:color="000000" w:sz="4"/>
                <w:insideH w:val="none"/>
                <w:insideV w:val="none"/>
              </w:tblBorders>
            </w:tblPr>
            <w:tblGrid>
              <w:gridCol w:w="291"/>
              <w:gridCol w:w="1415"/>
              <w:gridCol w:w="847"/>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体检套餐</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单价最高限价（元）</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男性人员体检套餐</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900.00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女性人员体检套餐</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900.00</w:t>
                  </w:r>
                </w:p>
              </w:tc>
            </w:tr>
            <w:tr>
              <w:tc>
                <w:tcPr>
                  <w:tcW w:type="dxa" w:w="1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单价合计限价金额</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1800.00</w:t>
                  </w:r>
                </w:p>
              </w:tc>
            </w:tr>
          </w:tbl>
          <w:p>
            <w:pPr>
              <w:pStyle w:val="null3"/>
            </w:pPr>
            <w:r>
              <w:rPr>
                <w:rFonts w:ascii="仿宋_GB2312" w:hAnsi="仿宋_GB2312" w:cs="仿宋_GB2312" w:eastAsia="仿宋_GB2312"/>
                <w:sz w:val="20"/>
                <w:b/>
              </w:rPr>
              <w:t>备注：供应商须在报价中列明体检项目原价，同时汇总套餐合计原价、优惠价与整体折扣比例。</w:t>
            </w:r>
          </w:p>
          <w:p>
            <w:pPr>
              <w:pStyle w:val="null3"/>
            </w:pPr>
            <w:r>
              <w:rPr>
                <w:rFonts w:ascii="仿宋_GB2312" w:hAnsi="仿宋_GB2312" w:cs="仿宋_GB2312" w:eastAsia="仿宋_GB2312"/>
                <w:sz w:val="20"/>
                <w:b/>
              </w:rPr>
              <w:t>三、体检项目清单</w:t>
            </w:r>
          </w:p>
          <w:p>
            <w:pPr>
              <w:pStyle w:val="null3"/>
            </w:pPr>
            <w:r>
              <w:rPr>
                <w:rFonts w:ascii="仿宋_GB2312" w:hAnsi="仿宋_GB2312" w:cs="仿宋_GB2312" w:eastAsia="仿宋_GB2312"/>
                <w:sz w:val="20"/>
                <w:b/>
              </w:rPr>
              <w:t>1、男性人员体检清单</w:t>
            </w:r>
          </w:p>
          <w:tbl>
            <w:tblPr>
              <w:tblInd w:type="dxa" w:w="90"/>
              <w:tblBorders>
                <w:top w:val="none" w:color="000000" w:sz="4"/>
                <w:left w:val="none" w:color="000000" w:sz="4"/>
                <w:bottom w:val="none" w:color="000000" w:sz="4"/>
                <w:right w:val="none" w:color="000000" w:sz="4"/>
                <w:insideH w:val="none"/>
                <w:insideV w:val="none"/>
              </w:tblBorders>
            </w:tblPr>
            <w:tblGrid>
              <w:gridCol w:w="459"/>
              <w:gridCol w:w="2093"/>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身高体重血压</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幽门螺旋杆菌抗体</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腹部彩超（肝胆胰脾）</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甲状腺彩超</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颈动脉彩超</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血常规</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尿常规（尿液分析</w:t>
                  </w:r>
                  <w:r>
                    <w:rPr>
                      <w:rFonts w:ascii="仿宋_GB2312" w:hAnsi="仿宋_GB2312" w:cs="仿宋_GB2312" w:eastAsia="仿宋_GB2312"/>
                      <w:sz w:val="20"/>
                      <w:color w:val="000000"/>
                    </w:rPr>
                    <w:t>+沉渣）</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肝功</w:t>
                  </w:r>
                  <w:r>
                    <w:rPr>
                      <w:rFonts w:ascii="仿宋_GB2312" w:hAnsi="仿宋_GB2312" w:cs="仿宋_GB2312" w:eastAsia="仿宋_GB2312"/>
                      <w:sz w:val="20"/>
                      <w:color w:val="000000"/>
                    </w:rPr>
                    <w:t>9项</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肾功能</w:t>
                  </w:r>
                  <w:r>
                    <w:rPr>
                      <w:rFonts w:ascii="仿宋_GB2312" w:hAnsi="仿宋_GB2312" w:cs="仿宋_GB2312" w:eastAsia="仿宋_GB2312"/>
                      <w:sz w:val="20"/>
                      <w:color w:val="000000"/>
                    </w:rPr>
                    <w:t>4项</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电解质</w:t>
                  </w:r>
                  <w:r>
                    <w:rPr>
                      <w:rFonts w:ascii="仿宋_GB2312" w:hAnsi="仿宋_GB2312" w:cs="仿宋_GB2312" w:eastAsia="仿宋_GB2312"/>
                      <w:sz w:val="20"/>
                      <w:color w:val="000000"/>
                    </w:rPr>
                    <w:t>6项</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空腹血糖</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糖化血红蛋白</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血脂</w:t>
                  </w:r>
                  <w:r>
                    <w:rPr>
                      <w:rFonts w:ascii="仿宋_GB2312" w:hAnsi="仿宋_GB2312" w:cs="仿宋_GB2312" w:eastAsia="仿宋_GB2312"/>
                      <w:sz w:val="20"/>
                      <w:color w:val="000000"/>
                    </w:rPr>
                    <w:t>4项</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甲胎蛋白</w:t>
                  </w:r>
                  <w:r>
                    <w:rPr>
                      <w:rFonts w:ascii="仿宋_GB2312" w:hAnsi="仿宋_GB2312" w:cs="仿宋_GB2312" w:eastAsia="仿宋_GB2312"/>
                      <w:sz w:val="20"/>
                      <w:color w:val="000000"/>
                    </w:rPr>
                    <w:t>AFP</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癌胚抗原</w:t>
                  </w:r>
                  <w:r>
                    <w:rPr>
                      <w:rFonts w:ascii="仿宋_GB2312" w:hAnsi="仿宋_GB2312" w:cs="仿宋_GB2312" w:eastAsia="仿宋_GB2312"/>
                      <w:sz w:val="20"/>
                      <w:color w:val="000000"/>
                    </w:rPr>
                    <w:t>CEA</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19-9</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242</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胸部</w:t>
                  </w:r>
                  <w:r>
                    <w:rPr>
                      <w:rFonts w:ascii="仿宋_GB2312" w:hAnsi="仿宋_GB2312" w:cs="仿宋_GB2312" w:eastAsia="仿宋_GB2312"/>
                      <w:sz w:val="20"/>
                      <w:color w:val="000000"/>
                    </w:rPr>
                    <w:t>CT平扫</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颈椎侧位片</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男性泌尿彩超</w:t>
                  </w:r>
                </w:p>
              </w:tc>
            </w:tr>
          </w:tbl>
          <w:p>
            <w:pPr>
              <w:pStyle w:val="null3"/>
            </w:pPr>
            <w:r>
              <w:rPr>
                <w:rFonts w:ascii="仿宋_GB2312" w:hAnsi="仿宋_GB2312" w:cs="仿宋_GB2312" w:eastAsia="仿宋_GB2312"/>
                <w:sz w:val="20"/>
                <w:b/>
              </w:rPr>
              <w:t>2、女性人员体检清单</w:t>
            </w:r>
          </w:p>
          <w:tbl>
            <w:tblPr>
              <w:tblInd w:type="dxa" w:w="120"/>
              <w:tblBorders>
                <w:top w:val="none" w:color="000000" w:sz="4"/>
                <w:left w:val="none" w:color="000000" w:sz="4"/>
                <w:bottom w:val="none" w:color="000000" w:sz="4"/>
                <w:right w:val="none" w:color="000000" w:sz="4"/>
                <w:insideH w:val="none"/>
                <w:insideV w:val="none"/>
              </w:tblBorders>
            </w:tblPr>
            <w:tblGrid>
              <w:gridCol w:w="446"/>
              <w:gridCol w:w="2107"/>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身高体重血压</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幽门螺旋杆菌抗体</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腹部彩超（肝胆胰脾）</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甲状腺彩超</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颈动脉彩超</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血常规</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尿常规（尿液分析</w:t>
                  </w:r>
                  <w:r>
                    <w:rPr>
                      <w:rFonts w:ascii="仿宋_GB2312" w:hAnsi="仿宋_GB2312" w:cs="仿宋_GB2312" w:eastAsia="仿宋_GB2312"/>
                      <w:sz w:val="20"/>
                      <w:color w:val="000000"/>
                    </w:rPr>
                    <w:t>+沉渣）</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肝功</w:t>
                  </w:r>
                  <w:r>
                    <w:rPr>
                      <w:rFonts w:ascii="仿宋_GB2312" w:hAnsi="仿宋_GB2312" w:cs="仿宋_GB2312" w:eastAsia="仿宋_GB2312"/>
                      <w:sz w:val="20"/>
                      <w:color w:val="000000"/>
                    </w:rPr>
                    <w:t>9项</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肾功能</w:t>
                  </w:r>
                  <w:r>
                    <w:rPr>
                      <w:rFonts w:ascii="仿宋_GB2312" w:hAnsi="仿宋_GB2312" w:cs="仿宋_GB2312" w:eastAsia="仿宋_GB2312"/>
                      <w:sz w:val="20"/>
                      <w:color w:val="000000"/>
                    </w:rPr>
                    <w:t>4项</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电解质</w:t>
                  </w:r>
                  <w:r>
                    <w:rPr>
                      <w:rFonts w:ascii="仿宋_GB2312" w:hAnsi="仿宋_GB2312" w:cs="仿宋_GB2312" w:eastAsia="仿宋_GB2312"/>
                      <w:sz w:val="20"/>
                      <w:color w:val="000000"/>
                    </w:rPr>
                    <w:t>6项</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空腹血糖</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糖化血红蛋白</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血脂</w:t>
                  </w:r>
                  <w:r>
                    <w:rPr>
                      <w:rFonts w:ascii="仿宋_GB2312" w:hAnsi="仿宋_GB2312" w:cs="仿宋_GB2312" w:eastAsia="仿宋_GB2312"/>
                      <w:sz w:val="20"/>
                      <w:color w:val="000000"/>
                    </w:rPr>
                    <w:t>4项</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甲胎蛋白</w:t>
                  </w:r>
                  <w:r>
                    <w:rPr>
                      <w:rFonts w:ascii="仿宋_GB2312" w:hAnsi="仿宋_GB2312" w:cs="仿宋_GB2312" w:eastAsia="仿宋_GB2312"/>
                      <w:sz w:val="20"/>
                      <w:color w:val="000000"/>
                    </w:rPr>
                    <w:t>AFP</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癌胚抗原</w:t>
                  </w:r>
                  <w:r>
                    <w:rPr>
                      <w:rFonts w:ascii="仿宋_GB2312" w:hAnsi="仿宋_GB2312" w:cs="仿宋_GB2312" w:eastAsia="仿宋_GB2312"/>
                      <w:sz w:val="20"/>
                      <w:color w:val="000000"/>
                    </w:rPr>
                    <w:t>CEA</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19-9</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242</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胸部</w:t>
                  </w:r>
                  <w:r>
                    <w:rPr>
                      <w:rFonts w:ascii="仿宋_GB2312" w:hAnsi="仿宋_GB2312" w:cs="仿宋_GB2312" w:eastAsia="仿宋_GB2312"/>
                      <w:sz w:val="20"/>
                      <w:color w:val="000000"/>
                    </w:rPr>
                    <w:t>CT平扫</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颈椎侧位片</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女性妇科彩超</w:t>
                  </w:r>
                </w:p>
              </w:tc>
            </w:tr>
          </w:tbl>
          <w:p>
            <w:pPr>
              <w:pStyle w:val="null3"/>
            </w:pPr>
            <w:r>
              <w:rPr>
                <w:rFonts w:ascii="仿宋_GB2312" w:hAnsi="仿宋_GB2312" w:cs="仿宋_GB2312" w:eastAsia="仿宋_GB2312"/>
                <w:sz w:val="20"/>
                <w:b/>
              </w:rPr>
              <w:t>四、服务要求</w:t>
            </w:r>
          </w:p>
          <w:p>
            <w:pPr>
              <w:pStyle w:val="null3"/>
            </w:pPr>
            <w:r>
              <w:rPr>
                <w:rFonts w:ascii="仿宋_GB2312" w:hAnsi="仿宋_GB2312" w:cs="仿宋_GB2312" w:eastAsia="仿宋_GB2312"/>
                <w:sz w:val="20"/>
              </w:rPr>
              <w:t>1、供应商应具备完成所有体检项目的设备及人员。</w:t>
            </w:r>
          </w:p>
          <w:p>
            <w:pPr>
              <w:pStyle w:val="null3"/>
            </w:pPr>
            <w:r>
              <w:rPr>
                <w:rFonts w:ascii="仿宋_GB2312" w:hAnsi="仿宋_GB2312" w:cs="仿宋_GB2312" w:eastAsia="仿宋_GB2312"/>
                <w:sz w:val="20"/>
              </w:rPr>
              <w:t>2、人员要求：所有体检项目由具有相应资质的医护人员负责。（须提供相关人员证书）</w:t>
            </w:r>
          </w:p>
          <w:p>
            <w:pPr>
              <w:pStyle w:val="null3"/>
            </w:pPr>
            <w:r>
              <w:rPr>
                <w:rFonts w:ascii="仿宋_GB2312" w:hAnsi="仿宋_GB2312" w:cs="仿宋_GB2312" w:eastAsia="仿宋_GB2312"/>
                <w:sz w:val="20"/>
              </w:rPr>
              <w:t>3、供应商可安排车辆免费接送，全程一站式体检服务。</w:t>
            </w:r>
          </w:p>
          <w:p>
            <w:pPr>
              <w:pStyle w:val="null3"/>
            </w:pPr>
            <w:r>
              <w:rPr>
                <w:rFonts w:ascii="仿宋_GB2312" w:hAnsi="仿宋_GB2312" w:cs="仿宋_GB2312" w:eastAsia="仿宋_GB2312"/>
                <w:sz w:val="20"/>
              </w:rPr>
              <w:t>4、当日体检结束后提供免费早餐。</w:t>
            </w:r>
          </w:p>
          <w:p>
            <w:pPr>
              <w:pStyle w:val="null3"/>
            </w:pPr>
            <w:r>
              <w:rPr>
                <w:rFonts w:ascii="仿宋_GB2312" w:hAnsi="仿宋_GB2312" w:cs="仿宋_GB2312" w:eastAsia="仿宋_GB2312"/>
                <w:sz w:val="20"/>
              </w:rPr>
              <w:t>5、体检后可在网上进行体检报告的查询，且永久保存。供应商应在体检结束后10日内，向采购人提交体检报告，体检报告须进行密封，体检结束30日内向采购人提供所查人员的疾患名单和疾病汇总分析；体检单位应进行一次上门体检报告解析答疑。</w:t>
            </w:r>
          </w:p>
          <w:p>
            <w:pPr>
              <w:pStyle w:val="null3"/>
            </w:pPr>
            <w:r>
              <w:rPr>
                <w:rFonts w:ascii="仿宋_GB2312" w:hAnsi="仿宋_GB2312" w:cs="仿宋_GB2312" w:eastAsia="仿宋_GB2312"/>
                <w:sz w:val="20"/>
              </w:rPr>
              <w:t>6、体检过程中，发现重大阳性、重大疾病，由专家及时通知单位（负责体检工作）与本人并给出及时合理的治疗或复检建议，可与各大医院建立绿色通道为就医提供方便快捷的服务措施。</w:t>
            </w:r>
          </w:p>
          <w:p>
            <w:pPr>
              <w:pStyle w:val="null3"/>
            </w:pPr>
            <w:r>
              <w:rPr>
                <w:rFonts w:ascii="仿宋_GB2312" w:hAnsi="仿宋_GB2312" w:cs="仿宋_GB2312" w:eastAsia="仿宋_GB2312"/>
                <w:sz w:val="20"/>
              </w:rPr>
              <w:t>7、体检过程中如遇设备故障应启动应急预案。参检人员参加体检时，以严肃认真、及时准确、高度负责的态度和行为，配备导检人员，为受检员工提供体检上的便利，提供优质高效的健康管理服务。</w:t>
            </w:r>
          </w:p>
          <w:p>
            <w:pPr>
              <w:pStyle w:val="null3"/>
            </w:pPr>
            <w:r>
              <w:rPr>
                <w:rFonts w:ascii="仿宋_GB2312" w:hAnsi="仿宋_GB2312" w:cs="仿宋_GB2312" w:eastAsia="仿宋_GB2312"/>
                <w:sz w:val="20"/>
              </w:rPr>
              <w:t>8、对体检者的体检结果负有保密义务，杜绝相关信息泄露给第三者。</w:t>
            </w:r>
          </w:p>
          <w:p>
            <w:pPr>
              <w:pStyle w:val="null3"/>
            </w:pPr>
            <w:r>
              <w:rPr>
                <w:rFonts w:ascii="仿宋_GB2312" w:hAnsi="仿宋_GB2312" w:cs="仿宋_GB2312" w:eastAsia="仿宋_GB2312"/>
                <w:sz w:val="20"/>
              </w:rPr>
              <w:t>9、供应商应提前告知特殊体检项目的详细要求和注意事项（如B超、心电图等）。</w:t>
            </w:r>
          </w:p>
          <w:p>
            <w:pPr>
              <w:pStyle w:val="null3"/>
            </w:pPr>
            <w:r>
              <w:rPr>
                <w:rFonts w:ascii="仿宋_GB2312" w:hAnsi="仿宋_GB2312" w:cs="仿宋_GB2312" w:eastAsia="仿宋_GB2312"/>
                <w:sz w:val="20"/>
              </w:rPr>
              <w:t>10、体检过程中所需要的设备和耗材，全部由供应商提供；体检表、化验单、报告单由供应商提供；妇科检查和实验室检查均要求使用一次性材料。</w:t>
            </w:r>
          </w:p>
          <w:p>
            <w:pPr>
              <w:pStyle w:val="null3"/>
            </w:pPr>
            <w:r>
              <w:rPr>
                <w:rFonts w:ascii="仿宋_GB2312" w:hAnsi="仿宋_GB2312" w:cs="仿宋_GB2312" w:eastAsia="仿宋_GB2312"/>
                <w:sz w:val="20"/>
              </w:rPr>
              <w:t>11、供应商应指定唯一服务点，未经采购人允许，不许调配采购人体检人员到供应商旗下的其他分院或其他分支机构进行体检。</w:t>
            </w:r>
          </w:p>
          <w:p>
            <w:pPr>
              <w:pStyle w:val="null3"/>
            </w:pPr>
            <w:r>
              <w:rPr>
                <w:rFonts w:ascii="仿宋_GB2312" w:hAnsi="仿宋_GB2312" w:cs="仿宋_GB2312" w:eastAsia="仿宋_GB2312"/>
                <w:sz w:val="20"/>
              </w:rPr>
              <w:t>12、允许甲方根据实际需求，对体检套餐种类、检查项目进行调换与增补，变更后套餐费用与入围单位协商确定，超出标准部分的费用由学校承担。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2026年6月29日-2026年8月30日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以供应商提供的服务地点为准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体检服务完成后采购人向供应商一次性付款，采购人最终付款金额根据单价中标金额及采购人实际体检人数进行据实结算，采购人付款总额不超过预算。采购人向供应商付款前，供应商应向采购人开具符合甲方要求的发票，若因供应商未开具或逾期开具合法有效的发票，采购人有权顺延付款期限且不承担逾期付款责任，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 2、磋商保证金注意事项：磋商保证金须从供应商账户转账；以保函形式交纳磋商保证金的，供应商应在响应截止时间前将保函扫描成清晰的PDF文件，发送至邮箱1172109359@qq.com（邮件命名：项目名称+项目编号），供应商应在响应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特定资质要求</w:t>
            </w:r>
          </w:p>
        </w:tc>
        <w:tc>
          <w:tcPr>
            <w:tcW w:type="dxa" w:w="3322"/>
          </w:tcPr>
          <w:p>
            <w:pPr>
              <w:pStyle w:val="null3"/>
            </w:pPr>
            <w:r>
              <w:rPr>
                <w:rFonts w:ascii="仿宋_GB2312" w:hAnsi="仿宋_GB2312" w:cs="仿宋_GB2312" w:eastAsia="仿宋_GB2312"/>
              </w:rPr>
              <w:t>供应商同时具备合法有效的《医疗机构执业许可证》及《放射诊疗许可证》；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磋商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拟投入本项目设备情况.docx 体检环境及安全保障方案.docx 项目配套服务设备管理.docx 报价表 项目实施方案.docx 资格证明文件.docx 服务偏离表.docx 分项报价表.docx 增值服务.docx 标的清单 应急事件响应及处理.docx 保证金缴纳凭证.docx 商务偏离表.docx 监狱企业的证明文件 项目团队技术力量及项目团队人员配置.docx 供应商认为有必要说明的其他资料.docx 中小企业声明函 响应文件封面 体检服务方案.docx 保密方案.docx 残疾人福利性单位声明函 业绩统计表.docx 响应函 报价表.docx 投标人承诺书.docx 体检服务质量.docx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拟投入本项目设备情况.docx 体检环境及安全保障方案.docx 项目配套服务设备管理.docx 报价表 项目实施方案.docx 资格证明文件.docx 服务偏离表.docx 分项报价表.docx 增值服务.docx 标的清单 应急事件响应及处理.docx 保证金缴纳凭证.docx 商务偏离表.docx 监狱企业的证明文件 项目团队技术力量及项目团队人员配置.docx 供应商认为有必要说明的其他资料.docx 中小企业声明函 响应文件封面 体检服务方案.docx 保密方案.docx 残疾人福利性单位声明函 业绩统计表.docx 响应函 报价表.docx 投标人承诺书.docx 体检服务质量.docx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体检服务方案</w:t>
            </w:r>
          </w:p>
        </w:tc>
        <w:tc>
          <w:tcPr>
            <w:tcW w:type="dxa" w:w="2492"/>
          </w:tcPr>
          <w:p>
            <w:pPr>
              <w:pStyle w:val="null3"/>
            </w:pPr>
            <w:r>
              <w:rPr>
                <w:rFonts w:ascii="仿宋_GB2312" w:hAnsi="仿宋_GB2312" w:cs="仿宋_GB2312" w:eastAsia="仿宋_GB2312"/>
              </w:rPr>
              <w:t>针对本项目提供完善的体检服务方案，包括但不限于：①体检场次安排和体检流程；②现场引导和体检项目方案；③检验检测方案；④体检后结果反馈、检后健康指导及治疗方案；⑤对体检结果发现重大阳性、重大疾病提供绿色就医通道等方案；⑥人员接送安排方案。 评审标准：方案各部分内容全面详细、阐述条理清晰详尽、符合本项目采购需求，能保障本项目实施得18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体检服务方案.docx</w:t>
            </w:r>
          </w:p>
        </w:tc>
      </w:tr>
      <w:tr>
        <w:tc>
          <w:tcPr>
            <w:tcW w:type="dxa" w:w="831"/>
            <w:vMerge/>
          </w:tcPr>
          <w:p/>
        </w:tc>
        <w:tc>
          <w:tcPr>
            <w:tcW w:type="dxa" w:w="1661"/>
          </w:tcPr>
          <w:p>
            <w:pPr>
              <w:pStyle w:val="null3"/>
            </w:pPr>
            <w:r>
              <w:rPr>
                <w:rFonts w:ascii="仿宋_GB2312" w:hAnsi="仿宋_GB2312" w:cs="仿宋_GB2312" w:eastAsia="仿宋_GB2312"/>
              </w:rPr>
              <w:t>体检服务质量</w:t>
            </w:r>
          </w:p>
        </w:tc>
        <w:tc>
          <w:tcPr>
            <w:tcW w:type="dxa" w:w="2492"/>
          </w:tcPr>
          <w:p>
            <w:pPr>
              <w:pStyle w:val="null3"/>
            </w:pPr>
            <w:r>
              <w:rPr>
                <w:rFonts w:ascii="仿宋_GB2312" w:hAnsi="仿宋_GB2312" w:cs="仿宋_GB2312" w:eastAsia="仿宋_GB2312"/>
              </w:rPr>
              <w:t>针对本项目提供完善的体检服务质量，包括但不限于：①体检工作人员服务质量保障；②应对体检过程中出现的体检设备故障处理；③完善的售后服务体系；④服务保障方案（包括管理制度及投诉处理措施、补救措施等）。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体检服务质量.docx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针对本项目提供完善的项目实施方案，包括但不限于：①项目实施步骤及管理方案；②各环节衔接方案；③内外部沟通协调机制。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项目团队技术力量</w:t>
            </w:r>
          </w:p>
        </w:tc>
        <w:tc>
          <w:tcPr>
            <w:tcW w:type="dxa" w:w="2492"/>
          </w:tcPr>
          <w:p>
            <w:pPr>
              <w:pStyle w:val="null3"/>
            </w:pPr>
            <w:r>
              <w:rPr>
                <w:rFonts w:ascii="仿宋_GB2312" w:hAnsi="仿宋_GB2312" w:cs="仿宋_GB2312" w:eastAsia="仿宋_GB2312"/>
              </w:rPr>
              <w:t>供应商提供的体检项目团队人员中每有一位具有副主任医师及以上职称的得1分，最高5分。 评审标准：①需提供相应人员的职称证书扫描件或复印件、供应商为相应人员缴纳的近六个月任意一个月社保证明（退休返聘人员可不提供）等相关证明材料，否则不得分。②同一人提供多个证书的，按得分最高的职称证计算，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项目团队技术力量及项目团队人员配置.docx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针对本项目采购需求提供项目团队人员配置，包括但不限于：①实施组织机构划分、人员经验、项目人员管理制度；②人员安排方案、各流程节点岗位职责划分（包括但不限于人员姓名、性别、工作年限、岗位职责分配等。人员明细及岗位配备覆盖所有体检项目涉及科室）。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项目团队技术力量及项目团队人员配置.docx</w:t>
            </w:r>
          </w:p>
        </w:tc>
      </w:tr>
      <w:tr>
        <w:tc>
          <w:tcPr>
            <w:tcW w:type="dxa" w:w="831"/>
            <w:vMerge/>
          </w:tcPr>
          <w:p/>
        </w:tc>
        <w:tc>
          <w:tcPr>
            <w:tcW w:type="dxa" w:w="1661"/>
          </w:tcPr>
          <w:p>
            <w:pPr>
              <w:pStyle w:val="null3"/>
            </w:pPr>
            <w:r>
              <w:rPr>
                <w:rFonts w:ascii="仿宋_GB2312" w:hAnsi="仿宋_GB2312" w:cs="仿宋_GB2312" w:eastAsia="仿宋_GB2312"/>
              </w:rPr>
              <w:t>拟投入本项目设备情况</w:t>
            </w:r>
          </w:p>
        </w:tc>
        <w:tc>
          <w:tcPr>
            <w:tcW w:type="dxa" w:w="2492"/>
          </w:tcPr>
          <w:p>
            <w:pPr>
              <w:pStyle w:val="null3"/>
            </w:pPr>
            <w:r>
              <w:rPr>
                <w:rFonts w:ascii="仿宋_GB2312" w:hAnsi="仿宋_GB2312" w:cs="仿宋_GB2312" w:eastAsia="仿宋_GB2312"/>
              </w:rPr>
              <w:t>根据供应商拟投入本项目体检的仪器设备先进性、全面性、数量情况进行综合评审： 1、拟投入本项目的检验检测设备齐全，配套设施完整，检验检测设备性能先进且完全满足采购要求的，得5分； 2、拟投入本项目的检验检测设备较齐全，配套设施较完整，检验检测设备性能较先进且满足采购要求的，得3分； 3、拟投入本项目的检验检测设备不够齐全，配套设施不够完整，检验检测设备性能差且部分满足采购要求的，得1分。 注：需提供相关证明材料（如设备为自有设备，需提供供应商的设备购买发票及照片；如设备为租赁设备，需提供设备租赁合同及照片）复印件并加盖单位公章。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拟投入本项目设备情况.docx</w:t>
            </w:r>
          </w:p>
        </w:tc>
      </w:tr>
      <w:tr>
        <w:tc>
          <w:tcPr>
            <w:tcW w:type="dxa" w:w="831"/>
            <w:vMerge/>
          </w:tcPr>
          <w:p/>
        </w:tc>
        <w:tc>
          <w:tcPr>
            <w:tcW w:type="dxa" w:w="1661"/>
          </w:tcPr>
          <w:p>
            <w:pPr>
              <w:pStyle w:val="null3"/>
            </w:pPr>
            <w:r>
              <w:rPr>
                <w:rFonts w:ascii="仿宋_GB2312" w:hAnsi="仿宋_GB2312" w:cs="仿宋_GB2312" w:eastAsia="仿宋_GB2312"/>
              </w:rPr>
              <w:t>项目配套服务设备管理</w:t>
            </w:r>
          </w:p>
        </w:tc>
        <w:tc>
          <w:tcPr>
            <w:tcW w:type="dxa" w:w="2492"/>
          </w:tcPr>
          <w:p>
            <w:pPr>
              <w:pStyle w:val="null3"/>
            </w:pPr>
            <w:r>
              <w:rPr>
                <w:rFonts w:ascii="仿宋_GB2312" w:hAnsi="仿宋_GB2312" w:cs="仿宋_GB2312" w:eastAsia="仿宋_GB2312"/>
              </w:rPr>
              <w:t>针对本项目提供完善的项目配套服务设备管理，包括但不限于：①医疗设备管理制度；②医疗检测设备安全防护措施及设备操作规程。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项目配套服务设备管理.docx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针对本项目提供完善的保密方案，包括但不限于：①体检过程中个人隐私信息保密方案；②保密管理制度及保密保障措施。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针对本项目提供完善的应急事件响应及处理，包括但不限于：①突发情况应急处理措施；②医疗事故处理方案；③应急预案实施与监督。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体检环境及安全保障方案</w:t>
            </w:r>
          </w:p>
        </w:tc>
        <w:tc>
          <w:tcPr>
            <w:tcW w:type="dxa" w:w="2492"/>
          </w:tcPr>
          <w:p>
            <w:pPr>
              <w:pStyle w:val="null3"/>
            </w:pPr>
            <w:r>
              <w:rPr>
                <w:rFonts w:ascii="仿宋_GB2312" w:hAnsi="仿宋_GB2312" w:cs="仿宋_GB2312" w:eastAsia="仿宋_GB2312"/>
              </w:rPr>
              <w:t>针对本项目提供完善的体检环境及安全保障方案，包括但不限于：①体检机构场地及环境（提供场地环境照片）；②体检机构的安全管理制度及安全保障措施。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体检环境及安全保障方案.docx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根据采购需求提供针对本项目的增值服务。评审标准：1、增值服务方案完整、细致合理、可行性强，且明显有利于采购人，计2分； 2、增值服务方案较为完整、细致合理、可行性一般，且有利于采购人，计1分； 3、增值服务方案较为简单、针对性较差，有利于采购人的举措不够明显，计0.5分； 4、未提供增值服务不计分。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自2023年1月1日以来（以合同签订时间为准），投标人承担过类似体检项目业绩的，每提供一个项目得1分，最高得6分。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采用低价优先法计算，即满足磋商文件要求且磋商报价最低的磋商报价为评标基准价，其价格为 10分。（因落实政府采购政策进行价格调整的，以调整后的价格计算评标基准价）其他供应商的价格分按照下列公式计算：磋商报价得分＝（评标基准价/磋商报价）×10。价格得分四舍五入保留小数点后两位。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详见附件：体检服务方案.docx</w:t>
      </w:r>
    </w:p>
    <w:p>
      <w:pPr>
        <w:pStyle w:val="null3"/>
        <w:ind w:firstLine="960"/>
      </w:pPr>
      <w:r>
        <w:rPr>
          <w:rFonts w:ascii="仿宋_GB2312" w:hAnsi="仿宋_GB2312" w:cs="仿宋_GB2312" w:eastAsia="仿宋_GB2312"/>
        </w:rPr>
        <w:t>详见附件：体检服务质量.docx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详见附件：项目团队技术力量及项目团队人员配置.docx</w:t>
      </w:r>
    </w:p>
    <w:p>
      <w:pPr>
        <w:pStyle w:val="null3"/>
        <w:ind w:firstLine="960"/>
      </w:pPr>
      <w:r>
        <w:rPr>
          <w:rFonts w:ascii="仿宋_GB2312" w:hAnsi="仿宋_GB2312" w:cs="仿宋_GB2312" w:eastAsia="仿宋_GB2312"/>
        </w:rPr>
        <w:t>详见附件：拟投入本项目设备情况.docx</w:t>
      </w:r>
    </w:p>
    <w:p>
      <w:pPr>
        <w:pStyle w:val="null3"/>
        <w:ind w:firstLine="960"/>
      </w:pPr>
      <w:r>
        <w:rPr>
          <w:rFonts w:ascii="仿宋_GB2312" w:hAnsi="仿宋_GB2312" w:cs="仿宋_GB2312" w:eastAsia="仿宋_GB2312"/>
        </w:rPr>
        <w:t>详见附件：项目配套服务设备管理.docx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详见附件：体检环境及安全保障方案.docx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