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5C910B">
      <w:pPr>
        <w:pStyle w:val="3"/>
        <w:spacing w:before="120"/>
        <w:ind w:left="0" w:right="34"/>
        <w:jc w:val="center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  <w:bookmarkStart w:id="0" w:name="_Toc14672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偏离表</w:t>
      </w:r>
      <w:bookmarkEnd w:id="0"/>
    </w:p>
    <w:p w14:paraId="2DCDDA2C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</w:rPr>
        <w:t>项目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名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称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：</w:t>
      </w:r>
    </w:p>
    <w:p w14:paraId="5AAFC90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240" w:lineRule="auto"/>
        <w:ind w:left="0" w:right="34"/>
        <w:jc w:val="both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项目编号：</w:t>
      </w:r>
    </w:p>
    <w:tbl>
      <w:tblPr>
        <w:tblStyle w:val="5"/>
        <w:tblW w:w="8359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6"/>
        <w:gridCol w:w="2169"/>
        <w:gridCol w:w="2065"/>
        <w:gridCol w:w="2040"/>
        <w:gridCol w:w="1339"/>
      </w:tblGrid>
      <w:tr w14:paraId="00ACE9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746" w:type="dxa"/>
            <w:vAlign w:val="center"/>
          </w:tcPr>
          <w:p w14:paraId="72458DAA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2169" w:type="dxa"/>
            <w:vAlign w:val="center"/>
          </w:tcPr>
          <w:p w14:paraId="23DB9993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磋商文件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要求</w:t>
            </w:r>
          </w:p>
        </w:tc>
        <w:tc>
          <w:tcPr>
            <w:tcW w:w="2065" w:type="dxa"/>
            <w:vAlign w:val="center"/>
          </w:tcPr>
          <w:p w14:paraId="46B8EC36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磋商响应内容</w:t>
            </w:r>
          </w:p>
        </w:tc>
        <w:tc>
          <w:tcPr>
            <w:tcW w:w="2040" w:type="dxa"/>
            <w:vAlign w:val="center"/>
          </w:tcPr>
          <w:p w14:paraId="1EF434E3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偏离情况</w:t>
            </w:r>
          </w:p>
        </w:tc>
        <w:tc>
          <w:tcPr>
            <w:tcW w:w="1339" w:type="dxa"/>
            <w:vAlign w:val="center"/>
          </w:tcPr>
          <w:p w14:paraId="394100AD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备注</w:t>
            </w:r>
          </w:p>
        </w:tc>
      </w:tr>
      <w:tr w14:paraId="64AA1D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46" w:type="dxa"/>
          </w:tcPr>
          <w:p w14:paraId="0EF2131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69" w:type="dxa"/>
          </w:tcPr>
          <w:p w14:paraId="73EF453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65" w:type="dxa"/>
          </w:tcPr>
          <w:p w14:paraId="30919E4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40" w:type="dxa"/>
          </w:tcPr>
          <w:p w14:paraId="6782A3C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9" w:type="dxa"/>
          </w:tcPr>
          <w:p w14:paraId="3EF6E5D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01B049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46" w:type="dxa"/>
          </w:tcPr>
          <w:p w14:paraId="6DE7C73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69" w:type="dxa"/>
          </w:tcPr>
          <w:p w14:paraId="7DAE281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65" w:type="dxa"/>
          </w:tcPr>
          <w:p w14:paraId="74854F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40" w:type="dxa"/>
          </w:tcPr>
          <w:p w14:paraId="4D76D8A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9" w:type="dxa"/>
          </w:tcPr>
          <w:p w14:paraId="2E49DF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642137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46" w:type="dxa"/>
          </w:tcPr>
          <w:p w14:paraId="64BE633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69" w:type="dxa"/>
          </w:tcPr>
          <w:p w14:paraId="5D422CF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65" w:type="dxa"/>
          </w:tcPr>
          <w:p w14:paraId="68E1278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40" w:type="dxa"/>
          </w:tcPr>
          <w:p w14:paraId="5331F6B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9" w:type="dxa"/>
          </w:tcPr>
          <w:p w14:paraId="2CE5F99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615C8E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46" w:type="dxa"/>
          </w:tcPr>
          <w:p w14:paraId="0003D80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69" w:type="dxa"/>
          </w:tcPr>
          <w:p w14:paraId="7E5912C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65" w:type="dxa"/>
          </w:tcPr>
          <w:p w14:paraId="1D4E0AF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40" w:type="dxa"/>
          </w:tcPr>
          <w:p w14:paraId="7CF2D21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9" w:type="dxa"/>
          </w:tcPr>
          <w:p w14:paraId="2A1F641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64A7D9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46" w:type="dxa"/>
          </w:tcPr>
          <w:p w14:paraId="4CCB3C0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69" w:type="dxa"/>
          </w:tcPr>
          <w:p w14:paraId="091F92C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65" w:type="dxa"/>
          </w:tcPr>
          <w:p w14:paraId="6F3C429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40" w:type="dxa"/>
          </w:tcPr>
          <w:p w14:paraId="57BAA8A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9" w:type="dxa"/>
          </w:tcPr>
          <w:p w14:paraId="658CDFE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7687BD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46" w:type="dxa"/>
          </w:tcPr>
          <w:p w14:paraId="0B48655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69" w:type="dxa"/>
          </w:tcPr>
          <w:p w14:paraId="5A75470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65" w:type="dxa"/>
          </w:tcPr>
          <w:p w14:paraId="53D1E7E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40" w:type="dxa"/>
          </w:tcPr>
          <w:p w14:paraId="3F1F11E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9" w:type="dxa"/>
          </w:tcPr>
          <w:p w14:paraId="3D37BB9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0AFB2E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46" w:type="dxa"/>
          </w:tcPr>
          <w:p w14:paraId="6694393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69" w:type="dxa"/>
          </w:tcPr>
          <w:p w14:paraId="4C9B37B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65" w:type="dxa"/>
          </w:tcPr>
          <w:p w14:paraId="4F3362C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40" w:type="dxa"/>
          </w:tcPr>
          <w:p w14:paraId="0072AB9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9" w:type="dxa"/>
          </w:tcPr>
          <w:p w14:paraId="635E664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15111F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46" w:type="dxa"/>
          </w:tcPr>
          <w:p w14:paraId="145E57D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69" w:type="dxa"/>
          </w:tcPr>
          <w:p w14:paraId="7A74785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65" w:type="dxa"/>
          </w:tcPr>
          <w:p w14:paraId="6C6A8AE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40" w:type="dxa"/>
          </w:tcPr>
          <w:p w14:paraId="4F12117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9" w:type="dxa"/>
          </w:tcPr>
          <w:p w14:paraId="129EF4D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4F1C4C2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说明：</w:t>
      </w:r>
    </w:p>
    <w:p w14:paraId="0AA0F3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1、</w:t>
      </w: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</w:rPr>
        <w:t>“磋商文件要求”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一栏应填写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</w:rPr>
        <w:t>第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</w:rPr>
        <w:t>章</w:t>
      </w:r>
      <w:r>
        <w:rPr>
          <w:rFonts w:hint="eastAsia" w:ascii="仿宋" w:hAnsi="仿宋" w:eastAsia="仿宋" w:cs="仿宋"/>
          <w:b/>
          <w:bCs w:val="0"/>
          <w:kern w:val="0"/>
          <w:sz w:val="22"/>
          <w:szCs w:val="22"/>
          <w:highlight w:val="none"/>
          <w:lang w:val="en-US" w:eastAsia="zh-CN" w:bidi="ar-SA"/>
        </w:rPr>
        <w:t>磋商项目技术、服务、商务及其他要求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</w:rPr>
        <w:t>3.2.2服务要求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</w:rPr>
        <w:t>技术参数与性能指标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的内容；</w:t>
      </w:r>
    </w:p>
    <w:p w14:paraId="1E3BF5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2、</w:t>
      </w: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</w:rPr>
        <w:t>“磋商响应内容”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一栏必须详细，并应对照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</w:rPr>
        <w:t>第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</w:rPr>
        <w:t>章</w:t>
      </w:r>
      <w:r>
        <w:rPr>
          <w:rFonts w:hint="eastAsia" w:ascii="仿宋" w:hAnsi="仿宋" w:eastAsia="仿宋" w:cs="仿宋"/>
          <w:b/>
          <w:bCs w:val="0"/>
          <w:kern w:val="0"/>
          <w:sz w:val="22"/>
          <w:szCs w:val="22"/>
          <w:highlight w:val="none"/>
          <w:lang w:val="en-US" w:eastAsia="zh-CN" w:bidi="ar-SA"/>
        </w:rPr>
        <w:t>磋商项目技术、服务、商务及其他要求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</w:rPr>
        <w:t>3.2.2服务要求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</w:rPr>
        <w:t>技术参数与性能指标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的内容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进行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响应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，并按磋商文件要求提供相应的证明材料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；</w:t>
      </w:r>
    </w:p>
    <w:p w14:paraId="0A0FB63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2"/>
          <w:szCs w:val="22"/>
          <w:highlight w:val="none"/>
          <w:lang w:val="en-US" w:eastAsia="zh-CN"/>
        </w:rPr>
        <w:t>3、供应商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所填写的“偏离情况”与磋商小组判定不一致时，以磋商小组意见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  <w:lang w:eastAsia="zh-CN"/>
        </w:rPr>
        <w:t>为准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。</w:t>
      </w:r>
    </w:p>
    <w:p w14:paraId="1AF1E96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Cs/>
          <w:sz w:val="22"/>
          <w:szCs w:val="22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、“偏离情况”一栏应如实填写“正偏离”、“负偏离”或“无偏离”；</w:t>
      </w:r>
    </w:p>
    <w:p w14:paraId="28787DA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Cs/>
          <w:sz w:val="22"/>
          <w:szCs w:val="2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、供应商必须据实填写，不得虚假响应，否则将取消其投标/磋商或中标/成交资格，并按有关规定进行处罚。</w:t>
      </w:r>
    </w:p>
    <w:p w14:paraId="7793681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1463A0B2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(签字或盖章)</w:t>
      </w:r>
    </w:p>
    <w:p w14:paraId="6B01467E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</w:t>
      </w:r>
    </w:p>
    <w:p w14:paraId="57B197D5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2C5AB2"/>
    <w:rsid w:val="712C5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left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</w:rPr>
  </w:style>
  <w:style w:type="paragraph" w:styleId="4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2026-05-22T09:20:00Z</dcterms:created>
  <dc:creator>zl</dc:creator>
  <cp:lastModifiedBy>zl</cp:lastModifiedBy>
  <dcterms:modified xsi:type="dcterms:W3CDTF">2026-05-22T09:21:53Z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51A9B7148919441485D4A107E2C7FF16_11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