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版本号：SXDY-2026-12620260622001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监门警戒设施及高危监管区维修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SXDY-2026-126</w:t>
      </w:r>
      <w:r>
        <w:br/>
      </w:r>
      <w:r>
        <w:br/>
      </w:r>
      <w:r>
        <w:br/>
      </w:r>
    </w:p>
    <w:p>
      <w:pPr>
        <w:pStyle w:val="null3"/>
        <w:jc w:val="center"/>
        <w:outlineLvl w:val="2"/>
      </w:pPr>
      <w:r>
        <w:rPr>
          <w:rFonts w:ascii="仿宋_GB2312" w:hAnsi="仿宋_GB2312" w:cs="仿宋_GB2312" w:eastAsia="仿宋_GB2312"/>
          <w:sz w:val="28"/>
          <w:b/>
        </w:rPr>
        <w:t>陕西省庄里监狱</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陕西省庄里监狱</w:t>
      </w:r>
      <w:r>
        <w:rPr>
          <w:rFonts w:ascii="仿宋_GB2312" w:hAnsi="仿宋_GB2312" w:cs="仿宋_GB2312" w:eastAsia="仿宋_GB2312"/>
        </w:rPr>
        <w:t>委托，拟对</w:t>
      </w:r>
      <w:r>
        <w:rPr>
          <w:rFonts w:ascii="仿宋_GB2312" w:hAnsi="仿宋_GB2312" w:cs="仿宋_GB2312" w:eastAsia="仿宋_GB2312"/>
        </w:rPr>
        <w:t>监门警戒设施及高危监管区维修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SXDY-2026-126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监门警戒设施及高危监管区维修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电动钢网大门、安检门、检查井井盖锁更换，电教室内墙吸音板，吊顶、木地板维修等。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采购包1（陕西省庄里监狱监门警戒设施及高危监管区维修）：属于专门面向中小企业采购。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1、本采购包专门面向中小企业采购：参与的供应商（联合体）工程的施工单位全部为符合政策要求的中小企业。</w:t>
      </w:r>
    </w:p>
    <w:p>
      <w:pPr>
        <w:pStyle w:val="null3"/>
      </w:pPr>
      <w:r>
        <w:rPr>
          <w:rFonts w:ascii="仿宋_GB2312" w:hAnsi="仿宋_GB2312" w:cs="仿宋_GB2312" w:eastAsia="仿宋_GB2312"/>
        </w:rPr>
        <w:t>2、供应商资格审查：1、具有独立承担民事责任能力的法人或其他组织，提供统一社会信用代码的营业执照或事业单位法人证书；2、法定代表人授权书(附法定代表人、被授权人身份证复印件)及被授权人身份证(法定代表人参加投标只需提供本人身份) ；3、投标供应商需具备建筑工程施工总承包三级及以上资质，且具备有效的安全生产许可证，并在人员、设备、资金等方面具有相应的施工能力。其中，拟派本工程的项目经理必须为注册于本单位的建筑工程专业二级及以上建造师，且具有有效的安全生产考核合格证书(B证)，无在建项目；4、书面声明。参加本次政府采购活动前3年内在经 营活动中没有重大违纪，以及未被列入失信被执行人、重大税收违法案件当事人名单、政府采购严重违法失信行为记录名单的书面声明；5、财务状况报告：提供2025年度经审计的完整财务报告或开标日期前三个月内其基本存款账户开户银行出具的资信证明。（如提供资信证明，须同时提供基本存款账户开户许可证或基本账户信息表）；6、税收缴纳证明。提供截止至公开招标时间前六个月内任意一个月的缴费凭据(依法免税的供应商应提 供相关文件证明)；7、社会保障资金缴纳证明。提供参加本次政府采购活动前本单位至少六个月的社会保障资金缴纳证明，申请单位注册时间不满六个月的，应当提供注册时至参加政府采购活动时相应期限内本单位缴纳社会保障资金的清单。依法不需要缴纳社会保障资金的单位应提供相关证明材料，8、供应商不得为“中国执行信息公开网”(http://zxgk.court.gov.cn)中被列入失信被执行人的供应商，不得为 “中国政府采购网” (http://www.ccgp.gov.cn)政府采购严重违法失信行为记录名单中被财政部门禁止参加政府采购活动的供应商；9、单位负责人为同一人或者存在直接控股、管理关系的不同供应商，不得参加同一合同项下的政府采购活动；( 提供书面承诺函。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陕西省庄里监狱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陕西省渭南市富平县庄里镇建材路3号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陕西省庄里监狱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0913-8621067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陕西省西安市雁塔区朱雀大街长丰园小区1区1幢C单元1117-1118室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张建龙、卜旭妮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029-85450865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代理服务费收费标准：招标代理服务费以成交价为基数，参照国家计委颁布的《招标代理服务收费管理暂行办法》（计价格[2002]1980号）和（发改办价格[2003]857号）的有关规定收费标准收取。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陕西省庄里监狱</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陕西省庄里监狱</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陕西省庄里监狱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工程质量必须符合国家相关政策执行标准。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联系人：张建龙</w:t>
      </w:r>
    </w:p>
    <w:p>
      <w:pPr>
        <w:pStyle w:val="null3"/>
      </w:pPr>
      <w:r>
        <w:rPr>
          <w:rFonts w:ascii="仿宋_GB2312" w:hAnsi="仿宋_GB2312" w:cs="仿宋_GB2312" w:eastAsia="仿宋_GB2312"/>
        </w:rPr>
        <w:t>联系电话：02985450865</w:t>
      </w:r>
    </w:p>
    <w:p>
      <w:pPr>
        <w:pStyle w:val="null3"/>
      </w:pPr>
      <w:r>
        <w:rPr>
          <w:rFonts w:ascii="仿宋_GB2312" w:hAnsi="仿宋_GB2312" w:cs="仿宋_GB2312" w:eastAsia="仿宋_GB2312"/>
        </w:rPr>
        <w:t>地址：陕西省西安市雁塔区朱雀大街长丰园小区1区1幢C单元1117-1118室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730,000.00</w:t>
      </w:r>
    </w:p>
    <w:p>
      <w:pPr>
        <w:pStyle w:val="null3"/>
      </w:pPr>
      <w:r>
        <w:rPr>
          <w:rFonts w:ascii="仿宋_GB2312" w:hAnsi="仿宋_GB2312" w:cs="仿宋_GB2312" w:eastAsia="仿宋_GB2312"/>
        </w:rPr>
        <w:t>采购包最高限价（元）: 687,175.37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监门维修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标的名称：监门维修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666666"/>
                <w:shd w:fill="FFFFFF" w:val="clear"/>
              </w:rPr>
              <w:t>维修高危监区，监门内警戒区电动钢网大门，会见通道安检门，监管区检查井井盖锁更换，电教室内墙吸音板，吊顶、木地板维修等。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技术服务合同条款及其他商务要求应答表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供应商资格审查</w:t>
            </w:r>
          </w:p>
        </w:tc>
        <w:tc>
          <w:tcPr>
            <w:tcW w:type="dxa" w:w="3322"/>
          </w:tcPr>
          <w:p>
            <w:pPr>
              <w:pStyle w:val="null3"/>
            </w:pPr>
            <w:r>
              <w:rPr>
                <w:rFonts w:ascii="仿宋_GB2312" w:hAnsi="仿宋_GB2312" w:cs="仿宋_GB2312" w:eastAsia="仿宋_GB2312"/>
              </w:rPr>
              <w:t>1、具有独立承担民事责任能力的法人或其他组织，提供统一社会信用代码的营业执照或事业单位法人证书；2、法定代表人授权书(附法定代表人、被授权人身份证复印件)及被授权人身份证(法定代表人参加投标只需提供本人身份) ；3、投标供应商需具备建筑工程施工总承包三级及以上资质，且具备有效的安全生产许可证，并在人员、设备、资金等方面具有相应的施工能力。其中，拟派本工程的项目经理必须为注册于本单位的建筑工程专业二级及以上建造师，且具有有效的安全生产考核合格证书(B证)，无在建项目；4、书面声明。参加本次政府采购活动前3年内在经 营活动中没有重大违纪，以及未被列入失信被执行人、重大税收违法案件当事人名单、政府采购严重违法失信行为记录名单的书面声明；5、财务状况报告：提供2025年度经审计的完整财务报告或开标日期前三个月内其基本存款账户开户银行出具的资信证明。（如提供资信证明，须同时提供基本存款账户开户许可证或基本账户信息表）；6、税收缴纳证明。提供截止至公开招标时间前六个月内任意一个月的缴费凭据(依法免税的供应商应提 供相关文件证明)；7、社会保障资金缴纳证明。提供参加本次政府采购活动前本单位至少六个月的社会保障资金缴纳证明，申请单位注册时间不满六个月的，应当提供注册时至参加政府采购活动时相应期限内本单位缴纳社会保障资金的清单。依法不需要缴纳社会保障资金的单位应提供相关证明材料，8、供应商不得为“中国执行信息公开网”(http://zxgk.court.gov.cn)中被列入失信被执行人的供应商，不得为 “中国政府采购网” (http://www.ccgp.gov.cn)政府采购严重违法失信行为记录名单中被财政部门禁止参加政府采购活动的供应商；9、单位负责人为同一人或者存在直接控股、管理关系的不同供应商，不得参加同一合同项下的政府采购活动；( 提供书面承诺函。</w:t>
            </w:r>
          </w:p>
        </w:tc>
        <w:tc>
          <w:tcPr>
            <w:tcW w:type="dxa" w:w="1661"/>
          </w:tcPr>
          <w:p>
            <w:pPr>
              <w:pStyle w:val="null3"/>
            </w:pPr>
            <w:r>
              <w:rPr>
                <w:rFonts w:ascii="仿宋_GB2312" w:hAnsi="仿宋_GB2312" w:cs="仿宋_GB2312" w:eastAsia="仿宋_GB2312"/>
              </w:rPr>
              <w:t>供应商应提交的相关资格证明材料 主要人员简历表 强制优先采购产品承诺函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名称一致性</w:t>
            </w:r>
          </w:p>
        </w:tc>
        <w:tc>
          <w:tcPr>
            <w:tcW w:type="dxa" w:w="3322"/>
          </w:tcPr>
          <w:p>
            <w:pPr>
              <w:pStyle w:val="null3"/>
            </w:pPr>
            <w:r>
              <w:rPr>
                <w:rFonts w:ascii="仿宋_GB2312" w:hAnsi="仿宋_GB2312" w:cs="仿宋_GB2312" w:eastAsia="仿宋_GB2312"/>
              </w:rPr>
              <w:t>响应文件封面、响应函、报价函、营业执照、资质证书、中小企业声明函、业绩合同名称完全统一。</w:t>
            </w:r>
          </w:p>
        </w:tc>
        <w:tc>
          <w:tcPr>
            <w:tcW w:type="dxa" w:w="1661"/>
          </w:tcPr>
          <w:p>
            <w:pPr>
              <w:pStyle w:val="null3"/>
            </w:pPr>
            <w:r>
              <w:rPr>
                <w:rFonts w:ascii="仿宋_GB2312" w:hAnsi="仿宋_GB2312" w:cs="仿宋_GB2312" w:eastAsia="仿宋_GB2312"/>
              </w:rPr>
              <w:t>响应文件封面 中小企业声明函 报价函 供应商应提交的相关资格证明材料 供应商类似项目业绩一览表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签章合规</w:t>
            </w:r>
          </w:p>
        </w:tc>
        <w:tc>
          <w:tcPr>
            <w:tcW w:type="dxa" w:w="3322"/>
          </w:tcPr>
          <w:p>
            <w:pPr>
              <w:pStyle w:val="null3"/>
            </w:pPr>
            <w:r>
              <w:rPr>
                <w:rFonts w:ascii="仿宋_GB2312" w:hAnsi="仿宋_GB2312" w:cs="仿宋_GB2312" w:eastAsia="仿宋_GB2312"/>
              </w:rPr>
              <w:t>响应函、报价函、中小企业声明函投标函等按要求签章</w:t>
            </w:r>
          </w:p>
        </w:tc>
        <w:tc>
          <w:tcPr>
            <w:tcW w:type="dxa" w:w="1661"/>
          </w:tcPr>
          <w:p>
            <w:pPr>
              <w:pStyle w:val="null3"/>
            </w:pPr>
            <w:r>
              <w:rPr>
                <w:rFonts w:ascii="仿宋_GB2312" w:hAnsi="仿宋_GB2312" w:cs="仿宋_GB2312" w:eastAsia="仿宋_GB2312"/>
              </w:rPr>
              <w:t>响应文件封面 中小企业声明函 残疾人福利性单位声明函 报价函 供应商应提交的相关资格证明材料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报价唯一性</w:t>
            </w:r>
          </w:p>
        </w:tc>
        <w:tc>
          <w:tcPr>
            <w:tcW w:type="dxa" w:w="3322"/>
          </w:tcPr>
          <w:p>
            <w:pPr>
              <w:pStyle w:val="null3"/>
            </w:pPr>
            <w:r>
              <w:rPr>
                <w:rFonts w:ascii="仿宋_GB2312" w:hAnsi="仿宋_GB2312" w:cs="仿宋_GB2312" w:eastAsia="仿宋_GB2312"/>
              </w:rPr>
              <w:t>只提供一个有效投标总价</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提供2023年5月(以合同签订日期为准)至今已完成的类似项目业绩，(以加盖公章的合同或 中标通知书复印件为依据)每提供一例得2.5分，本项累计最高得10分。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 工期＜招标要求；2. 质量达标国标，附具体管控方案；3.保修期2 小时响应 + 24 小时到场；4. 期满后 3 年免费咨询 + 成本价维修（上浮≤10%）；5. ≥3 条可落地合理化建议。得8分；1. 工期≤招标要求；2. 质量达标，提基本管控措施； 3.保修期 4 小时响应 + 48 小时到场；4. 期满后 1 年免费咨询 + 成本价维修；&gt;5. 1-2 条针对性建议。得5分 ；1. 仅满足工期要求；2.仅承诺质量达标，无管控方案；&gt;3. 保修期仅明确基本维修责任；4. 无期满后服务；&gt;5. 无实质性建议，得2分。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服务承诺及保修承诺.docx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1. 质保期（建筑维修/装修类≥2 年、安防设施类≥3 年、机电设备类≥3 年）；2.月度巡检 + 维修后 1 年延保 + 复发免费二次维修，得7分；1. 质保期（建筑维修/装修类≥1 年、安防设施类≥2 年、机电设备类≥2 年）；2.24 小时响应 + 48 小时到场，维修部位 3 个月保障，得4分；1. 质保期低于国标或未明确；仅承诺免费维修，无响应 / 质量保障，得1分；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服务承诺及保修承诺.docx</w:t>
            </w:r>
          </w:p>
        </w:tc>
      </w:tr>
      <w:tr>
        <w:tc>
          <w:tcPr>
            <w:tcW w:type="dxa" w:w="831"/>
            <w:vMerge/>
          </w:tcPr>
          <w:p/>
        </w:tc>
        <w:tc>
          <w:tcPr>
            <w:tcW w:type="dxa" w:w="1661"/>
          </w:tcPr>
          <w:p>
            <w:pPr>
              <w:pStyle w:val="null3"/>
            </w:pPr>
            <w:r>
              <w:rPr>
                <w:rFonts w:ascii="仿宋_GB2312" w:hAnsi="仿宋_GB2312" w:cs="仿宋_GB2312" w:eastAsia="仿宋_GB2312"/>
              </w:rPr>
              <w:t>施工组织设计-施工方案</w:t>
            </w:r>
          </w:p>
        </w:tc>
        <w:tc>
          <w:tcPr>
            <w:tcW w:type="dxa" w:w="2492"/>
          </w:tcPr>
          <w:p>
            <w:pPr>
              <w:pStyle w:val="null3"/>
            </w:pPr>
            <w:r>
              <w:rPr>
                <w:rFonts w:ascii="仿宋_GB2312" w:hAnsi="仿宋_GB2312" w:cs="仿宋_GB2312" w:eastAsia="仿宋_GB2312"/>
              </w:rPr>
              <w:t>完整性（2分）：覆盖施工全流程（准备、实施、验收、移交）得2分，缺1-2个核心环节得1分，缺3个及以上得0分 ·针对性（2分）：完全贴合本项目改造特点与现场条件得2分，基本贴合得1分，脱离实际得0分 ·可操作性（1分）：步骤清晰、工序合理可落地得1分，笼统模糊得0分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施工组织设计-质量措施</w:t>
            </w:r>
          </w:p>
        </w:tc>
        <w:tc>
          <w:tcPr>
            <w:tcW w:type="dxa" w:w="2492"/>
          </w:tcPr>
          <w:p>
            <w:pPr>
              <w:pStyle w:val="null3"/>
            </w:pPr>
            <w:r>
              <w:rPr>
                <w:rFonts w:ascii="仿宋_GB2312" w:hAnsi="仿宋_GB2312" w:cs="仿宋_GB2312" w:eastAsia="仿宋_GB2312"/>
              </w:rPr>
              <w:t>·质量标准（2分）：明确符合国家 / 行业 / 地方规范及项目要求得2分，标准模糊得1分，无标准得0分 ·管控流程（2分）：含原材料检验、过程巡检、隐蔽工程验收、成品保护得2分，流程不全得1分，无流程得0分 ·责任落实（1分）：明确质量责任人及考核机制得1分，未明确得0分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施工组织设计-施工进度/关键材质样品质量</w:t>
            </w:r>
          </w:p>
        </w:tc>
        <w:tc>
          <w:tcPr>
            <w:tcW w:type="dxa" w:w="2492"/>
          </w:tcPr>
          <w:p>
            <w:pPr>
              <w:pStyle w:val="null3"/>
            </w:pPr>
            <w:r>
              <w:rPr>
                <w:rFonts w:ascii="仿宋_GB2312" w:hAnsi="仿宋_GB2312" w:cs="仿宋_GB2312" w:eastAsia="仿宋_GB2312"/>
              </w:rPr>
              <w:t>·进度计划（2分）：提供完整网络图 / 网络图，节点清晰、逻辑合理得2分，较完整得1分，无计划得0分 ·材质样品（3分）：关键材料提供合格样品及检测报告得3分，样品齐全得2分，仅提供报告得1分，无样品 / 报告得0分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施工组织设计-工期措施</w:t>
            </w:r>
          </w:p>
        </w:tc>
        <w:tc>
          <w:tcPr>
            <w:tcW w:type="dxa" w:w="2492"/>
          </w:tcPr>
          <w:p>
            <w:pPr>
              <w:pStyle w:val="null3"/>
            </w:pPr>
            <w:r>
              <w:rPr>
                <w:rFonts w:ascii="仿宋_GB2312" w:hAnsi="仿宋_GB2312" w:cs="仿宋_GB2312" w:eastAsia="仿宋_GB2312"/>
              </w:rPr>
              <w:t>·工期保障（3分）：有明确赶工、交叉作业、资源调配措施得2分，措施较简单得1分，无措施得0分 ·风险应对（2分）：识别工期延误风险并制定应对方案得2分，仅识别风险得1分，未识别得0分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施工组织设计-人员组成</w:t>
            </w:r>
          </w:p>
        </w:tc>
        <w:tc>
          <w:tcPr>
            <w:tcW w:type="dxa" w:w="2492"/>
          </w:tcPr>
          <w:p>
            <w:pPr>
              <w:pStyle w:val="null3"/>
            </w:pPr>
            <w:r>
              <w:rPr>
                <w:rFonts w:ascii="仿宋_GB2312" w:hAnsi="仿宋_GB2312" w:cs="仿宋_GB2312" w:eastAsia="仿宋_GB2312"/>
              </w:rPr>
              <w:t>·人员配置（5分）：项目经理、技术负责人、安全员等岗位齐全且资质达标得5分，缺岗或资质不足得2分，配置混乱得0分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施工组织设计-文明施工</w:t>
            </w:r>
          </w:p>
        </w:tc>
        <w:tc>
          <w:tcPr>
            <w:tcW w:type="dxa" w:w="2492"/>
          </w:tcPr>
          <w:p>
            <w:pPr>
              <w:pStyle w:val="null3"/>
            </w:pPr>
            <w:r>
              <w:rPr>
                <w:rFonts w:ascii="仿宋_GB2312" w:hAnsi="仿宋_GB2312" w:cs="仿宋_GB2312" w:eastAsia="仿宋_GB2312"/>
              </w:rPr>
              <w:t>·文明施工（2分）：有围挡、扬尘控制、噪声管控、垃圾清运措施得2分，措施不全得1分，无措施得0分 ·环保措施（2分）：含废水处理、土建养护、材料节约等内容得2分，内容不全得1分，无内容得0分 ·现场管理（1分）：明确现场文明施工责任人及检查机制得1分，未明确得0分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施工组织设计-设备</w:t>
            </w:r>
          </w:p>
        </w:tc>
        <w:tc>
          <w:tcPr>
            <w:tcW w:type="dxa" w:w="2492"/>
          </w:tcPr>
          <w:p>
            <w:pPr>
              <w:pStyle w:val="null3"/>
            </w:pPr>
            <w:r>
              <w:rPr>
                <w:rFonts w:ascii="仿宋_GB2312" w:hAnsi="仿宋_GB2312" w:cs="仿宋_GB2312" w:eastAsia="仿宋_GB2312"/>
              </w:rPr>
              <w:t>·配置充足性（3分）：设备型号、数量满足施工进度与工艺要求得3分，配置较充足得2分，明显不足得1分，无满足得0分 ·管理维护（2分）：有设备台账、保养计划及安全使用制度得2分，仅有台账得1分，无管理办法得0分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施工组织设计-项目实施</w:t>
            </w:r>
          </w:p>
        </w:tc>
        <w:tc>
          <w:tcPr>
            <w:tcW w:type="dxa" w:w="2492"/>
          </w:tcPr>
          <w:p>
            <w:pPr>
              <w:pStyle w:val="null3"/>
            </w:pPr>
            <w:r>
              <w:rPr>
                <w:rFonts w:ascii="仿宋_GB2312" w:hAnsi="仿宋_GB2312" w:cs="仿宋_GB2312" w:eastAsia="仿宋_GB2312"/>
              </w:rPr>
              <w:t>·协调机制（2分）：与建设方、监理方、武警单位的沟通协调流程清晰得2分，流程较简单得1分，无流程得0分 ·应急预案（3分）：涵盖停电、停水、设备故障、突发安全事故等至少3类应急处置方案得3分，缺1类得2分，缺2类及以上得0分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施工组织设计-安全措施</w:t>
            </w:r>
          </w:p>
        </w:tc>
        <w:tc>
          <w:tcPr>
            <w:tcW w:type="dxa" w:w="2492"/>
          </w:tcPr>
          <w:p>
            <w:pPr>
              <w:pStyle w:val="null3"/>
            </w:pPr>
            <w:r>
              <w:rPr>
                <w:rFonts w:ascii="仿宋_GB2312" w:hAnsi="仿宋_GB2312" w:cs="仿宋_GB2312" w:eastAsia="仿宋_GB2312"/>
              </w:rPr>
              <w:t>·安全体系（2分）：建立安全生产责任制、安全教育培训、安全检查制度得2分，体系不健全得1分，无体系得0分 ·专项防护（2分）：针对高处作业、临时用电、消防等制定专项防护措施得2分，措施不全得1分，无措施得0分 ·应急救援（1分）：有安全事故应急救援预案及演练计划得1分，无预案得0分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1、价格分统一采用低价优先法计算，即满足文件要求且价格最低的报价为基准价，其价格分为满分。其他供应商的价格分统一按照下列公式计算:报价得分=(磋商基准价/最后磋商报价)x 价格权值x100(注:计算分数时四舍五入取小数点后两位)。 2、落实政府采购政策：本项目为专门面向中小企业采购，价格不做调整。</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详见附件：服务承诺及保修承诺.docx</w:t>
      </w:r>
    </w:p>
    <w:p>
      <w:pPr>
        <w:pStyle w:val="null3"/>
        <w:ind w:firstLine="960"/>
      </w:pPr>
      <w:r>
        <w:rPr>
          <w:rFonts w:ascii="仿宋_GB2312" w:hAnsi="仿宋_GB2312" w:cs="仿宋_GB2312" w:eastAsia="仿宋_GB2312"/>
        </w:rPr>
        <w:t>详见附件：施工组织方案.docx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详见附件：施工合同格式-监门警戒设施及高危监管区维修工程.docx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