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CA480">
      <w:pPr>
        <w:pStyle w:val="4"/>
        <w:rPr>
          <w:rFonts w:hint="eastAsia" w:ascii="宋体" w:hAnsi="宋体" w:eastAsia="宋体" w:cs="宋体"/>
          <w:b/>
          <w:bCs/>
          <w:color w:val="auto"/>
          <w:sz w:val="28"/>
          <w:szCs w:val="36"/>
          <w:highlight w:val="none"/>
        </w:rPr>
      </w:pPr>
    </w:p>
    <w:p w14:paraId="25CB3CDF">
      <w:pPr>
        <w:pStyle w:val="10"/>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28"/>
          <w:szCs w:val="28"/>
          <w:highlight w:val="none"/>
          <w:lang w:val="en-US" w:eastAsia="zh-CN"/>
        </w:rPr>
      </w:pPr>
    </w:p>
    <w:p w14:paraId="27674243">
      <w:pPr>
        <w:pStyle w:val="10"/>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_GB2312" w:hAnsi="仿宋_GB2312" w:eastAsia="仿宋_GB2312" w:cs="仿宋_GB2312"/>
          <w:b/>
          <w:bCs w:val="0"/>
          <w:color w:val="auto"/>
          <w:kern w:val="2"/>
          <w:sz w:val="28"/>
          <w:szCs w:val="28"/>
          <w:lang w:val="en-US" w:eastAsia="zh-CN" w:bidi="ar-SA"/>
        </w:rPr>
      </w:pPr>
      <w:r>
        <w:rPr>
          <w:rFonts w:hint="eastAsia" w:ascii="仿宋" w:hAnsi="仿宋" w:eastAsia="仿宋" w:cs="仿宋"/>
          <w:b/>
          <w:color w:val="auto"/>
          <w:sz w:val="28"/>
          <w:szCs w:val="28"/>
          <w:highlight w:val="none"/>
          <w:lang w:val="en-US" w:eastAsia="zh-CN"/>
        </w:rPr>
        <w:t xml:space="preserve">                             </w:t>
      </w:r>
      <w:r>
        <w:rPr>
          <w:rFonts w:hint="eastAsia" w:ascii="仿宋_GB2312" w:hAnsi="仿宋_GB2312" w:eastAsia="仿宋_GB2312" w:cs="仿宋_GB2312"/>
          <w:b/>
          <w:bCs w:val="0"/>
          <w:color w:val="auto"/>
          <w:kern w:val="2"/>
          <w:sz w:val="28"/>
          <w:szCs w:val="28"/>
          <w:lang w:val="en-US" w:eastAsia="zh-CN" w:bidi="ar-SA"/>
        </w:rPr>
        <w:t xml:space="preserve">  合同编号： </w:t>
      </w:r>
    </w:p>
    <w:p w14:paraId="761F3B29">
      <w:pPr>
        <w:pStyle w:val="11"/>
        <w:jc w:val="center"/>
        <w:outlineLvl w:val="2"/>
        <w:rPr>
          <w:rFonts w:hint="eastAsia" w:ascii="仿宋_GB2312" w:hAnsi="仿宋_GB2312" w:eastAsia="仿宋_GB2312" w:cs="仿宋_GB2312"/>
          <w:b/>
          <w:bCs w:val="0"/>
          <w:color w:val="auto"/>
          <w:kern w:val="2"/>
          <w:sz w:val="28"/>
          <w:szCs w:val="28"/>
          <w:lang w:val="en-US" w:eastAsia="zh-CN" w:bidi="ar-SA"/>
        </w:rPr>
      </w:pPr>
    </w:p>
    <w:p w14:paraId="5E6AC708">
      <w:pPr>
        <w:pStyle w:val="10"/>
        <w:keepNext w:val="0"/>
        <w:keepLines w:val="0"/>
        <w:pageBreakBefore w:val="0"/>
        <w:kinsoku/>
        <w:wordWrap/>
        <w:overflowPunct/>
        <w:topLinePunct w:val="0"/>
        <w:bidi w:val="0"/>
        <w:spacing w:line="360" w:lineRule="auto"/>
        <w:ind w:firstLine="0"/>
        <w:jc w:val="both"/>
        <w:rPr>
          <w:rFonts w:hint="eastAsia" w:ascii="仿宋_GB2312" w:hAnsi="仿宋_GB2312" w:eastAsia="仿宋_GB2312" w:cs="仿宋_GB2312"/>
          <w:b/>
          <w:bCs w:val="0"/>
          <w:color w:val="auto"/>
          <w:kern w:val="2"/>
          <w:sz w:val="28"/>
          <w:szCs w:val="28"/>
          <w:lang w:val="en-US" w:eastAsia="zh-CN" w:bidi="ar-SA"/>
        </w:rPr>
      </w:pPr>
    </w:p>
    <w:p w14:paraId="792A3083">
      <w:pPr>
        <w:pStyle w:val="10"/>
        <w:keepNext w:val="0"/>
        <w:keepLines w:val="0"/>
        <w:pageBreakBefore w:val="0"/>
        <w:kinsoku/>
        <w:wordWrap/>
        <w:overflowPunct/>
        <w:topLinePunct w:val="0"/>
        <w:bidi w:val="0"/>
        <w:spacing w:line="360" w:lineRule="auto"/>
        <w:ind w:firstLine="0"/>
        <w:jc w:val="both"/>
        <w:rPr>
          <w:rFonts w:hint="eastAsia" w:ascii="仿宋_GB2312" w:hAnsi="仿宋_GB2312" w:eastAsia="仿宋_GB2312" w:cs="仿宋_GB2312"/>
          <w:b/>
          <w:bCs w:val="0"/>
          <w:color w:val="auto"/>
          <w:kern w:val="2"/>
          <w:sz w:val="28"/>
          <w:szCs w:val="28"/>
          <w:lang w:val="en-US" w:eastAsia="zh-CN" w:bidi="ar-SA"/>
        </w:rPr>
      </w:pPr>
    </w:p>
    <w:p w14:paraId="3B37D868">
      <w:pPr>
        <w:pStyle w:val="10"/>
        <w:keepNext w:val="0"/>
        <w:keepLines w:val="0"/>
        <w:pageBreakBefore w:val="0"/>
        <w:kinsoku/>
        <w:wordWrap/>
        <w:overflowPunct/>
        <w:topLinePunct w:val="0"/>
        <w:bidi w:val="0"/>
        <w:spacing w:line="360" w:lineRule="auto"/>
        <w:ind w:firstLine="0"/>
        <w:jc w:val="center"/>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bCs w:val="0"/>
          <w:color w:val="auto"/>
          <w:kern w:val="2"/>
          <w:sz w:val="40"/>
          <w:szCs w:val="40"/>
          <w:lang w:val="en-US" w:eastAsia="zh-CN" w:bidi="ar-SA"/>
        </w:rPr>
        <w:t>2026年长安校区消防控制室值守和消防设施巡检保养服务项目</w:t>
      </w:r>
    </w:p>
    <w:p w14:paraId="28450EC2">
      <w:pPr>
        <w:pStyle w:val="10"/>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168118D9">
      <w:pPr>
        <w:pStyle w:val="10"/>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671673B0">
      <w:pPr>
        <w:pStyle w:val="10"/>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696B0A79">
      <w:pPr>
        <w:pStyle w:val="10"/>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31298F61">
      <w:pPr>
        <w:pStyle w:val="6"/>
        <w:pageBreakBefore w:val="0"/>
        <w:kinsoku/>
        <w:overflowPunct/>
        <w:bidi w:val="0"/>
        <w:spacing w:line="500" w:lineRule="exact"/>
        <w:ind w:left="0" w:leftChars="0" w:firstLine="0" w:firstLineChars="0"/>
        <w:jc w:val="center"/>
        <w:rPr>
          <w:rFonts w:hint="default" w:ascii="仿宋_GB2312" w:hAnsi="仿宋_GB2312" w:eastAsia="仿宋_GB2312" w:cs="仿宋_GB2312"/>
          <w:b/>
          <w:bCs w:val="0"/>
          <w:color w:val="auto"/>
          <w:kern w:val="2"/>
          <w:sz w:val="36"/>
          <w:szCs w:val="36"/>
          <w:lang w:val="en-US" w:eastAsia="zh-CN" w:bidi="ar-SA"/>
        </w:rPr>
      </w:pPr>
      <w:r>
        <w:rPr>
          <w:rFonts w:hint="eastAsia" w:ascii="仿宋_GB2312" w:hAnsi="仿宋_GB2312" w:eastAsia="仿宋_GB2312" w:cs="仿宋_GB2312"/>
          <w:b/>
          <w:bCs w:val="0"/>
          <w:color w:val="auto"/>
          <w:kern w:val="2"/>
          <w:sz w:val="36"/>
          <w:szCs w:val="36"/>
          <w:lang w:val="en-US" w:eastAsia="zh-CN" w:bidi="ar-SA"/>
        </w:rPr>
        <w:t>采 购 合 同</w:t>
      </w:r>
    </w:p>
    <w:p w14:paraId="1B7B3D1E">
      <w:pPr>
        <w:pageBreakBefore w:val="0"/>
        <w:kinsoku/>
        <w:overflowPunct/>
        <w:bidi w:val="0"/>
        <w:spacing w:line="500" w:lineRule="exact"/>
        <w:rPr>
          <w:rFonts w:hint="eastAsia" w:ascii="仿宋_GB2312" w:hAnsi="仿宋_GB2312" w:eastAsia="仿宋_GB2312" w:cs="仿宋_GB2312"/>
          <w:b/>
          <w:bCs w:val="0"/>
          <w:color w:val="auto"/>
          <w:kern w:val="2"/>
          <w:sz w:val="28"/>
          <w:szCs w:val="28"/>
          <w:lang w:val="en-US" w:eastAsia="zh-CN" w:bidi="ar-SA"/>
        </w:rPr>
      </w:pPr>
    </w:p>
    <w:p w14:paraId="075274F2">
      <w:pPr>
        <w:pageBreakBefore w:val="0"/>
        <w:kinsoku/>
        <w:overflowPunct/>
        <w:bidi w:val="0"/>
        <w:spacing w:line="500" w:lineRule="exact"/>
        <w:rPr>
          <w:color w:val="auto"/>
          <w:highlight w:val="none"/>
        </w:rPr>
      </w:pPr>
    </w:p>
    <w:p w14:paraId="63EA8783">
      <w:pPr>
        <w:pageBreakBefore w:val="0"/>
        <w:kinsoku/>
        <w:overflowPunct/>
        <w:bidi w:val="0"/>
        <w:spacing w:line="500" w:lineRule="exact"/>
        <w:rPr>
          <w:color w:val="auto"/>
          <w:highlight w:val="none"/>
        </w:rPr>
      </w:pPr>
    </w:p>
    <w:p w14:paraId="7394F303">
      <w:pPr>
        <w:pageBreakBefore w:val="0"/>
        <w:kinsoku/>
        <w:overflowPunct/>
        <w:bidi w:val="0"/>
        <w:spacing w:line="500" w:lineRule="exact"/>
        <w:rPr>
          <w:color w:val="auto"/>
          <w:highlight w:val="none"/>
        </w:rPr>
      </w:pPr>
    </w:p>
    <w:p w14:paraId="0517A477">
      <w:pPr>
        <w:pStyle w:val="3"/>
        <w:pageBreakBefore w:val="0"/>
        <w:kinsoku/>
        <w:overflowPunct/>
        <w:bidi w:val="0"/>
        <w:spacing w:line="500" w:lineRule="exact"/>
        <w:rPr>
          <w:color w:val="auto"/>
          <w:highlight w:val="none"/>
        </w:rPr>
      </w:pPr>
    </w:p>
    <w:p w14:paraId="1030546D">
      <w:pPr>
        <w:pageBreakBefore w:val="0"/>
        <w:kinsoku/>
        <w:overflowPunct/>
        <w:bidi w:val="0"/>
        <w:spacing w:line="500" w:lineRule="exact"/>
        <w:rPr>
          <w:color w:val="auto"/>
          <w:highlight w:val="none"/>
        </w:rPr>
      </w:pPr>
    </w:p>
    <w:p w14:paraId="42F5FA46">
      <w:pPr>
        <w:pageBreakBefore w:val="0"/>
        <w:kinsoku/>
        <w:overflowPunct/>
        <w:bidi w:val="0"/>
        <w:spacing w:line="500" w:lineRule="exact"/>
        <w:rPr>
          <w:color w:val="auto"/>
          <w:highlight w:val="none"/>
        </w:rPr>
      </w:pPr>
    </w:p>
    <w:p w14:paraId="78476071">
      <w:pPr>
        <w:pStyle w:val="10"/>
        <w:keepNext w:val="0"/>
        <w:keepLines w:val="0"/>
        <w:pageBreakBefore w:val="0"/>
        <w:widowControl/>
        <w:kinsoku/>
        <w:wordWrap/>
        <w:overflowPunct/>
        <w:topLinePunct w:val="0"/>
        <w:autoSpaceDE/>
        <w:autoSpaceDN/>
        <w:bidi w:val="0"/>
        <w:adjustRightInd w:val="0"/>
        <w:snapToGrid w:val="0"/>
        <w:spacing w:before="0" w:after="0" w:line="360" w:lineRule="auto"/>
        <w:ind w:left="0" w:leftChars="0" w:firstLine="2249" w:firstLineChars="800"/>
        <w:jc w:val="both"/>
        <w:textAlignment w:val="auto"/>
        <w:rPr>
          <w:rFonts w:hint="default" w:ascii="仿宋_GB2312" w:hAnsi="仿宋_GB2312" w:eastAsia="仿宋_GB2312" w:cs="仿宋_GB2312"/>
          <w:b/>
          <w:bCs w:val="0"/>
          <w:color w:val="auto"/>
          <w:kern w:val="2"/>
          <w:sz w:val="28"/>
          <w:szCs w:val="28"/>
          <w:u w:val="single"/>
          <w:lang w:val="en-US" w:eastAsia="zh-CN" w:bidi="ar-SA"/>
        </w:rPr>
      </w:pPr>
      <w:r>
        <w:rPr>
          <w:rFonts w:hint="eastAsia" w:ascii="仿宋_GB2312" w:hAnsi="仿宋_GB2312" w:eastAsia="仿宋_GB2312" w:cs="仿宋_GB2312"/>
          <w:b/>
          <w:bCs w:val="0"/>
          <w:color w:val="auto"/>
          <w:kern w:val="2"/>
          <w:sz w:val="28"/>
          <w:szCs w:val="28"/>
          <w:lang w:val="en-US" w:eastAsia="zh-CN" w:bidi="ar-SA"/>
        </w:rPr>
        <w:t>甲方：</w:t>
      </w:r>
      <w:r>
        <w:rPr>
          <w:rFonts w:hint="eastAsia" w:ascii="仿宋_GB2312" w:hAnsi="仿宋_GB2312" w:eastAsia="仿宋_GB2312" w:cs="仿宋_GB2312"/>
          <w:b/>
          <w:bCs w:val="0"/>
          <w:color w:val="auto"/>
          <w:kern w:val="2"/>
          <w:sz w:val="28"/>
          <w:szCs w:val="28"/>
          <w:u w:val="single"/>
          <w:lang w:val="en-US" w:eastAsia="zh-CN" w:bidi="ar-SA"/>
        </w:rPr>
        <w:t xml:space="preserve">                     </w:t>
      </w:r>
    </w:p>
    <w:p w14:paraId="708B4E41">
      <w:pPr>
        <w:pStyle w:val="10"/>
        <w:keepNext w:val="0"/>
        <w:keepLines w:val="0"/>
        <w:pageBreakBefore w:val="0"/>
        <w:widowControl/>
        <w:kinsoku/>
        <w:wordWrap/>
        <w:overflowPunct/>
        <w:topLinePunct w:val="0"/>
        <w:autoSpaceDE/>
        <w:autoSpaceDN/>
        <w:bidi w:val="0"/>
        <w:adjustRightInd w:val="0"/>
        <w:snapToGrid w:val="0"/>
        <w:spacing w:before="0" w:after="0" w:line="360" w:lineRule="auto"/>
        <w:ind w:left="0" w:leftChars="0" w:firstLine="2249" w:firstLineChars="800"/>
        <w:jc w:val="both"/>
        <w:textAlignment w:val="auto"/>
        <w:rPr>
          <w:rFonts w:hint="default" w:ascii="仿宋_GB2312" w:hAnsi="仿宋_GB2312" w:eastAsia="仿宋_GB2312" w:cs="仿宋_GB2312"/>
          <w:b/>
          <w:bCs w:val="0"/>
          <w:color w:val="auto"/>
          <w:kern w:val="2"/>
          <w:sz w:val="28"/>
          <w:szCs w:val="28"/>
          <w:u w:val="single"/>
          <w:lang w:val="en-US" w:eastAsia="zh-CN" w:bidi="ar-SA"/>
        </w:rPr>
      </w:pPr>
      <w:r>
        <w:rPr>
          <w:rFonts w:hint="eastAsia" w:ascii="仿宋_GB2312" w:hAnsi="仿宋_GB2312" w:eastAsia="仿宋_GB2312" w:cs="仿宋_GB2312"/>
          <w:b/>
          <w:bCs w:val="0"/>
          <w:color w:val="auto"/>
          <w:kern w:val="2"/>
          <w:sz w:val="28"/>
          <w:szCs w:val="28"/>
          <w:lang w:val="en-US" w:eastAsia="zh-CN" w:bidi="ar-SA"/>
        </w:rPr>
        <w:fldChar w:fldCharType="begin"/>
      </w:r>
      <w:r>
        <w:rPr>
          <w:rFonts w:hint="eastAsia" w:ascii="仿宋_GB2312" w:hAnsi="仿宋_GB2312" w:eastAsia="仿宋_GB2312" w:cs="仿宋_GB2312"/>
          <w:b/>
          <w:bCs w:val="0"/>
          <w:color w:val="auto"/>
          <w:kern w:val="2"/>
          <w:sz w:val="28"/>
          <w:szCs w:val="28"/>
          <w:lang w:val="en-US" w:eastAsia="zh-CN" w:bidi="ar-SA"/>
        </w:rPr>
        <w:instrText xml:space="preserve"> HYPERLINK "http://set2.mail.qq.com/cgi-bin/mail_spam?action=check_link&amp;spam=0&amp;url=http://www.baidu.com/s?wd=%E4%B9%99%E6%96%B9&amp;hl_tag=textlink&amp;tn=SE_hldp01350_v6v6zkg6" </w:instrText>
      </w:r>
      <w:r>
        <w:rPr>
          <w:rFonts w:hint="eastAsia" w:ascii="仿宋_GB2312" w:hAnsi="仿宋_GB2312" w:eastAsia="仿宋_GB2312" w:cs="仿宋_GB2312"/>
          <w:b/>
          <w:bCs w:val="0"/>
          <w:color w:val="auto"/>
          <w:kern w:val="2"/>
          <w:sz w:val="28"/>
          <w:szCs w:val="28"/>
          <w:lang w:val="en-US" w:eastAsia="zh-CN" w:bidi="ar-SA"/>
        </w:rPr>
        <w:fldChar w:fldCharType="separate"/>
      </w:r>
      <w:r>
        <w:rPr>
          <w:rFonts w:hint="default" w:ascii="仿宋_GB2312" w:hAnsi="仿宋_GB2312" w:eastAsia="仿宋_GB2312" w:cs="仿宋_GB2312"/>
          <w:b/>
          <w:bCs w:val="0"/>
          <w:color w:val="auto"/>
          <w:kern w:val="2"/>
          <w:sz w:val="28"/>
          <w:szCs w:val="28"/>
          <w:lang w:val="en-US" w:eastAsia="zh-CN" w:bidi="ar-SA"/>
        </w:rPr>
        <w:t>乙方</w:t>
      </w:r>
      <w:r>
        <w:rPr>
          <w:rFonts w:hint="eastAsia" w:ascii="仿宋_GB2312" w:hAnsi="仿宋_GB2312" w:eastAsia="仿宋_GB2312" w:cs="仿宋_GB2312"/>
          <w:b/>
          <w:bCs w:val="0"/>
          <w:color w:val="auto"/>
          <w:kern w:val="2"/>
          <w:sz w:val="28"/>
          <w:szCs w:val="28"/>
          <w:lang w:val="en-US" w:eastAsia="zh-CN" w:bidi="ar-SA"/>
        </w:rPr>
        <w:fldChar w:fldCharType="end"/>
      </w:r>
      <w:r>
        <w:rPr>
          <w:rFonts w:hint="eastAsia" w:ascii="仿宋_GB2312" w:hAnsi="仿宋_GB2312" w:eastAsia="仿宋_GB2312" w:cs="仿宋_GB2312"/>
          <w:b/>
          <w:bCs w:val="0"/>
          <w:color w:val="auto"/>
          <w:kern w:val="2"/>
          <w:sz w:val="28"/>
          <w:szCs w:val="28"/>
          <w:lang w:val="en-US" w:eastAsia="zh-CN" w:bidi="ar-SA"/>
        </w:rPr>
        <w:t>：</w:t>
      </w:r>
      <w:r>
        <w:rPr>
          <w:rFonts w:hint="eastAsia" w:ascii="仿宋_GB2312" w:hAnsi="仿宋_GB2312" w:eastAsia="仿宋_GB2312" w:cs="仿宋_GB2312"/>
          <w:b/>
          <w:bCs w:val="0"/>
          <w:color w:val="auto"/>
          <w:kern w:val="2"/>
          <w:sz w:val="28"/>
          <w:szCs w:val="28"/>
          <w:u w:val="single"/>
          <w:lang w:val="en-US" w:eastAsia="zh-CN" w:bidi="ar-SA"/>
        </w:rPr>
        <w:t xml:space="preserve">                     </w:t>
      </w:r>
    </w:p>
    <w:p w14:paraId="757141CA">
      <w:pPr>
        <w:pStyle w:val="10"/>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ascii="仿宋_GB2312" w:hAnsi="仿宋_GB2312" w:eastAsia="仿宋_GB2312" w:cs="仿宋_GB2312"/>
          <w:color w:val="auto"/>
        </w:rPr>
      </w:pPr>
      <w:r>
        <w:rPr>
          <w:rFonts w:hint="eastAsia" w:ascii="仿宋_GB2312" w:hAnsi="仿宋_GB2312" w:eastAsia="仿宋_GB2312" w:cs="仿宋_GB2312"/>
          <w:b/>
          <w:bCs w:val="0"/>
          <w:color w:val="auto"/>
          <w:kern w:val="2"/>
          <w:sz w:val="28"/>
          <w:szCs w:val="28"/>
          <w:lang w:val="en-US" w:eastAsia="zh-CN" w:bidi="ar-SA"/>
        </w:rPr>
        <w:t>签订时间：</w:t>
      </w:r>
      <w:r>
        <w:rPr>
          <w:rFonts w:hint="eastAsia" w:ascii="仿宋_GB2312" w:hAnsi="仿宋_GB2312" w:eastAsia="仿宋_GB2312" w:cs="仿宋_GB2312"/>
          <w:b/>
          <w:bCs w:val="0"/>
          <w:color w:val="auto"/>
          <w:kern w:val="2"/>
          <w:sz w:val="28"/>
          <w:szCs w:val="28"/>
          <w:u w:val="single"/>
          <w:lang w:val="en-US" w:eastAsia="zh-CN" w:bidi="ar-SA"/>
        </w:rPr>
        <w:t xml:space="preserve">     </w:t>
      </w:r>
      <w:r>
        <w:rPr>
          <w:rFonts w:hint="eastAsia" w:ascii="仿宋_GB2312" w:hAnsi="仿宋_GB2312" w:eastAsia="仿宋_GB2312" w:cs="仿宋_GB2312"/>
          <w:b/>
          <w:bCs w:val="0"/>
          <w:color w:val="auto"/>
          <w:kern w:val="2"/>
          <w:sz w:val="28"/>
          <w:szCs w:val="28"/>
          <w:lang w:val="en-US" w:eastAsia="zh-CN" w:bidi="ar-SA"/>
        </w:rPr>
        <w:t>年</w:t>
      </w:r>
      <w:r>
        <w:rPr>
          <w:rFonts w:hint="eastAsia" w:ascii="仿宋_GB2312" w:hAnsi="仿宋_GB2312" w:eastAsia="仿宋_GB2312" w:cs="仿宋_GB2312"/>
          <w:b/>
          <w:bCs w:val="0"/>
          <w:color w:val="auto"/>
          <w:kern w:val="2"/>
          <w:sz w:val="28"/>
          <w:szCs w:val="28"/>
          <w:u w:val="single"/>
          <w:lang w:val="en-US" w:eastAsia="zh-CN" w:bidi="ar-SA"/>
        </w:rPr>
        <w:t xml:space="preserve">   </w:t>
      </w:r>
      <w:r>
        <w:rPr>
          <w:rFonts w:hint="eastAsia" w:ascii="仿宋_GB2312" w:hAnsi="仿宋_GB2312" w:eastAsia="仿宋_GB2312" w:cs="仿宋_GB2312"/>
          <w:b/>
          <w:bCs w:val="0"/>
          <w:color w:val="auto"/>
          <w:kern w:val="2"/>
          <w:sz w:val="28"/>
          <w:szCs w:val="28"/>
          <w:lang w:val="en-US" w:eastAsia="zh-CN" w:bidi="ar-SA"/>
        </w:rPr>
        <w:t>月</w:t>
      </w:r>
      <w:r>
        <w:rPr>
          <w:rFonts w:hint="eastAsia" w:ascii="仿宋_GB2312" w:hAnsi="仿宋_GB2312" w:eastAsia="仿宋_GB2312" w:cs="仿宋_GB2312"/>
          <w:b/>
          <w:bCs w:val="0"/>
          <w:color w:val="auto"/>
          <w:kern w:val="2"/>
          <w:sz w:val="28"/>
          <w:szCs w:val="28"/>
          <w:u w:val="single"/>
          <w:lang w:val="en-US" w:eastAsia="zh-CN" w:bidi="ar-SA"/>
        </w:rPr>
        <w:t xml:space="preserve">   </w:t>
      </w:r>
      <w:r>
        <w:rPr>
          <w:rFonts w:hint="eastAsia" w:ascii="仿宋_GB2312" w:hAnsi="仿宋_GB2312" w:eastAsia="仿宋_GB2312" w:cs="仿宋_GB2312"/>
          <w:b/>
          <w:bCs w:val="0"/>
          <w:color w:val="auto"/>
          <w:kern w:val="2"/>
          <w:sz w:val="28"/>
          <w:szCs w:val="28"/>
          <w:lang w:val="en-US" w:eastAsia="zh-CN" w:bidi="ar-SA"/>
        </w:rPr>
        <w:t>日</w:t>
      </w:r>
    </w:p>
    <w:p w14:paraId="0C1D50FD">
      <w:pPr>
        <w:pStyle w:val="2"/>
        <w:numPr>
          <w:ilvl w:val="0"/>
          <w:numId w:val="0"/>
        </w:numPr>
        <w:spacing w:line="360" w:lineRule="auto"/>
        <w:jc w:val="center"/>
        <w:rPr>
          <w:rFonts w:hint="eastAsia" w:ascii="宋体" w:hAnsi="宋体" w:eastAsia="宋体" w:cs="宋体"/>
          <w:b/>
          <w:bCs/>
          <w:color w:val="auto"/>
          <w:sz w:val="28"/>
          <w:szCs w:val="36"/>
          <w:highlight w:val="none"/>
        </w:rPr>
      </w:pPr>
      <w:r>
        <w:rPr>
          <w:rFonts w:ascii="仿宋_GB2312" w:hAnsi="仿宋_GB2312" w:eastAsia="仿宋_GB2312" w:cs="仿宋_GB2312"/>
          <w:color w:val="auto"/>
        </w:rPr>
        <w:br w:type="page"/>
      </w:r>
      <w:r>
        <w:rPr>
          <w:rFonts w:hint="eastAsia" w:ascii="仿宋_GB2312" w:hAnsi="仿宋_GB2312" w:eastAsia="仿宋_GB2312" w:cs="仿宋_GB2312"/>
          <w:b/>
          <w:bCs/>
          <w:color w:val="auto"/>
          <w:sz w:val="28"/>
          <w:szCs w:val="20"/>
          <w:lang w:val="en-US" w:eastAsia="zh-CN"/>
        </w:rPr>
        <w:t>合同主要条款</w:t>
      </w:r>
    </w:p>
    <w:p w14:paraId="4A1D3085">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采购方（以下简称“甲方”）：西安美术学院</w:t>
      </w:r>
    </w:p>
    <w:p w14:paraId="549B834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统一社会信用代码：XXX</w:t>
      </w:r>
    </w:p>
    <w:p w14:paraId="7ECB7E5B">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中标方（以下简称“乙方”）：XXX</w:t>
      </w:r>
    </w:p>
    <w:p w14:paraId="1D022DE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统一社会信用代码：XXX</w:t>
      </w:r>
    </w:p>
    <w:p w14:paraId="7065E81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依据《中华人民共和国民法典》《中华人民共和国政府采购法》以及磋商文件、响应文件、中标通知书，经甲、乙双方协商，达成如下合同条款。</w:t>
      </w:r>
    </w:p>
    <w:p w14:paraId="3A980387">
      <w:pPr>
        <w:keepNext w:val="0"/>
        <w:keepLines w:val="0"/>
        <w:pageBreakBefore w:val="0"/>
        <w:widowControl w:val="0"/>
        <w:kinsoku/>
        <w:wordWrap/>
        <w:overflowPunct/>
        <w:topLinePunct w:val="0"/>
        <w:autoSpaceDE w:val="0"/>
        <w:autoSpaceDN w:val="0"/>
        <w:bidi w:val="0"/>
        <w:adjustRightInd w:val="0"/>
        <w:spacing w:line="500" w:lineRule="exact"/>
        <w:ind w:firstLine="562" w:firstLineChars="200"/>
        <w:textAlignment w:val="auto"/>
        <w:rPr>
          <w:rFonts w:hint="eastAsia" w:ascii="仿宋_GB2312" w:hAnsi="仿宋_GB2312" w:eastAsia="仿宋_GB2312" w:cs="仿宋_GB2312"/>
          <w:b/>
          <w:bCs w:val="0"/>
          <w:color w:val="auto"/>
          <w:kern w:val="2"/>
          <w:sz w:val="28"/>
          <w:szCs w:val="28"/>
          <w:lang w:val="en-US" w:eastAsia="zh-CN" w:bidi="ar-SA"/>
        </w:rPr>
      </w:pPr>
      <w:bookmarkStart w:id="0" w:name="_Toc678"/>
      <w:bookmarkStart w:id="1" w:name="_Toc17602"/>
      <w:r>
        <w:rPr>
          <w:rFonts w:hint="eastAsia" w:ascii="仿宋_GB2312" w:hAnsi="仿宋_GB2312" w:eastAsia="仿宋_GB2312" w:cs="仿宋_GB2312"/>
          <w:b/>
          <w:bCs w:val="0"/>
          <w:color w:val="auto"/>
          <w:kern w:val="2"/>
          <w:sz w:val="28"/>
          <w:szCs w:val="28"/>
          <w:lang w:val="en-US" w:eastAsia="zh-CN" w:bidi="ar-SA"/>
        </w:rPr>
        <w:t>一、项目概况</w:t>
      </w:r>
      <w:bookmarkEnd w:id="0"/>
      <w:bookmarkEnd w:id="1"/>
    </w:p>
    <w:p w14:paraId="4347B7A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本项目为西安美术学院2026年长安校区消防控制室值守和消防设施巡检保养服务项目。</w:t>
      </w:r>
    </w:p>
    <w:p w14:paraId="0C23603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乙方项目负责人：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，联系方式：</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w:t>
      </w:r>
    </w:p>
    <w:p w14:paraId="78B4E64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技术负责人：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联系方式：</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w:t>
      </w:r>
    </w:p>
    <w:p w14:paraId="396EF17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乙方在中途需更换所指派的项目负责人，应事先征得甲方书面同意。</w:t>
      </w:r>
    </w:p>
    <w:p w14:paraId="360C8494">
      <w:pPr>
        <w:keepNext w:val="0"/>
        <w:keepLines w:val="0"/>
        <w:pageBreakBefore w:val="0"/>
        <w:widowControl w:val="0"/>
        <w:kinsoku/>
        <w:wordWrap/>
        <w:overflowPunct/>
        <w:topLinePunct w:val="0"/>
        <w:autoSpaceDE w:val="0"/>
        <w:autoSpaceDN w:val="0"/>
        <w:bidi w:val="0"/>
        <w:adjustRightInd w:val="0"/>
        <w:spacing w:line="500" w:lineRule="exact"/>
        <w:ind w:firstLine="562" w:firstLineChars="200"/>
        <w:textAlignment w:val="auto"/>
        <w:rPr>
          <w:rFonts w:hint="eastAsia" w:ascii="仿宋_GB2312" w:hAnsi="仿宋_GB2312" w:eastAsia="仿宋_GB2312" w:cs="仿宋_GB2312"/>
          <w:b/>
          <w:bCs w:val="0"/>
          <w:color w:val="auto"/>
          <w:kern w:val="2"/>
          <w:sz w:val="28"/>
          <w:szCs w:val="28"/>
          <w:lang w:val="en-US" w:eastAsia="zh-CN" w:bidi="ar-SA"/>
        </w:rPr>
      </w:pPr>
      <w:bookmarkStart w:id="2" w:name="_Toc21388"/>
      <w:bookmarkStart w:id="3" w:name="_Toc16950"/>
      <w:r>
        <w:rPr>
          <w:rFonts w:hint="eastAsia" w:ascii="仿宋_GB2312" w:hAnsi="仿宋_GB2312" w:eastAsia="仿宋_GB2312" w:cs="仿宋_GB2312"/>
          <w:b/>
          <w:bCs w:val="0"/>
          <w:color w:val="auto"/>
          <w:kern w:val="2"/>
          <w:sz w:val="28"/>
          <w:szCs w:val="28"/>
          <w:lang w:val="en-US" w:eastAsia="zh-CN" w:bidi="ar-SA"/>
        </w:rPr>
        <w:t>二、服务条件</w:t>
      </w:r>
      <w:bookmarkEnd w:id="2"/>
      <w:bookmarkEnd w:id="3"/>
    </w:p>
    <w:p w14:paraId="192F5E9B">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（一）服务地点</w:t>
      </w:r>
    </w:p>
    <w:p w14:paraId="016E619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西安美术学院长安校区</w:t>
      </w:r>
    </w:p>
    <w:p w14:paraId="453399D0">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（二）服务期限</w:t>
      </w:r>
    </w:p>
    <w:p w14:paraId="6649D6B6">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default"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1.自合同签订之日起一年</w:t>
      </w:r>
    </w:p>
    <w:p w14:paraId="61C0897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2026年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月</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日至2027年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月</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p>
    <w:p w14:paraId="2D418A9D">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2.延期服务</w:t>
      </w:r>
    </w:p>
    <w:p w14:paraId="734F37F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如本合同服务期满且甲方未能通过招标程序确定下一年度消防控制室值守和消防设施巡检保养服务项目中标方时，由乙方按照本合同为甲方继续提供服务，甲方按照本合同支付费用。</w:t>
      </w:r>
    </w:p>
    <w:p w14:paraId="78C56761">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（1）延期服务内容、标准及方案</w:t>
      </w:r>
    </w:p>
    <w:p w14:paraId="0CB6FF7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按照本合同执行。</w:t>
      </w:r>
    </w:p>
    <w:p w14:paraId="15D13A33">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（2）服务履行期限</w:t>
      </w:r>
    </w:p>
    <w:p w14:paraId="5C56B9F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自本合同服务期满，至招标确定新的消防服务供应商入驻甲方结束。</w:t>
      </w:r>
    </w:p>
    <w:p w14:paraId="306BF17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结束日期为：甲方通知乙方与新的消防服务供应商办理交接的日期。</w:t>
      </w:r>
    </w:p>
    <w:p w14:paraId="1B7F6FFC">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（3）付款金额及方式</w:t>
      </w:r>
    </w:p>
    <w:p w14:paraId="3130AA9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①延期服务的</w:t>
      </w:r>
      <w:r>
        <w:rPr>
          <w:rFonts w:hint="default" w:ascii="仿宋_GB2312" w:hAnsi="仿宋_GB2312" w:eastAsia="仿宋_GB2312" w:cs="仿宋_GB2312"/>
          <w:b w:val="0"/>
          <w:bCs/>
          <w:color w:val="auto"/>
          <w:kern w:val="2"/>
          <w:sz w:val="24"/>
          <w:szCs w:val="24"/>
          <w:lang w:val="en-US" w:eastAsia="zh-CN" w:bidi="ar-SA"/>
        </w:rPr>
        <w:t>采购金额不</w:t>
      </w:r>
      <w:r>
        <w:rPr>
          <w:rFonts w:hint="eastAsia" w:ascii="仿宋_GB2312" w:hAnsi="仿宋_GB2312" w:eastAsia="仿宋_GB2312" w:cs="仿宋_GB2312"/>
          <w:b w:val="0"/>
          <w:bCs/>
          <w:color w:val="auto"/>
          <w:kern w:val="2"/>
          <w:sz w:val="24"/>
          <w:szCs w:val="24"/>
          <w:lang w:val="en-US" w:eastAsia="zh-CN" w:bidi="ar-SA"/>
        </w:rPr>
        <w:t>得</w:t>
      </w:r>
      <w:r>
        <w:rPr>
          <w:rFonts w:hint="default" w:ascii="仿宋_GB2312" w:hAnsi="仿宋_GB2312" w:eastAsia="仿宋_GB2312" w:cs="仿宋_GB2312"/>
          <w:b w:val="0"/>
          <w:bCs/>
          <w:color w:val="auto"/>
          <w:kern w:val="2"/>
          <w:sz w:val="24"/>
          <w:szCs w:val="24"/>
          <w:lang w:val="en-US" w:eastAsia="zh-CN" w:bidi="ar-SA"/>
        </w:rPr>
        <w:t>超过</w:t>
      </w:r>
      <w:r>
        <w:rPr>
          <w:rFonts w:hint="eastAsia" w:ascii="仿宋_GB2312" w:hAnsi="仿宋_GB2312" w:eastAsia="仿宋_GB2312" w:cs="仿宋_GB2312"/>
          <w:b w:val="0"/>
          <w:bCs/>
          <w:color w:val="auto"/>
          <w:kern w:val="2"/>
          <w:sz w:val="24"/>
          <w:szCs w:val="24"/>
          <w:lang w:val="en-US" w:eastAsia="zh-CN" w:bidi="ar-SA"/>
        </w:rPr>
        <w:t>本合同总价款的10%，即</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元</w:t>
      </w:r>
      <w:r>
        <w:rPr>
          <w:rFonts w:hint="eastAsia" w:ascii="仿宋_GB2312" w:hAnsi="仿宋_GB2312" w:eastAsia="仿宋_GB2312" w:cs="仿宋_GB2312"/>
          <w:b w:val="0"/>
          <w:bCs/>
          <w:color w:val="auto"/>
          <w:kern w:val="2"/>
          <w:sz w:val="24"/>
          <w:szCs w:val="24"/>
          <w:lang w:val="en-US" w:eastAsia="zh-CN" w:bidi="ar-SA"/>
        </w:rPr>
        <w:t>（</w:t>
      </w:r>
      <w:r>
        <w:rPr>
          <w:rFonts w:hint="default" w:ascii="仿宋_GB2312" w:hAnsi="仿宋_GB2312" w:eastAsia="仿宋_GB2312" w:cs="仿宋_GB2312"/>
          <w:b w:val="0"/>
          <w:bCs/>
          <w:color w:val="auto"/>
          <w:kern w:val="2"/>
          <w:sz w:val="24"/>
          <w:szCs w:val="24"/>
          <w:lang w:val="en-US" w:eastAsia="zh-CN" w:bidi="ar-SA"/>
        </w:rPr>
        <w:t>大写：</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w:t>
      </w:r>
    </w:p>
    <w:p w14:paraId="1C085F1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②按照实际服务天数结算，每天支付金额为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元服务费（大写：</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w:t>
      </w:r>
    </w:p>
    <w:p w14:paraId="250D42F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③每天支付金额计算方式为：本合同总价款除以365天得出。</w:t>
      </w:r>
    </w:p>
    <w:p w14:paraId="5D9F0EA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④付款期限及条件按照本合同执行。</w:t>
      </w:r>
    </w:p>
    <w:p w14:paraId="530C83CE">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（4）双方权利和义务</w:t>
      </w:r>
    </w:p>
    <w:p w14:paraId="407BE71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按照本合同执行。</w:t>
      </w:r>
    </w:p>
    <w:p w14:paraId="4634DF74">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（5）违约责任</w:t>
      </w:r>
    </w:p>
    <w:p w14:paraId="0D98E17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按照本合同执行。</w:t>
      </w:r>
    </w:p>
    <w:p w14:paraId="172BA388">
      <w:pPr>
        <w:keepNext w:val="0"/>
        <w:keepLines w:val="0"/>
        <w:pageBreakBefore w:val="0"/>
        <w:widowControl w:val="0"/>
        <w:kinsoku/>
        <w:wordWrap/>
        <w:overflowPunct/>
        <w:topLinePunct w:val="0"/>
        <w:autoSpaceDE w:val="0"/>
        <w:autoSpaceDN w:val="0"/>
        <w:bidi w:val="0"/>
        <w:adjustRightInd w:val="0"/>
        <w:spacing w:line="500" w:lineRule="exact"/>
        <w:ind w:firstLine="562" w:firstLineChars="200"/>
        <w:textAlignment w:val="auto"/>
        <w:rPr>
          <w:rFonts w:hint="eastAsia" w:ascii="仿宋_GB2312" w:hAnsi="仿宋_GB2312" w:eastAsia="仿宋_GB2312" w:cs="仿宋_GB2312"/>
          <w:b/>
          <w:bCs w:val="0"/>
          <w:color w:val="auto"/>
          <w:kern w:val="2"/>
          <w:sz w:val="28"/>
          <w:szCs w:val="28"/>
          <w:lang w:val="en-US" w:eastAsia="zh-CN" w:bidi="ar-SA"/>
        </w:rPr>
      </w:pPr>
      <w:bookmarkStart w:id="4" w:name="_Toc27178"/>
      <w:bookmarkStart w:id="5" w:name="_Toc25182"/>
      <w:r>
        <w:rPr>
          <w:rFonts w:hint="eastAsia" w:ascii="仿宋_GB2312" w:hAnsi="仿宋_GB2312" w:eastAsia="仿宋_GB2312" w:cs="仿宋_GB2312"/>
          <w:b/>
          <w:bCs w:val="0"/>
          <w:color w:val="auto"/>
          <w:kern w:val="2"/>
          <w:sz w:val="28"/>
          <w:szCs w:val="28"/>
          <w:lang w:val="en-US" w:eastAsia="zh-CN" w:bidi="ar-SA"/>
        </w:rPr>
        <w:t>三、合同价款</w:t>
      </w:r>
      <w:bookmarkEnd w:id="4"/>
      <w:bookmarkEnd w:id="5"/>
    </w:p>
    <w:p w14:paraId="7DAF6C8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u w:val="none"/>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合同含税总价合计为：       </w:t>
      </w:r>
    </w:p>
    <w:p w14:paraId="69A8D69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人民币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元整（大写：</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元整）。</w:t>
      </w:r>
    </w:p>
    <w:p w14:paraId="675CBF98">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default"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（二）涉及消防保养中更换配件费用的约定</w:t>
      </w:r>
    </w:p>
    <w:p w14:paraId="24C2573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乙方自行承担在日常保养中发生的单价在</w:t>
      </w:r>
      <w:r>
        <w:rPr>
          <w:rFonts w:hint="eastAsia" w:ascii="仿宋_GB2312" w:hAnsi="仿宋_GB2312" w:eastAsia="仿宋_GB2312" w:cs="仿宋_GB2312"/>
          <w:b w:val="0"/>
          <w:bCs/>
          <w:color w:val="auto"/>
          <w:kern w:val="2"/>
          <w:sz w:val="24"/>
          <w:szCs w:val="24"/>
          <w:u w:val="single"/>
          <w:lang w:val="en-US" w:eastAsia="zh-CN" w:bidi="ar-SA"/>
        </w:rPr>
        <w:t xml:space="preserve"> 200 </w:t>
      </w:r>
      <w:r>
        <w:rPr>
          <w:rFonts w:hint="eastAsia" w:ascii="仿宋_GB2312" w:hAnsi="仿宋_GB2312" w:eastAsia="仿宋_GB2312" w:cs="仿宋_GB2312"/>
          <w:b w:val="0"/>
          <w:bCs/>
          <w:color w:val="auto"/>
          <w:kern w:val="2"/>
          <w:sz w:val="24"/>
          <w:szCs w:val="24"/>
          <w:lang w:val="en-US" w:eastAsia="zh-CN" w:bidi="ar-SA"/>
        </w:rPr>
        <w:t>元</w:t>
      </w:r>
      <w:r>
        <w:rPr>
          <w:rFonts w:hint="eastAsia" w:ascii="仿宋_GB2312" w:hAnsi="仿宋_GB2312" w:eastAsia="仿宋_GB2312" w:cs="仿宋_GB2312"/>
          <w:b/>
          <w:bCs w:val="0"/>
          <w:color w:val="auto"/>
          <w:kern w:val="2"/>
          <w:sz w:val="24"/>
          <w:szCs w:val="24"/>
          <w:lang w:val="en-US" w:eastAsia="zh-CN" w:bidi="ar-SA"/>
        </w:rPr>
        <w:t>（含，参考价格以“同品牌市场平均价”与“同品牌陕西省政府采购电子卖场价格”中较低者为准；已停产的，参考价格以达到消防规范技术指标要求的“同类型市场平均价”与“同类型陕西省政府采购电子卖场价格”中较低者为准）</w:t>
      </w:r>
      <w:r>
        <w:rPr>
          <w:rFonts w:hint="eastAsia" w:ascii="仿宋_GB2312" w:hAnsi="仿宋_GB2312" w:eastAsia="仿宋_GB2312" w:cs="仿宋_GB2312"/>
          <w:b w:val="0"/>
          <w:bCs/>
          <w:color w:val="auto"/>
          <w:kern w:val="2"/>
          <w:sz w:val="24"/>
          <w:szCs w:val="24"/>
          <w:lang w:val="en-US" w:eastAsia="zh-CN" w:bidi="ar-SA"/>
        </w:rPr>
        <w:t>以内的更换配件费用并建立记录台账（注明更换内容、数量、金额、时间等信息），如：消防应急照明灯、消防手报、消防应急标识、户外消火栓保护罩（套）、防火卷帘门升降按钮、消防逃生门控制按钮、消防末端放水控制阀、水泵房控制按钮等其他不易人为损坏的消防部件。</w:t>
      </w:r>
    </w:p>
    <w:p w14:paraId="1267E93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乙方自行承担在日常保养中发生的单价在</w:t>
      </w:r>
      <w:r>
        <w:rPr>
          <w:rFonts w:hint="eastAsia" w:ascii="仿宋_GB2312" w:hAnsi="仿宋_GB2312" w:eastAsia="仿宋_GB2312" w:cs="仿宋_GB2312"/>
          <w:b w:val="0"/>
          <w:bCs/>
          <w:color w:val="auto"/>
          <w:kern w:val="2"/>
          <w:sz w:val="24"/>
          <w:szCs w:val="24"/>
          <w:u w:val="single"/>
          <w:lang w:val="en-US" w:eastAsia="zh-CN" w:bidi="ar-SA"/>
        </w:rPr>
        <w:t xml:space="preserve"> 200 </w:t>
      </w:r>
      <w:r>
        <w:rPr>
          <w:rFonts w:hint="eastAsia" w:ascii="仿宋_GB2312" w:hAnsi="仿宋_GB2312" w:eastAsia="仿宋_GB2312" w:cs="仿宋_GB2312"/>
          <w:b w:val="0"/>
          <w:bCs/>
          <w:color w:val="auto"/>
          <w:kern w:val="2"/>
          <w:sz w:val="24"/>
          <w:szCs w:val="24"/>
          <w:lang w:val="en-US" w:eastAsia="zh-CN" w:bidi="ar-SA"/>
        </w:rPr>
        <w:t>元（含）以内的更换配件费用，年度累计不超过</w:t>
      </w:r>
      <w:r>
        <w:rPr>
          <w:rFonts w:hint="eastAsia" w:ascii="仿宋_GB2312" w:hAnsi="仿宋_GB2312" w:eastAsia="仿宋_GB2312" w:cs="仿宋_GB2312"/>
          <w:b w:val="0"/>
          <w:bCs/>
          <w:color w:val="auto"/>
          <w:kern w:val="2"/>
          <w:sz w:val="24"/>
          <w:szCs w:val="24"/>
          <w:u w:val="single"/>
          <w:lang w:val="en-US" w:eastAsia="zh-CN" w:bidi="ar-SA"/>
        </w:rPr>
        <w:t xml:space="preserve"> 合同含税总价 </w:t>
      </w:r>
      <w:r>
        <w:rPr>
          <w:rFonts w:hint="eastAsia" w:ascii="仿宋_GB2312" w:hAnsi="仿宋_GB2312" w:eastAsia="仿宋_GB2312" w:cs="仿宋_GB2312"/>
          <w:b w:val="0"/>
          <w:bCs/>
          <w:color w:val="auto"/>
          <w:kern w:val="2"/>
          <w:sz w:val="24"/>
          <w:szCs w:val="24"/>
          <w:lang w:val="en-US" w:eastAsia="zh-CN" w:bidi="ar-SA"/>
        </w:rPr>
        <w:t>的</w:t>
      </w:r>
      <w:r>
        <w:rPr>
          <w:rFonts w:hint="eastAsia" w:ascii="仿宋_GB2312" w:hAnsi="仿宋_GB2312" w:eastAsia="仿宋_GB2312" w:cs="仿宋_GB2312"/>
          <w:b w:val="0"/>
          <w:bCs/>
          <w:color w:val="auto"/>
          <w:kern w:val="2"/>
          <w:sz w:val="24"/>
          <w:szCs w:val="24"/>
          <w:u w:val="single"/>
          <w:lang w:val="en-US" w:eastAsia="zh-CN" w:bidi="ar-SA"/>
        </w:rPr>
        <w:t xml:space="preserve"> 5% </w:t>
      </w:r>
      <w:r>
        <w:rPr>
          <w:rFonts w:hint="eastAsia" w:ascii="仿宋_GB2312" w:hAnsi="仿宋_GB2312" w:eastAsia="仿宋_GB2312" w:cs="仿宋_GB2312"/>
          <w:b w:val="0"/>
          <w:bCs/>
          <w:color w:val="auto"/>
          <w:kern w:val="2"/>
          <w:sz w:val="24"/>
          <w:szCs w:val="24"/>
          <w:lang w:val="en-US" w:eastAsia="zh-CN" w:bidi="ar-SA"/>
        </w:rPr>
        <w:t>，超出部分由乙方提供技术指导意见，甲方购置配件提供给乙方，再由乙方负责安排专业技术人员进行安装、更换、修理、调试等。</w:t>
      </w:r>
    </w:p>
    <w:p w14:paraId="4401D97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消防规范技术指标要求包括但不限于国家、地方现行的消防工程施工验收规范及火灾报警系统施工及验收规范（GB50166）、自动喷水灭火系统施工及验收规范（GB50261）、气体灭火系统施工及验收规范（GB50263）、建筑给排水工程质量施工及验收规范（GB50242）、通风与空调工程施工质量验收规范（GB50243）等所有与本项目内容相关的现行规范标准。如有新立变更的规范标准，以本项目适用的最新规范标准要求为准。</w:t>
      </w:r>
    </w:p>
    <w:p w14:paraId="7CAA62A4">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6" w:name="_Toc29898"/>
      <w:bookmarkStart w:id="7" w:name="_Toc5006"/>
      <w:r>
        <w:rPr>
          <w:rFonts w:hint="eastAsia" w:ascii="仿宋_GB2312" w:hAnsi="仿宋_GB2312" w:eastAsia="仿宋_GB2312" w:cs="仿宋_GB2312"/>
          <w:b/>
          <w:bCs w:val="0"/>
          <w:color w:val="auto"/>
          <w:kern w:val="2"/>
          <w:sz w:val="24"/>
          <w:szCs w:val="24"/>
          <w:lang w:val="en-US" w:eastAsia="zh-CN" w:bidi="ar-SA"/>
        </w:rPr>
        <w:t>四、款项结算</w:t>
      </w:r>
      <w:bookmarkEnd w:id="6"/>
      <w:bookmarkEnd w:id="7"/>
    </w:p>
    <w:p w14:paraId="13FD8689">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（一）支付方式</w:t>
      </w:r>
    </w:p>
    <w:p w14:paraId="4F077C4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银行转账</w:t>
      </w:r>
    </w:p>
    <w:p w14:paraId="0C6B156D">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（二）货币单位</w:t>
      </w:r>
    </w:p>
    <w:p w14:paraId="34C374F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人民币</w:t>
      </w:r>
    </w:p>
    <w:p w14:paraId="2FDEF033">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（三）结算方式</w:t>
      </w:r>
    </w:p>
    <w:p w14:paraId="0955234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bookmarkStart w:id="8" w:name="_Toc28557"/>
      <w:bookmarkStart w:id="9" w:name="_Toc29719"/>
      <w:r>
        <w:rPr>
          <w:rFonts w:hint="eastAsia" w:ascii="仿宋_GB2312" w:hAnsi="仿宋_GB2312" w:eastAsia="仿宋_GB2312" w:cs="仿宋_GB2312"/>
          <w:b w:val="0"/>
          <w:bCs/>
          <w:color w:val="auto"/>
          <w:kern w:val="2"/>
          <w:sz w:val="24"/>
          <w:szCs w:val="24"/>
          <w:lang w:val="en-US" w:eastAsia="zh-CN" w:bidi="ar-SA"/>
        </w:rPr>
        <w:t>1、进度款，合同签订后，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7189CF0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371BE4C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3、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7EE8D5F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4、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70ECA45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5、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1FE6E3E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6、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48A9391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7、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29100FD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8、进度款， 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1CFEC6F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9、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19DD130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10、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61E03CA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11、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14:paraId="47F4776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12、进度款，服务期满，所有记录表、服务单及报告均完整，经采购人确认满足各项服务要求考核后（遇到寒暑假、年终财务结算等特殊情况时，采购人付款期限相应顺延，且不承担任何违约责任），达到付款条件起15个工作日内，支付合同总金额的8.37%</w:t>
      </w:r>
    </w:p>
    <w:p w14:paraId="4990A016">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default"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五、落实承诺</w:t>
      </w:r>
    </w:p>
    <w:bookmarkEnd w:id="8"/>
    <w:bookmarkEnd w:id="9"/>
    <w:p w14:paraId="75D71C4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在签订合同前，乙方应按照磋商文件中所有承诺事项要求落实，如未在规定时限内按要求完成所承诺事项的，则视为主动放弃中标资格。</w:t>
      </w:r>
    </w:p>
    <w:p w14:paraId="7C5EBABA">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10" w:name="_Toc2334"/>
      <w:bookmarkStart w:id="11" w:name="_Toc3853"/>
      <w:r>
        <w:rPr>
          <w:rFonts w:hint="eastAsia" w:ascii="仿宋_GB2312" w:hAnsi="仿宋_GB2312" w:eastAsia="仿宋_GB2312" w:cs="仿宋_GB2312"/>
          <w:b/>
          <w:bCs w:val="0"/>
          <w:color w:val="auto"/>
          <w:kern w:val="2"/>
          <w:sz w:val="24"/>
          <w:szCs w:val="24"/>
          <w:lang w:val="en-US" w:eastAsia="zh-CN" w:bidi="ar-SA"/>
        </w:rPr>
        <w:t>六、服务保证</w:t>
      </w:r>
      <w:bookmarkEnd w:id="10"/>
      <w:bookmarkEnd w:id="11"/>
    </w:p>
    <w:p w14:paraId="72D44E68">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（一）人员雇佣及工资标准</w:t>
      </w:r>
    </w:p>
    <w:p w14:paraId="552CEE3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1.乙方须保障人员待遇不得低于甲方所在地最低工资标准并正常缴纳社保。若乙方未向其员工足额缴纳社会保险所产生的有关养老、医疗、工伤等费用，由乙方全部承担。</w:t>
      </w:r>
    </w:p>
    <w:p w14:paraId="6023E49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2.乙方须与员工签订劳动合同，引起劳动关系问题由乙方负责。</w:t>
      </w:r>
    </w:p>
    <w:p w14:paraId="7BFDAA4C">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（二）乙方提供服务时，服务要求应按不低于国家、省、市有关部门规定的质量标准执行</w:t>
      </w:r>
    </w:p>
    <w:p w14:paraId="3951FED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1.乙方与拟投入人员均有劳动合同或聘用协议。</w:t>
      </w:r>
    </w:p>
    <w:p w14:paraId="601E314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2.乙方工作人员按磋商文件落实，每天保证本项目有</w:t>
      </w:r>
      <w:r>
        <w:rPr>
          <w:rFonts w:hint="eastAsia" w:ascii="仿宋_GB2312" w:hAnsi="仿宋_GB2312" w:eastAsia="仿宋_GB2312" w:cs="仿宋_GB2312"/>
          <w:b w:val="0"/>
          <w:bCs/>
          <w:color w:val="auto"/>
          <w:kern w:val="2"/>
          <w:sz w:val="24"/>
          <w:szCs w:val="24"/>
          <w:u w:val="single"/>
          <w:lang w:val="en-US" w:eastAsia="zh-CN" w:bidi="ar-SA"/>
        </w:rPr>
        <w:t xml:space="preserve"> 6 </w:t>
      </w:r>
      <w:r>
        <w:rPr>
          <w:rFonts w:hint="eastAsia" w:ascii="仿宋_GB2312" w:hAnsi="仿宋_GB2312" w:eastAsia="仿宋_GB2312" w:cs="仿宋_GB2312"/>
          <w:b w:val="0"/>
          <w:bCs/>
          <w:color w:val="auto"/>
          <w:kern w:val="2"/>
          <w:sz w:val="24"/>
          <w:szCs w:val="24"/>
          <w:lang w:val="en-US" w:eastAsia="zh-CN" w:bidi="ar-SA"/>
        </w:rPr>
        <w:t>名乙方派驻的值守人员实际在岗。</w:t>
      </w:r>
    </w:p>
    <w:p w14:paraId="309F706E">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12" w:name="_Toc32525"/>
      <w:bookmarkStart w:id="13" w:name="_Toc20584"/>
      <w:r>
        <w:rPr>
          <w:rFonts w:hint="eastAsia" w:ascii="仿宋_GB2312" w:hAnsi="仿宋_GB2312" w:eastAsia="仿宋_GB2312" w:cs="仿宋_GB2312"/>
          <w:b/>
          <w:bCs w:val="0"/>
          <w:color w:val="auto"/>
          <w:kern w:val="2"/>
          <w:sz w:val="24"/>
          <w:szCs w:val="24"/>
          <w:lang w:val="en-US" w:eastAsia="zh-CN" w:bidi="ar-SA"/>
        </w:rPr>
        <w:t>七、服务承诺</w:t>
      </w:r>
      <w:bookmarkEnd w:id="12"/>
      <w:bookmarkEnd w:id="13"/>
    </w:p>
    <w:p w14:paraId="05B8A02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以磋商文件、澄清表（函）、响应文件、合同和随服务的相关文件为准。</w:t>
      </w:r>
    </w:p>
    <w:p w14:paraId="7DC812D6">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14" w:name="_Toc15827"/>
      <w:bookmarkStart w:id="15" w:name="_Toc29900"/>
      <w:r>
        <w:rPr>
          <w:rFonts w:hint="eastAsia" w:ascii="仿宋_GB2312" w:hAnsi="仿宋_GB2312" w:eastAsia="仿宋_GB2312" w:cs="仿宋_GB2312"/>
          <w:b/>
          <w:bCs w:val="0"/>
          <w:color w:val="auto"/>
          <w:kern w:val="2"/>
          <w:sz w:val="24"/>
          <w:szCs w:val="24"/>
          <w:lang w:val="en-US" w:eastAsia="zh-CN" w:bidi="ar-SA"/>
        </w:rPr>
        <w:t>八、解除合同</w:t>
      </w:r>
      <w:bookmarkEnd w:id="14"/>
      <w:bookmarkEnd w:id="15"/>
    </w:p>
    <w:p w14:paraId="176A56F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如发生下列任意一项情形，甲方有权责令乙方在指定期限内整改并赔偿甲方损失，若乙方拒不整改、赔偿或整改不合格、赔偿不足以覆盖甲方损失，甲方有权解除合同（同时向上级主管部门报备），并要求乙方赔偿相关损失及承担相关法律责任。</w:t>
      </w:r>
    </w:p>
    <w:p w14:paraId="46313C8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1.甲方每月对乙方进行考核，乙方连续2个月或累计3个月考核不合格（考核表附后）。</w:t>
      </w:r>
    </w:p>
    <w:p w14:paraId="7892EAF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2.因乙方原因导致火灾、伤亡、档案丢失、负面舆情等。</w:t>
      </w:r>
    </w:p>
    <w:p w14:paraId="7B46B3C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3.发生安全事件隐瞒不报。</w:t>
      </w:r>
    </w:p>
    <w:p w14:paraId="1E72142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4.其他违反法律法规和规章制度行为，造成恶劣影响的。</w:t>
      </w:r>
    </w:p>
    <w:p w14:paraId="6EF03A7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5.未按本项目合同要求提供服务或服务质量不能满足合同要求，甲方应当将服务违约的情况以及拟按合同约定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646F06D6">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16" w:name="_Toc28313"/>
      <w:bookmarkStart w:id="17" w:name="_Toc26767"/>
      <w:r>
        <w:rPr>
          <w:rFonts w:hint="eastAsia" w:ascii="仿宋_GB2312" w:hAnsi="仿宋_GB2312" w:eastAsia="仿宋_GB2312" w:cs="仿宋_GB2312"/>
          <w:b/>
          <w:bCs w:val="0"/>
          <w:color w:val="auto"/>
          <w:kern w:val="2"/>
          <w:sz w:val="24"/>
          <w:szCs w:val="24"/>
          <w:lang w:val="en-US" w:eastAsia="zh-CN" w:bidi="ar-SA"/>
        </w:rPr>
        <w:t>九、违约责任</w:t>
      </w:r>
      <w:bookmarkEnd w:id="16"/>
      <w:bookmarkEnd w:id="17"/>
    </w:p>
    <w:p w14:paraId="5448891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1.按照《中华人民共和国民法典》中的相关条款执行。</w:t>
      </w:r>
    </w:p>
    <w:p w14:paraId="7C20523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2.双方如因其他原因要解除合约，应提前一个月通知对方，如有一方违反将补偿对方一个月服务费。</w:t>
      </w:r>
    </w:p>
    <w:p w14:paraId="2FA509B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3.乙方提供服务或服务质量无法实现国家规范、磋商文件、响应文件及澄清函中约定的工作内容及标准的，甲方有权依据《中华人民共和国民法典》有关条款及合同约定终止合同，并要求乙方承担违约责任。</w:t>
      </w:r>
    </w:p>
    <w:p w14:paraId="659ACB9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4.乙方未按国家规范、磋商文件、响应文件及澄清函中约定提供编制报告或报告质量不能满足采购技术要求的，乙方必须无条件重新出具、提高技术、完善质量。否则，甲方有权解除合同并要求乙方承担合同总价款</w:t>
      </w:r>
      <w:r>
        <w:rPr>
          <w:rFonts w:hint="eastAsia" w:ascii="仿宋_GB2312" w:hAnsi="仿宋_GB2312" w:eastAsia="仿宋_GB2312" w:cs="仿宋_GB2312"/>
          <w:b w:val="0"/>
          <w:bCs/>
          <w:color w:val="auto"/>
          <w:kern w:val="2"/>
          <w:sz w:val="24"/>
          <w:szCs w:val="24"/>
          <w:u w:val="single"/>
          <w:lang w:val="en-US" w:eastAsia="zh-CN" w:bidi="ar-SA"/>
        </w:rPr>
        <w:t xml:space="preserve"> 10% </w:t>
      </w:r>
      <w:r>
        <w:rPr>
          <w:rFonts w:hint="eastAsia" w:ascii="仿宋_GB2312" w:hAnsi="仿宋_GB2312" w:eastAsia="仿宋_GB2312" w:cs="仿宋_GB2312"/>
          <w:b w:val="0"/>
          <w:bCs/>
          <w:color w:val="auto"/>
          <w:kern w:val="2"/>
          <w:sz w:val="24"/>
          <w:szCs w:val="24"/>
          <w:lang w:val="en-US" w:eastAsia="zh-CN" w:bidi="ar-SA"/>
        </w:rPr>
        <w:t>的违约金，同时按照《中华人民共和国政府采购法》进行相应的处罚。</w:t>
      </w:r>
    </w:p>
    <w:p w14:paraId="7E55E5D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5.乙方履行合同期间，甲方可以根据实际情况，在师生中进行民意测评或考核，满意率在</w:t>
      </w:r>
      <w:r>
        <w:rPr>
          <w:rFonts w:hint="eastAsia" w:ascii="仿宋_GB2312" w:hAnsi="仿宋_GB2312" w:eastAsia="仿宋_GB2312" w:cs="仿宋_GB2312"/>
          <w:b w:val="0"/>
          <w:bCs/>
          <w:color w:val="auto"/>
          <w:kern w:val="2"/>
          <w:sz w:val="24"/>
          <w:szCs w:val="24"/>
          <w:u w:val="single"/>
          <w:lang w:val="en-US" w:eastAsia="zh-CN" w:bidi="ar-SA"/>
        </w:rPr>
        <w:t xml:space="preserve"> 90% </w:t>
      </w:r>
      <w:r>
        <w:rPr>
          <w:rFonts w:hint="eastAsia" w:ascii="仿宋_GB2312" w:hAnsi="仿宋_GB2312" w:eastAsia="仿宋_GB2312" w:cs="仿宋_GB2312"/>
          <w:b w:val="0"/>
          <w:bCs/>
          <w:color w:val="auto"/>
          <w:kern w:val="2"/>
          <w:sz w:val="24"/>
          <w:szCs w:val="24"/>
          <w:lang w:val="en-US" w:eastAsia="zh-CN" w:bidi="ar-SA"/>
        </w:rPr>
        <w:t>以上的为优秀，</w:t>
      </w:r>
      <w:r>
        <w:rPr>
          <w:rFonts w:hint="eastAsia" w:ascii="仿宋_GB2312" w:hAnsi="仿宋_GB2312" w:eastAsia="仿宋_GB2312" w:cs="仿宋_GB2312"/>
          <w:b w:val="0"/>
          <w:bCs/>
          <w:color w:val="auto"/>
          <w:kern w:val="2"/>
          <w:sz w:val="24"/>
          <w:szCs w:val="24"/>
          <w:u w:val="single"/>
          <w:lang w:val="en-US" w:eastAsia="zh-CN" w:bidi="ar-SA"/>
        </w:rPr>
        <w:t xml:space="preserve"> 70%-80% </w:t>
      </w:r>
      <w:r>
        <w:rPr>
          <w:rFonts w:hint="eastAsia" w:ascii="仿宋_GB2312" w:hAnsi="仿宋_GB2312" w:eastAsia="仿宋_GB2312" w:cs="仿宋_GB2312"/>
          <w:b w:val="0"/>
          <w:bCs/>
          <w:color w:val="auto"/>
          <w:kern w:val="2"/>
          <w:sz w:val="24"/>
          <w:szCs w:val="24"/>
          <w:lang w:val="en-US" w:eastAsia="zh-CN" w:bidi="ar-SA"/>
        </w:rPr>
        <w:t>为合格，满意率为</w:t>
      </w:r>
      <w:r>
        <w:rPr>
          <w:rFonts w:hint="eastAsia" w:ascii="仿宋_GB2312" w:hAnsi="仿宋_GB2312" w:eastAsia="仿宋_GB2312" w:cs="仿宋_GB2312"/>
          <w:b w:val="0"/>
          <w:bCs/>
          <w:color w:val="auto"/>
          <w:kern w:val="2"/>
          <w:sz w:val="24"/>
          <w:szCs w:val="24"/>
          <w:u w:val="single"/>
          <w:lang w:val="en-US" w:eastAsia="zh-CN" w:bidi="ar-SA"/>
        </w:rPr>
        <w:t xml:space="preserve"> 60%-69% </w:t>
      </w:r>
      <w:r>
        <w:rPr>
          <w:rFonts w:hint="eastAsia" w:ascii="仿宋_GB2312" w:hAnsi="仿宋_GB2312" w:eastAsia="仿宋_GB2312" w:cs="仿宋_GB2312"/>
          <w:b w:val="0"/>
          <w:bCs/>
          <w:color w:val="auto"/>
          <w:kern w:val="2"/>
          <w:sz w:val="24"/>
          <w:szCs w:val="24"/>
          <w:lang w:val="en-US" w:eastAsia="zh-CN" w:bidi="ar-SA"/>
        </w:rPr>
        <w:t>的学校给予警告，满意率在</w:t>
      </w:r>
      <w:r>
        <w:rPr>
          <w:rFonts w:hint="eastAsia" w:ascii="仿宋_GB2312" w:hAnsi="仿宋_GB2312" w:eastAsia="仿宋_GB2312" w:cs="仿宋_GB2312"/>
          <w:b w:val="0"/>
          <w:bCs/>
          <w:color w:val="auto"/>
          <w:kern w:val="2"/>
          <w:sz w:val="24"/>
          <w:szCs w:val="24"/>
          <w:u w:val="single"/>
          <w:lang w:val="en-US" w:eastAsia="zh-CN" w:bidi="ar-SA"/>
        </w:rPr>
        <w:t xml:space="preserve"> 60% </w:t>
      </w:r>
      <w:r>
        <w:rPr>
          <w:rFonts w:hint="eastAsia" w:ascii="仿宋_GB2312" w:hAnsi="仿宋_GB2312" w:eastAsia="仿宋_GB2312" w:cs="仿宋_GB2312"/>
          <w:b w:val="0"/>
          <w:bCs/>
          <w:color w:val="auto"/>
          <w:kern w:val="2"/>
          <w:sz w:val="24"/>
          <w:szCs w:val="24"/>
          <w:lang w:val="en-US" w:eastAsia="zh-CN" w:bidi="ar-SA"/>
        </w:rPr>
        <w:t xml:space="preserve">以下的，乙方需向甲方支付违约金 </w:t>
      </w:r>
      <w:r>
        <w:rPr>
          <w:rFonts w:hint="eastAsia" w:ascii="仿宋_GB2312" w:hAnsi="仿宋_GB2312" w:eastAsia="仿宋_GB2312" w:cs="仿宋_GB2312"/>
          <w:b w:val="0"/>
          <w:bCs/>
          <w:color w:val="auto"/>
          <w:kern w:val="2"/>
          <w:sz w:val="24"/>
          <w:szCs w:val="24"/>
          <w:u w:val="single"/>
          <w:lang w:val="en-US" w:eastAsia="zh-CN" w:bidi="ar-SA"/>
        </w:rPr>
        <w:t xml:space="preserve">20000 </w:t>
      </w:r>
      <w:r>
        <w:rPr>
          <w:rFonts w:hint="eastAsia" w:ascii="仿宋_GB2312" w:hAnsi="仿宋_GB2312" w:eastAsia="仿宋_GB2312" w:cs="仿宋_GB2312"/>
          <w:b w:val="0"/>
          <w:bCs/>
          <w:color w:val="auto"/>
          <w:kern w:val="2"/>
          <w:sz w:val="24"/>
          <w:szCs w:val="24"/>
          <w:lang w:val="en-US" w:eastAsia="zh-CN" w:bidi="ar-SA"/>
        </w:rPr>
        <w:t>元；后续测评或考核时，仍在</w:t>
      </w:r>
      <w:r>
        <w:rPr>
          <w:rFonts w:hint="eastAsia" w:ascii="仿宋_GB2312" w:hAnsi="仿宋_GB2312" w:eastAsia="仿宋_GB2312" w:cs="仿宋_GB2312"/>
          <w:b w:val="0"/>
          <w:bCs/>
          <w:color w:val="auto"/>
          <w:kern w:val="2"/>
          <w:sz w:val="24"/>
          <w:szCs w:val="24"/>
          <w:u w:val="single"/>
          <w:lang w:val="en-US" w:eastAsia="zh-CN" w:bidi="ar-SA"/>
        </w:rPr>
        <w:t xml:space="preserve"> 60% </w:t>
      </w:r>
      <w:r>
        <w:rPr>
          <w:rFonts w:hint="eastAsia" w:ascii="仿宋_GB2312" w:hAnsi="仿宋_GB2312" w:eastAsia="仿宋_GB2312" w:cs="仿宋_GB2312"/>
          <w:b w:val="0"/>
          <w:bCs/>
          <w:color w:val="auto"/>
          <w:kern w:val="2"/>
          <w:sz w:val="24"/>
          <w:szCs w:val="24"/>
          <w:lang w:val="en-US" w:eastAsia="zh-CN" w:bidi="ar-SA"/>
        </w:rPr>
        <w:t>以下的，除另行向甲方支付</w:t>
      </w:r>
      <w:r>
        <w:rPr>
          <w:rFonts w:hint="eastAsia" w:ascii="仿宋_GB2312" w:hAnsi="仿宋_GB2312" w:eastAsia="仿宋_GB2312" w:cs="仿宋_GB2312"/>
          <w:b w:val="0"/>
          <w:bCs/>
          <w:color w:val="auto"/>
          <w:kern w:val="2"/>
          <w:sz w:val="24"/>
          <w:szCs w:val="24"/>
          <w:u w:val="single"/>
          <w:lang w:val="en-US" w:eastAsia="zh-CN" w:bidi="ar-SA"/>
        </w:rPr>
        <w:t xml:space="preserve"> 20000 </w:t>
      </w:r>
      <w:r>
        <w:rPr>
          <w:rFonts w:hint="eastAsia" w:ascii="仿宋_GB2312" w:hAnsi="仿宋_GB2312" w:eastAsia="仿宋_GB2312" w:cs="仿宋_GB2312"/>
          <w:b w:val="0"/>
          <w:bCs/>
          <w:color w:val="auto"/>
          <w:kern w:val="2"/>
          <w:sz w:val="24"/>
          <w:szCs w:val="24"/>
          <w:lang w:val="en-US" w:eastAsia="zh-CN" w:bidi="ar-SA"/>
        </w:rPr>
        <w:t>元违约金之外，甲方有权单方解除合同，甲方解除合同的，乙方需按照年服务费总额</w:t>
      </w:r>
      <w:r>
        <w:rPr>
          <w:rFonts w:hint="eastAsia" w:ascii="仿宋_GB2312" w:hAnsi="仿宋_GB2312" w:eastAsia="仿宋_GB2312" w:cs="仿宋_GB2312"/>
          <w:b w:val="0"/>
          <w:bCs/>
          <w:color w:val="auto"/>
          <w:kern w:val="2"/>
          <w:sz w:val="24"/>
          <w:szCs w:val="24"/>
          <w:u w:val="single"/>
          <w:lang w:val="en-US" w:eastAsia="zh-CN" w:bidi="ar-SA"/>
        </w:rPr>
        <w:t xml:space="preserve"> 20% </w:t>
      </w:r>
      <w:r>
        <w:rPr>
          <w:rFonts w:hint="eastAsia" w:ascii="仿宋_GB2312" w:hAnsi="仿宋_GB2312" w:eastAsia="仿宋_GB2312" w:cs="仿宋_GB2312"/>
          <w:b w:val="0"/>
          <w:bCs/>
          <w:color w:val="auto"/>
          <w:kern w:val="2"/>
          <w:sz w:val="24"/>
          <w:szCs w:val="24"/>
          <w:lang w:val="en-US" w:eastAsia="zh-CN" w:bidi="ar-SA"/>
        </w:rPr>
        <w:t>的标准赔偿甲方损失，不足以弥补实际损失的，另行赔偿。</w:t>
      </w:r>
    </w:p>
    <w:p w14:paraId="68468A0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6.乙方未经甲方书面同意，擅自更换院内消防控制室值班人员的，每人次支付违约金 </w:t>
      </w:r>
      <w:r>
        <w:rPr>
          <w:rFonts w:hint="eastAsia" w:ascii="仿宋_GB2312" w:hAnsi="仿宋_GB2312" w:eastAsia="仿宋_GB2312" w:cs="仿宋_GB2312"/>
          <w:b w:val="0"/>
          <w:bCs/>
          <w:color w:val="auto"/>
          <w:kern w:val="2"/>
          <w:sz w:val="24"/>
          <w:szCs w:val="24"/>
          <w:u w:val="single"/>
          <w:lang w:val="en-US" w:eastAsia="zh-CN" w:bidi="ar-SA"/>
        </w:rPr>
        <w:t xml:space="preserve">100 </w:t>
      </w:r>
      <w:r>
        <w:rPr>
          <w:rFonts w:hint="eastAsia" w:ascii="仿宋_GB2312" w:hAnsi="仿宋_GB2312" w:eastAsia="仿宋_GB2312" w:cs="仿宋_GB2312"/>
          <w:b w:val="0"/>
          <w:bCs/>
          <w:color w:val="auto"/>
          <w:kern w:val="2"/>
          <w:sz w:val="24"/>
          <w:szCs w:val="24"/>
          <w:lang w:val="en-US" w:eastAsia="zh-CN" w:bidi="ar-SA"/>
        </w:rPr>
        <w:t>元</w:t>
      </w:r>
      <w:r>
        <w:rPr>
          <w:rFonts w:hint="eastAsia" w:ascii="仿宋_GB2312" w:hAnsi="仿宋_GB2312" w:eastAsia="仿宋_GB2312" w:cs="仿宋_GB2312"/>
          <w:b w:val="0"/>
          <w:bCs/>
          <w:color w:val="auto"/>
          <w:kern w:val="2"/>
          <w:sz w:val="24"/>
          <w:szCs w:val="24"/>
          <w:lang w:val="zh-CN" w:eastAsia="zh-CN" w:bidi="ar-SA"/>
        </w:rPr>
        <w:t>。乙方未及时配备</w:t>
      </w:r>
      <w:r>
        <w:rPr>
          <w:rFonts w:hint="eastAsia" w:ascii="仿宋_GB2312" w:hAnsi="仿宋_GB2312" w:eastAsia="仿宋_GB2312" w:cs="仿宋_GB2312"/>
          <w:b w:val="0"/>
          <w:bCs/>
          <w:color w:val="auto"/>
          <w:kern w:val="2"/>
          <w:sz w:val="24"/>
          <w:szCs w:val="24"/>
          <w:lang w:val="en-US" w:eastAsia="zh-CN" w:bidi="ar-SA"/>
        </w:rPr>
        <w:t>消防控制室值班人员</w:t>
      </w:r>
      <w:r>
        <w:rPr>
          <w:rFonts w:hint="eastAsia" w:ascii="仿宋_GB2312" w:hAnsi="仿宋_GB2312" w:eastAsia="仿宋_GB2312" w:cs="仿宋_GB2312"/>
          <w:b w:val="0"/>
          <w:bCs/>
          <w:color w:val="auto"/>
          <w:kern w:val="2"/>
          <w:sz w:val="24"/>
          <w:szCs w:val="24"/>
          <w:lang w:val="zh-CN" w:eastAsia="zh-CN" w:bidi="ar-SA"/>
        </w:rPr>
        <w:t>统一</w:t>
      </w:r>
      <w:r>
        <w:rPr>
          <w:rFonts w:hint="eastAsia" w:ascii="仿宋_GB2312" w:hAnsi="仿宋_GB2312" w:eastAsia="仿宋_GB2312" w:cs="仿宋_GB2312"/>
          <w:b w:val="0"/>
          <w:bCs/>
          <w:color w:val="auto"/>
          <w:kern w:val="2"/>
          <w:sz w:val="24"/>
          <w:szCs w:val="24"/>
          <w:lang w:val="en-US" w:eastAsia="zh-CN" w:bidi="ar-SA"/>
        </w:rPr>
        <w:t>的</w:t>
      </w:r>
      <w:r>
        <w:rPr>
          <w:rFonts w:hint="eastAsia" w:ascii="仿宋_GB2312" w:hAnsi="仿宋_GB2312" w:eastAsia="仿宋_GB2312" w:cs="仿宋_GB2312"/>
          <w:b w:val="0"/>
          <w:bCs/>
          <w:color w:val="auto"/>
          <w:kern w:val="2"/>
          <w:sz w:val="24"/>
          <w:szCs w:val="24"/>
          <w:lang w:val="zh-CN" w:eastAsia="zh-CN" w:bidi="ar-SA"/>
        </w:rPr>
        <w:t>制式服装及装备器材</w:t>
      </w:r>
      <w:r>
        <w:rPr>
          <w:rFonts w:hint="eastAsia" w:ascii="仿宋_GB2312" w:hAnsi="仿宋_GB2312" w:eastAsia="仿宋_GB2312" w:cs="仿宋_GB2312"/>
          <w:b w:val="0"/>
          <w:bCs/>
          <w:color w:val="auto"/>
          <w:kern w:val="2"/>
          <w:sz w:val="24"/>
          <w:szCs w:val="24"/>
          <w:lang w:val="en-US" w:eastAsia="zh-CN" w:bidi="ar-SA"/>
        </w:rPr>
        <w:t>的</w:t>
      </w:r>
      <w:r>
        <w:rPr>
          <w:rFonts w:hint="eastAsia" w:ascii="仿宋_GB2312" w:hAnsi="仿宋_GB2312" w:eastAsia="仿宋_GB2312" w:cs="仿宋_GB2312"/>
          <w:b w:val="0"/>
          <w:bCs/>
          <w:color w:val="auto"/>
          <w:kern w:val="2"/>
          <w:sz w:val="24"/>
          <w:szCs w:val="24"/>
          <w:lang w:val="zh-CN" w:eastAsia="zh-CN" w:bidi="ar-SA"/>
        </w:rPr>
        <w:t>，每次</w:t>
      </w:r>
      <w:r>
        <w:rPr>
          <w:rFonts w:hint="eastAsia" w:ascii="仿宋_GB2312" w:hAnsi="仿宋_GB2312" w:eastAsia="仿宋_GB2312" w:cs="仿宋_GB2312"/>
          <w:b w:val="0"/>
          <w:bCs/>
          <w:color w:val="auto"/>
          <w:kern w:val="2"/>
          <w:sz w:val="24"/>
          <w:szCs w:val="24"/>
          <w:lang w:val="en-US" w:eastAsia="zh-CN" w:bidi="ar-SA"/>
        </w:rPr>
        <w:t>支付违约金</w:t>
      </w:r>
      <w:r>
        <w:rPr>
          <w:rFonts w:hint="eastAsia" w:ascii="仿宋_GB2312" w:hAnsi="仿宋_GB2312" w:eastAsia="仿宋_GB2312" w:cs="仿宋_GB2312"/>
          <w:b w:val="0"/>
          <w:bCs/>
          <w:color w:val="auto"/>
          <w:kern w:val="2"/>
          <w:sz w:val="24"/>
          <w:szCs w:val="24"/>
          <w:u w:val="single"/>
          <w:lang w:val="en-US" w:eastAsia="zh-CN" w:bidi="ar-SA"/>
        </w:rPr>
        <w:t xml:space="preserve"> 2</w:t>
      </w:r>
      <w:r>
        <w:rPr>
          <w:rFonts w:hint="eastAsia" w:ascii="仿宋_GB2312" w:hAnsi="仿宋_GB2312" w:eastAsia="仿宋_GB2312" w:cs="仿宋_GB2312"/>
          <w:b w:val="0"/>
          <w:bCs/>
          <w:color w:val="auto"/>
          <w:kern w:val="2"/>
          <w:sz w:val="24"/>
          <w:szCs w:val="24"/>
          <w:u w:val="single"/>
          <w:lang w:val="zh-CN" w:eastAsia="zh-CN" w:bidi="ar-SA"/>
        </w:rPr>
        <w:t>00</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zh-CN" w:eastAsia="zh-CN" w:bidi="ar-SA"/>
        </w:rPr>
        <w:t>元。</w:t>
      </w:r>
    </w:p>
    <w:p w14:paraId="103ECDC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7.校园内发生消防安全事件，经国家机关界定属消防控制室值班人员失职的，由乙方承担全部责任，除赔偿相应损失外，还应解除合同，合同解除后按照本部分第八条约定的解除合同有关条款处理。</w:t>
      </w:r>
    </w:p>
    <w:p w14:paraId="4CE5027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8.乙方履行合同时存在的问题与不足，经甲方指出未能及时整改的，每次向甲方支付违约金</w:t>
      </w:r>
      <w:r>
        <w:rPr>
          <w:rFonts w:hint="eastAsia" w:ascii="仿宋_GB2312" w:hAnsi="仿宋_GB2312" w:eastAsia="仿宋_GB2312" w:cs="仿宋_GB2312"/>
          <w:b w:val="0"/>
          <w:bCs/>
          <w:color w:val="auto"/>
          <w:kern w:val="2"/>
          <w:sz w:val="24"/>
          <w:szCs w:val="24"/>
          <w:u w:val="single"/>
          <w:lang w:val="en-US" w:eastAsia="zh-CN" w:bidi="ar-SA"/>
        </w:rPr>
        <w:t xml:space="preserve"> 500 </w:t>
      </w:r>
      <w:r>
        <w:rPr>
          <w:rFonts w:hint="eastAsia" w:ascii="仿宋_GB2312" w:hAnsi="仿宋_GB2312" w:eastAsia="仿宋_GB2312" w:cs="仿宋_GB2312"/>
          <w:b w:val="0"/>
          <w:bCs/>
          <w:color w:val="auto"/>
          <w:kern w:val="2"/>
          <w:sz w:val="24"/>
          <w:szCs w:val="24"/>
          <w:lang w:val="en-US" w:eastAsia="zh-CN" w:bidi="ar-SA"/>
        </w:rPr>
        <w:t>元；情形严重的，甲方有权解除合同，合同解除后按照本部分第八条约定的解除合同有关条款处理。</w:t>
      </w:r>
    </w:p>
    <w:p w14:paraId="293F161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9.乙方派驻的工作人员不能认真履行值守任务和岗位职责，或有违反合同约定行为的，视情节和对甲方造成的不良影响程度，每次支付违约金</w:t>
      </w:r>
      <w:r>
        <w:rPr>
          <w:rFonts w:hint="eastAsia" w:ascii="仿宋_GB2312" w:hAnsi="仿宋_GB2312" w:eastAsia="仿宋_GB2312" w:cs="仿宋_GB2312"/>
          <w:b w:val="0"/>
          <w:bCs/>
          <w:color w:val="auto"/>
          <w:kern w:val="2"/>
          <w:sz w:val="24"/>
          <w:szCs w:val="24"/>
          <w:u w:val="single"/>
          <w:lang w:val="en-US" w:eastAsia="zh-CN" w:bidi="ar-SA"/>
        </w:rPr>
        <w:t xml:space="preserve"> 50-500 </w:t>
      </w:r>
      <w:r>
        <w:rPr>
          <w:rFonts w:hint="eastAsia" w:ascii="仿宋_GB2312" w:hAnsi="仿宋_GB2312" w:eastAsia="仿宋_GB2312" w:cs="仿宋_GB2312"/>
          <w:b w:val="0"/>
          <w:bCs/>
          <w:color w:val="auto"/>
          <w:kern w:val="2"/>
          <w:sz w:val="24"/>
          <w:szCs w:val="24"/>
          <w:lang w:val="en-US" w:eastAsia="zh-CN" w:bidi="ar-SA"/>
        </w:rPr>
        <w:t>元；情形严重的，甲方有权解除合同，合同解除后按照本部分第八条约定的解除合同有关条款处理。</w:t>
      </w:r>
    </w:p>
    <w:p w14:paraId="764407E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10.工作人员在履行职责时，出现睡岗或脱离岗位等情况，每例向甲方支付违约金 </w:t>
      </w:r>
      <w:r>
        <w:rPr>
          <w:rFonts w:hint="eastAsia" w:ascii="仿宋_GB2312" w:hAnsi="仿宋_GB2312" w:eastAsia="仿宋_GB2312" w:cs="仿宋_GB2312"/>
          <w:b w:val="0"/>
          <w:bCs/>
          <w:color w:val="auto"/>
          <w:kern w:val="2"/>
          <w:sz w:val="24"/>
          <w:szCs w:val="24"/>
          <w:u w:val="single"/>
          <w:lang w:val="en-US" w:eastAsia="zh-CN" w:bidi="ar-SA"/>
        </w:rPr>
        <w:t xml:space="preserve">100－500 </w:t>
      </w:r>
      <w:r>
        <w:rPr>
          <w:rFonts w:hint="eastAsia" w:ascii="仿宋_GB2312" w:hAnsi="仿宋_GB2312" w:eastAsia="仿宋_GB2312" w:cs="仿宋_GB2312"/>
          <w:b w:val="0"/>
          <w:bCs/>
          <w:color w:val="auto"/>
          <w:kern w:val="2"/>
          <w:sz w:val="24"/>
          <w:szCs w:val="24"/>
          <w:lang w:val="en-US" w:eastAsia="zh-CN" w:bidi="ar-SA"/>
        </w:rPr>
        <w:t>元。脱岗期间若发生责任事故或其他事件的，甲方有权解除合同，合同解除后按照本部分第八条约定的解除合同有关条款处理。</w:t>
      </w:r>
    </w:p>
    <w:p w14:paraId="2B7AA3A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11.因工作人员执勤不规范或遇事处置不当受到教职工投诉的，每投诉一次，乙方向甲方支付违约金</w:t>
      </w:r>
      <w:r>
        <w:rPr>
          <w:rFonts w:hint="eastAsia" w:ascii="仿宋_GB2312" w:hAnsi="仿宋_GB2312" w:eastAsia="仿宋_GB2312" w:cs="仿宋_GB2312"/>
          <w:b w:val="0"/>
          <w:bCs/>
          <w:color w:val="auto"/>
          <w:kern w:val="2"/>
          <w:sz w:val="24"/>
          <w:szCs w:val="24"/>
          <w:u w:val="single"/>
          <w:lang w:val="en-US" w:eastAsia="zh-CN" w:bidi="ar-SA"/>
        </w:rPr>
        <w:t xml:space="preserve"> 600 </w:t>
      </w:r>
      <w:r>
        <w:rPr>
          <w:rFonts w:hint="eastAsia" w:ascii="仿宋_GB2312" w:hAnsi="仿宋_GB2312" w:eastAsia="仿宋_GB2312" w:cs="仿宋_GB2312"/>
          <w:b w:val="0"/>
          <w:bCs/>
          <w:color w:val="auto"/>
          <w:kern w:val="2"/>
          <w:sz w:val="24"/>
          <w:szCs w:val="24"/>
          <w:lang w:val="en-US" w:eastAsia="zh-CN" w:bidi="ar-SA"/>
        </w:rPr>
        <w:t>元。</w:t>
      </w:r>
    </w:p>
    <w:p w14:paraId="3EBEEB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12.乙方在合同签订后，违反磋商文件中的实质性条款要求，不落实承诺事项的，每次向甲方赔偿合同总金额的</w:t>
      </w:r>
      <w:r>
        <w:rPr>
          <w:rFonts w:hint="eastAsia" w:ascii="仿宋_GB2312" w:hAnsi="仿宋_GB2312" w:eastAsia="仿宋_GB2312" w:cs="仿宋_GB2312"/>
          <w:b w:val="0"/>
          <w:bCs/>
          <w:color w:val="auto"/>
          <w:kern w:val="2"/>
          <w:sz w:val="24"/>
          <w:szCs w:val="24"/>
          <w:u w:val="single"/>
          <w:lang w:val="en-US" w:eastAsia="zh-CN" w:bidi="ar-SA"/>
        </w:rPr>
        <w:t xml:space="preserve"> 5% </w:t>
      </w:r>
      <w:r>
        <w:rPr>
          <w:rFonts w:hint="eastAsia" w:ascii="仿宋_GB2312" w:hAnsi="仿宋_GB2312" w:eastAsia="仿宋_GB2312" w:cs="仿宋_GB2312"/>
          <w:b w:val="0"/>
          <w:bCs/>
          <w:color w:val="auto"/>
          <w:kern w:val="2"/>
          <w:sz w:val="24"/>
          <w:szCs w:val="24"/>
          <w:lang w:val="en-US" w:eastAsia="zh-CN" w:bidi="ar-SA"/>
        </w:rPr>
        <w:t>作为违约金，累计不超过合同总价。</w:t>
      </w:r>
    </w:p>
    <w:p w14:paraId="6ED4661E">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val="0"/>
          <w:bCs/>
          <w:color w:val="auto"/>
          <w:kern w:val="2"/>
          <w:sz w:val="24"/>
          <w:szCs w:val="24"/>
          <w:lang w:val="en-US" w:eastAsia="zh-CN" w:bidi="ar-SA"/>
        </w:rPr>
      </w:pPr>
      <w:bookmarkStart w:id="18" w:name="_Toc14607"/>
      <w:bookmarkStart w:id="19" w:name="_Toc2819"/>
      <w:r>
        <w:rPr>
          <w:rFonts w:hint="eastAsia" w:ascii="仿宋_GB2312" w:hAnsi="仿宋_GB2312" w:eastAsia="仿宋_GB2312" w:cs="仿宋_GB2312"/>
          <w:b/>
          <w:bCs w:val="0"/>
          <w:color w:val="auto"/>
          <w:kern w:val="2"/>
          <w:sz w:val="24"/>
          <w:szCs w:val="24"/>
          <w:lang w:val="en-US" w:eastAsia="zh-CN" w:bidi="ar-SA"/>
        </w:rPr>
        <w:t>十、争议解决</w:t>
      </w:r>
      <w:bookmarkEnd w:id="18"/>
      <w:bookmarkEnd w:id="19"/>
    </w:p>
    <w:p w14:paraId="6871E30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执行本合同中产生纠纷，由甲方与乙方双方协商解决；协商不成，任一方均有权向甲方住所地有管辖权的人民法院提起诉讼。</w:t>
      </w:r>
    </w:p>
    <w:p w14:paraId="0A5757B9">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20" w:name="_Toc1919"/>
      <w:bookmarkStart w:id="21" w:name="_Toc6245"/>
      <w:r>
        <w:rPr>
          <w:rFonts w:hint="eastAsia" w:ascii="仿宋_GB2312" w:hAnsi="仿宋_GB2312" w:eastAsia="仿宋_GB2312" w:cs="仿宋_GB2312"/>
          <w:b/>
          <w:bCs w:val="0"/>
          <w:color w:val="auto"/>
          <w:kern w:val="2"/>
          <w:sz w:val="24"/>
          <w:szCs w:val="24"/>
          <w:lang w:val="en-US" w:eastAsia="zh-CN" w:bidi="ar-SA"/>
        </w:rPr>
        <w:t>十一、甲方和乙方的权利义务</w:t>
      </w:r>
      <w:bookmarkEnd w:id="20"/>
      <w:bookmarkEnd w:id="21"/>
    </w:p>
    <w:p w14:paraId="75E19974">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（一）甲方的权利、义务</w:t>
      </w:r>
    </w:p>
    <w:p w14:paraId="7BFF20D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w:t>
      </w:r>
      <w:r>
        <w:rPr>
          <w:rFonts w:hint="eastAsia" w:ascii="仿宋_GB2312" w:hAnsi="仿宋_GB2312" w:eastAsia="仿宋_GB2312" w:cs="仿宋_GB2312"/>
          <w:b w:val="0"/>
          <w:bCs/>
          <w:color w:val="auto"/>
          <w:kern w:val="2"/>
          <w:sz w:val="24"/>
          <w:szCs w:val="24"/>
          <w:lang w:val="zh-CN" w:eastAsia="zh-CN" w:bidi="ar-SA"/>
        </w:rPr>
        <w:t>甲方单位领导及</w:t>
      </w:r>
      <w:r>
        <w:rPr>
          <w:rFonts w:hint="eastAsia" w:ascii="仿宋_GB2312" w:hAnsi="仿宋_GB2312" w:eastAsia="仿宋_GB2312" w:cs="仿宋_GB2312"/>
          <w:b w:val="0"/>
          <w:bCs/>
          <w:color w:val="auto"/>
          <w:kern w:val="2"/>
          <w:sz w:val="24"/>
          <w:szCs w:val="24"/>
          <w:lang w:val="en-US" w:eastAsia="zh-CN" w:bidi="ar-SA"/>
        </w:rPr>
        <w:t>安全管理部门</w:t>
      </w:r>
      <w:r>
        <w:rPr>
          <w:rFonts w:hint="eastAsia" w:ascii="仿宋_GB2312" w:hAnsi="仿宋_GB2312" w:eastAsia="仿宋_GB2312" w:cs="仿宋_GB2312"/>
          <w:b w:val="0"/>
          <w:bCs/>
          <w:color w:val="auto"/>
          <w:kern w:val="2"/>
          <w:sz w:val="24"/>
          <w:szCs w:val="24"/>
          <w:lang w:val="zh-CN" w:eastAsia="zh-CN" w:bidi="ar-SA"/>
        </w:rPr>
        <w:t>有权指导乙方工作人员的各项工作，监督乙方合同执行效果</w:t>
      </w:r>
      <w:r>
        <w:rPr>
          <w:rFonts w:hint="eastAsia" w:ascii="仿宋_GB2312" w:hAnsi="仿宋_GB2312" w:eastAsia="仿宋_GB2312" w:cs="仿宋_GB2312"/>
          <w:b w:val="0"/>
          <w:bCs/>
          <w:color w:val="auto"/>
          <w:kern w:val="2"/>
          <w:sz w:val="24"/>
          <w:szCs w:val="24"/>
          <w:lang w:val="en-US" w:eastAsia="zh-CN" w:bidi="ar-SA"/>
        </w:rPr>
        <w:t>。</w:t>
      </w:r>
    </w:p>
    <w:p w14:paraId="01E48143">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w:t>
      </w:r>
      <w:r>
        <w:rPr>
          <w:rFonts w:hint="eastAsia" w:ascii="仿宋_GB2312" w:hAnsi="仿宋_GB2312" w:eastAsia="仿宋_GB2312" w:cs="仿宋_GB2312"/>
          <w:b w:val="0"/>
          <w:bCs/>
          <w:color w:val="auto"/>
          <w:kern w:val="2"/>
          <w:sz w:val="24"/>
          <w:szCs w:val="24"/>
          <w:lang w:val="zh-CN" w:eastAsia="zh-CN" w:bidi="ar-SA"/>
        </w:rPr>
        <w:t>支持、确保工作人员贯彻执行服务区域内各项安全操作规范制度</w:t>
      </w:r>
      <w:r>
        <w:rPr>
          <w:rFonts w:hint="eastAsia" w:ascii="仿宋_GB2312" w:hAnsi="仿宋_GB2312" w:eastAsia="仿宋_GB2312" w:cs="仿宋_GB2312"/>
          <w:b w:val="0"/>
          <w:bCs/>
          <w:color w:val="auto"/>
          <w:kern w:val="2"/>
          <w:sz w:val="24"/>
          <w:szCs w:val="24"/>
          <w:lang w:val="en-US" w:eastAsia="zh-CN" w:bidi="ar-SA"/>
        </w:rPr>
        <w:t>。</w:t>
      </w:r>
    </w:p>
    <w:p w14:paraId="08845C03">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zh-CN" w:eastAsia="zh-CN" w:bidi="ar-SA"/>
        </w:rPr>
      </w:pPr>
      <w:r>
        <w:rPr>
          <w:rFonts w:hint="eastAsia" w:ascii="仿宋_GB2312" w:hAnsi="仿宋_GB2312" w:eastAsia="仿宋_GB2312" w:cs="仿宋_GB2312"/>
          <w:b w:val="0"/>
          <w:bCs/>
          <w:color w:val="auto"/>
          <w:kern w:val="2"/>
          <w:sz w:val="24"/>
          <w:szCs w:val="24"/>
          <w:lang w:val="en-US" w:eastAsia="zh-CN" w:bidi="ar-SA"/>
        </w:rPr>
        <w:t>3.</w:t>
      </w:r>
      <w:r>
        <w:rPr>
          <w:rFonts w:hint="eastAsia" w:ascii="仿宋_GB2312" w:hAnsi="仿宋_GB2312" w:eastAsia="仿宋_GB2312" w:cs="仿宋_GB2312"/>
          <w:b w:val="0"/>
          <w:bCs/>
          <w:color w:val="auto"/>
          <w:kern w:val="2"/>
          <w:sz w:val="24"/>
          <w:szCs w:val="24"/>
          <w:lang w:val="zh-CN" w:eastAsia="zh-CN" w:bidi="ar-SA"/>
        </w:rPr>
        <w:t>甲方有权检查乙方工作人员的劳动合同及保险凭证，有权要求乙方更换不合格工作人员。甲方有权对工作人员进行合理询问，依据合同检查是否执行岗位服务内容；对优秀工作人员及时表扬，对有重大贡献的工作人员，甲方将给予奖励。</w:t>
      </w:r>
    </w:p>
    <w:p w14:paraId="44EABA7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zh-CN" w:eastAsia="zh-CN" w:bidi="ar-SA"/>
        </w:rPr>
      </w:pPr>
      <w:r>
        <w:rPr>
          <w:rFonts w:hint="eastAsia" w:ascii="仿宋_GB2312" w:hAnsi="仿宋_GB2312" w:eastAsia="仿宋_GB2312" w:cs="仿宋_GB2312"/>
          <w:b w:val="0"/>
          <w:bCs/>
          <w:color w:val="auto"/>
          <w:kern w:val="2"/>
          <w:sz w:val="24"/>
          <w:szCs w:val="24"/>
          <w:lang w:val="zh-CN" w:eastAsia="zh-CN" w:bidi="ar-SA"/>
        </w:rPr>
        <w:t>4</w:t>
      </w:r>
      <w:r>
        <w:rPr>
          <w:rFonts w:hint="eastAsia" w:ascii="仿宋_GB2312" w:hAnsi="仿宋_GB2312" w:eastAsia="仿宋_GB2312" w:cs="仿宋_GB2312"/>
          <w:b w:val="0"/>
          <w:bCs/>
          <w:color w:val="auto"/>
          <w:kern w:val="2"/>
          <w:sz w:val="24"/>
          <w:szCs w:val="24"/>
          <w:lang w:val="en-US" w:eastAsia="zh-CN" w:bidi="ar-SA"/>
        </w:rPr>
        <w:t>.</w:t>
      </w:r>
      <w:r>
        <w:rPr>
          <w:rFonts w:hint="eastAsia" w:ascii="仿宋_GB2312" w:hAnsi="仿宋_GB2312" w:eastAsia="仿宋_GB2312" w:cs="仿宋_GB2312"/>
          <w:b w:val="0"/>
          <w:bCs/>
          <w:color w:val="auto"/>
          <w:kern w:val="2"/>
          <w:sz w:val="24"/>
          <w:szCs w:val="24"/>
          <w:lang w:val="zh-CN" w:eastAsia="zh-CN" w:bidi="ar-SA"/>
        </w:rPr>
        <w:t>乙方在工作中发现的安全隐患，经提出后，甲方应采取积极措施，消除隐患，</w:t>
      </w:r>
      <w:r>
        <w:rPr>
          <w:rFonts w:hint="eastAsia" w:ascii="仿宋_GB2312" w:hAnsi="仿宋_GB2312" w:eastAsia="仿宋_GB2312" w:cs="仿宋_GB2312"/>
          <w:b w:val="0"/>
          <w:bCs/>
          <w:color w:val="auto"/>
          <w:kern w:val="2"/>
          <w:sz w:val="24"/>
          <w:szCs w:val="24"/>
          <w:lang w:val="en-US" w:eastAsia="zh-CN" w:bidi="ar-SA"/>
        </w:rPr>
        <w:t>甲方对乙方提出的事故隐患应及时整改，有效避免事故的发生。</w:t>
      </w:r>
    </w:p>
    <w:p w14:paraId="753CE2F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zh-CN" w:eastAsia="zh-CN" w:bidi="ar-SA"/>
        </w:rPr>
        <w:t>5</w:t>
      </w:r>
      <w:r>
        <w:rPr>
          <w:rFonts w:hint="eastAsia" w:ascii="仿宋_GB2312" w:hAnsi="仿宋_GB2312" w:eastAsia="仿宋_GB2312" w:cs="仿宋_GB2312"/>
          <w:b w:val="0"/>
          <w:bCs/>
          <w:color w:val="auto"/>
          <w:kern w:val="2"/>
          <w:sz w:val="24"/>
          <w:szCs w:val="24"/>
          <w:lang w:val="en-US" w:eastAsia="zh-CN" w:bidi="ar-SA"/>
        </w:rPr>
        <w:t>.甲方配合乙方履行消防巡检保养服务及值守职责。</w:t>
      </w:r>
      <w:r>
        <w:rPr>
          <w:rFonts w:hint="eastAsia" w:ascii="仿宋_GB2312" w:hAnsi="仿宋_GB2312" w:eastAsia="仿宋_GB2312" w:cs="仿宋_GB2312"/>
          <w:b w:val="0"/>
          <w:bCs/>
          <w:color w:val="auto"/>
          <w:kern w:val="2"/>
          <w:sz w:val="24"/>
          <w:szCs w:val="24"/>
          <w:lang w:val="zh-CN" w:eastAsia="zh-CN" w:bidi="ar-SA"/>
        </w:rPr>
        <w:t>对工作人员在服务期间所犯错误或违法、违纪行为，甲方除批评教育外，应及时通报乙方。</w:t>
      </w:r>
    </w:p>
    <w:p w14:paraId="050EF70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6.甲方对乙方严重失职造成财产损失有追偿的权利。</w:t>
      </w:r>
    </w:p>
    <w:p w14:paraId="12C0EB4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7.采购合同履行过程中，甲方需要追加与合同标的相同的货物、工程或者服务的，在不改变合同其他条款的前提下，可以与成交供应商协商签订补充合同，但所有补充合同的采购金额不得超过本合同采购金额的百分之十。</w:t>
      </w:r>
    </w:p>
    <w:p w14:paraId="0768834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8.甲方变更委托项目、规模、条件，或因提交资料错误，或所提交的资料作出重大修改造成乙方返工时，双方除需另行协商签订补充协议、重新明确有关条款外，还需根据所耗工作量调整成果报告。</w:t>
      </w:r>
    </w:p>
    <w:p w14:paraId="2A79A9E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9.甲方根据本项目具体情况提供乙方所需材料，协助乙方完成资料、文件收集工作，并对其完整性、正确性及时限性负责，甲方不得要求乙方违反国家有关标准提供服务。</w:t>
      </w:r>
    </w:p>
    <w:p w14:paraId="530D940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10.按法律规定或经双方商定由甲方承担的其他责任和义务。</w:t>
      </w:r>
    </w:p>
    <w:p w14:paraId="41D5868E">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r>
        <w:rPr>
          <w:rFonts w:hint="eastAsia" w:ascii="仿宋_GB2312" w:hAnsi="仿宋_GB2312" w:eastAsia="仿宋_GB2312" w:cs="仿宋_GB2312"/>
          <w:b/>
          <w:bCs w:val="0"/>
          <w:color w:val="auto"/>
          <w:kern w:val="2"/>
          <w:sz w:val="24"/>
          <w:szCs w:val="24"/>
          <w:lang w:val="en-US" w:eastAsia="zh-CN" w:bidi="ar-SA"/>
        </w:rPr>
        <w:t>（二）乙方的权利、义务</w:t>
      </w:r>
    </w:p>
    <w:p w14:paraId="4325CFF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乙方应按合同约定，如实足额安排工作人员上岗执勤，并主动接受甲方监督检查。乙方应按照劳动法、劳动合同法的相关规定，与派驻本项目的工作人员签订劳动合同，并向甲方提供劳动合同、保险原件或复印件、无犯罪记录证明，经甲方确认后，由甲方留存。工作人员若请假、休假，乙方应及时调整接班人员。每个服务月满时，乙方应将上月工作人员纸质版考勤记录盖章后报甲方备案。</w:t>
      </w:r>
    </w:p>
    <w:p w14:paraId="068A822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2.乙方为甲方提供的工作人员必须符合消防巡检保养服务公司的要求，培训达标后持证上岗。乙方为工作人员发放工资、福利等，为工作人员配备值守所需的服装、装备、器材、车辆。</w:t>
      </w:r>
    </w:p>
    <w:p w14:paraId="548B571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3.乙方应做好详细的执勤记录，原始台账保存完好，以备核查。工作人员应详细做好交接班记录及日常工作记录，认真核对交接值岗期间的一切工作情况。乙方项目经理应每日就日常工作与甲方消防部门保持联系，对月度工作进行总结。</w:t>
      </w:r>
    </w:p>
    <w:p w14:paraId="0762CB5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4.乙方工作人员在甲方与乙方双方确认的区域内，实施包括但不限于磋商文件中的服务内容。</w:t>
      </w:r>
    </w:p>
    <w:p w14:paraId="764C55E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5.乙方切实履行甲方制定的工作职责，遵守甲方各项管理规定，确保甲方安全。</w:t>
      </w:r>
    </w:p>
    <w:p w14:paraId="01AA64D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6.乙方定期组织工作人员开展政治、业务学习，进行业务训练，不断提高工作人员业务技能，保证工作人员作风正派；定期召开工作例会，教育工作人员在执勤时严格遵守组织纪律，遵守甲方规章制度；不旷工，不迟到早退，不擅自离开值守责任区；不得在校园内从事营利性活动，平时应加强管理，加大检查力度，做好跟踪服务。</w:t>
      </w:r>
    </w:p>
    <w:p w14:paraId="3162C6E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7.乙方要求工作人员执勤时必须按规定统一着工作服、骑乘消防巡查车辆（由乙方提供），坚守岗位，提高警惕，坚持原则，不徇私情，敢于制止一切危害消防安全的行为，勇于同违法犯罪分子作斗争。</w:t>
      </w:r>
    </w:p>
    <w:p w14:paraId="4236065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8.发生在执勤区域内的涉及消防安全的刑事案件、治安事件和交通事故，乙方及时处理并报告甲方和当地消防部门，采取措施保护案发现场，协助国家机关等侦查各类消防安全案件，依法妥善处理责任范围内的其他突发事件。乙方工作人员在服务过程中，对发现的重大事故隐患和可能引发突发事件的因素，应及时向甲方提出整改意见。</w:t>
      </w:r>
    </w:p>
    <w:p w14:paraId="612707C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9.乙方应严格执行行业准则规范，严格履行甲方的服务标准。乙方工作人员凡违反服务标准、行业规范中的岗位要求及各项规章制度规定，甲方经乙方确认后，按照该工作人员当日值守费50%的标准从值守费中扣除</w:t>
      </w:r>
    </w:p>
    <w:p w14:paraId="0D10CF0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10.乙方工作人员在执勤期间，应当做到精力充沛、仪表端庄、礼貌服务、文明执勤、秉公办事，处理问题应当果断、迅速。禁止在工作期间处理与工作无关的事情。甲方发现工作人员不称职，提出调换要求时，乙方应积极配合予以调换。</w:t>
      </w:r>
    </w:p>
    <w:p w14:paraId="53941CA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11.对甲方区域内的安全隐患，乙方应及时提出书面建议并积极配合改进、解决。</w:t>
      </w:r>
    </w:p>
    <w:p w14:paraId="26EE6F2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12.乙方服务期间对所派的工作人员要保持相对稳定，无特殊情况不得随意更换，如需更换工作人员应同甲方协商；对不称职的工作人员，经查属实的，乙方应及时调换，调换后向甲方反馈调换调整结果。工作人员离职时，必须在甲方结清公物等有关手续，乙方应给予全力配合。</w:t>
      </w:r>
    </w:p>
    <w:p w14:paraId="58E14D9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13.乙方工作人员应做好辖区消防安全保障工作，加强区域内的巡视；根据甲方不同区域的不同特点，协助配合国家机关维护辖区消防安全；如遇紧急事件，及时向甲方汇报。乙方工作人员在甲方服务区域内违法、犯罪，乙方应负全部责任。</w:t>
      </w:r>
    </w:p>
    <w:p w14:paraId="56E9F6E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14.乙方所交成果不符合国家法律法规和合同规定的，甲方有权拒收，并由乙方承担一切费用。</w:t>
      </w:r>
    </w:p>
    <w:p w14:paraId="0985AC3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15.乙方需保证本成果或其授予的权利不会侵犯任何第三人的知识产权或其他权利，也没有其他针对乙方拥有本成果权利的未决诉讼，或甲方行使乙方所提供的成果权利不会侵犯任何第三人的合法权利。</w:t>
      </w:r>
    </w:p>
    <w:p w14:paraId="4F03A14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16.乙方应根据甲方需求，提供消防有关的政策法规、制度规定等方面的专业指导，并出具具有法律效力的文书材料作为甲方决策的依据。文书资料应加盖乙方单位印章。</w:t>
      </w:r>
    </w:p>
    <w:p w14:paraId="38C5573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17.如果上级消防部门检查有不合格项，乙方应当及时处理，如因乙方原因导致上级消防部门对甲方进行处罚，由乙方负责，甲方有权直接从应付款项中扣除相关罚款。</w:t>
      </w:r>
    </w:p>
    <w:p w14:paraId="775EBC9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18.乙方根据甲方任务需要，提供临时增派工作人员服务，价格为</w:t>
      </w:r>
      <w:bookmarkStart w:id="24" w:name="_GoBack"/>
      <w:r>
        <w:rPr>
          <w:rFonts w:hint="eastAsia" w:ascii="仿宋_GB2312" w:hAnsi="仿宋_GB2312" w:eastAsia="仿宋_GB2312" w:cs="仿宋_GB2312"/>
          <w:b w:val="0"/>
          <w:bCs/>
          <w:color w:val="auto"/>
          <w:kern w:val="2"/>
          <w:sz w:val="24"/>
          <w:szCs w:val="24"/>
          <w:u w:val="single"/>
          <w:lang w:val="en-US" w:eastAsia="zh-CN" w:bidi="ar-SA"/>
        </w:rPr>
        <w:t xml:space="preserve">        </w:t>
      </w:r>
      <w:bookmarkEnd w:id="24"/>
      <w:r>
        <w:rPr>
          <w:rFonts w:hint="eastAsia" w:ascii="仿宋_GB2312" w:hAnsi="仿宋_GB2312" w:eastAsia="仿宋_GB2312" w:cs="仿宋_GB2312"/>
          <w:b w:val="0"/>
          <w:bCs/>
          <w:color w:val="auto"/>
          <w:kern w:val="2"/>
          <w:sz w:val="24"/>
          <w:szCs w:val="24"/>
          <w:lang w:val="en-US" w:eastAsia="zh-CN" w:bidi="ar-SA"/>
        </w:rPr>
        <w:t>元/人/天（合同含税总价÷365天÷合同约定驻场人数=单人单天的费用），增派工作人员资质能力要求参照本项目工作人员标准执行，据实另行结算。</w:t>
      </w:r>
    </w:p>
    <w:p w14:paraId="3BE3DAD9">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19.当乙方接到故障抢修通知后，应按照招标文件时限要求，完成应急抢修工作，具体费用数额按照应急抢修情况根据市场均价据实另行结算。确有特殊情况导致应急抢修超出约定时限的，乙方应于超出时限后的 5 个自然日内向甲方提供证明资料，经甲方确认后，可对乙方违反承诺的违约责任免予追究。</w:t>
      </w:r>
    </w:p>
    <w:p w14:paraId="43D31C1F">
      <w:pPr>
        <w:keepNext w:val="0"/>
        <w:keepLines w:val="0"/>
        <w:pageBreakBefore w:val="0"/>
        <w:widowControl w:val="0"/>
        <w:kinsoku/>
        <w:wordWrap/>
        <w:overflowPunct/>
        <w:topLinePunct w:val="0"/>
        <w:autoSpaceDE w:val="0"/>
        <w:autoSpaceDN w:val="0"/>
        <w:bidi w:val="0"/>
        <w:adjustRightInd w:val="0"/>
        <w:spacing w:line="500" w:lineRule="exact"/>
        <w:ind w:firstLine="482" w:firstLineChars="200"/>
        <w:textAlignment w:val="auto"/>
        <w:rPr>
          <w:rFonts w:hint="eastAsia" w:ascii="仿宋_GB2312" w:hAnsi="仿宋_GB2312" w:eastAsia="仿宋_GB2312" w:cs="仿宋_GB2312"/>
          <w:b/>
          <w:bCs w:val="0"/>
          <w:color w:val="auto"/>
          <w:kern w:val="2"/>
          <w:sz w:val="24"/>
          <w:szCs w:val="24"/>
          <w:lang w:val="en-US" w:eastAsia="zh-CN" w:bidi="ar-SA"/>
        </w:rPr>
      </w:pPr>
      <w:bookmarkStart w:id="22" w:name="_Toc3918"/>
      <w:bookmarkStart w:id="23" w:name="_Toc32533"/>
      <w:r>
        <w:rPr>
          <w:rFonts w:hint="eastAsia" w:ascii="仿宋_GB2312" w:hAnsi="仿宋_GB2312" w:eastAsia="仿宋_GB2312" w:cs="仿宋_GB2312"/>
          <w:b/>
          <w:bCs w:val="0"/>
          <w:color w:val="auto"/>
          <w:kern w:val="2"/>
          <w:sz w:val="24"/>
          <w:szCs w:val="24"/>
          <w:lang w:val="en-US" w:eastAsia="zh-CN" w:bidi="ar-SA"/>
        </w:rPr>
        <w:t>十二、合同生效及其他</w:t>
      </w:r>
      <w:bookmarkEnd w:id="22"/>
      <w:bookmarkEnd w:id="23"/>
    </w:p>
    <w:p w14:paraId="3184446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1.本合同自签订之日起生效。</w:t>
      </w:r>
    </w:p>
    <w:p w14:paraId="4200D92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2.合同一式 </w:t>
      </w:r>
      <w:r>
        <w:rPr>
          <w:rFonts w:hint="eastAsia" w:ascii="仿宋_GB2312" w:hAnsi="仿宋_GB2312" w:eastAsia="仿宋_GB2312" w:cs="仿宋_GB2312"/>
          <w:b w:val="0"/>
          <w:bCs/>
          <w:color w:val="auto"/>
          <w:kern w:val="2"/>
          <w:sz w:val="24"/>
          <w:szCs w:val="24"/>
          <w:u w:val="single"/>
          <w:lang w:val="en-US" w:eastAsia="zh-CN" w:bidi="ar-SA"/>
        </w:rPr>
        <w:t xml:space="preserve">陆 </w:t>
      </w:r>
      <w:r>
        <w:rPr>
          <w:rFonts w:hint="eastAsia" w:ascii="仿宋_GB2312" w:hAnsi="仿宋_GB2312" w:eastAsia="仿宋_GB2312" w:cs="仿宋_GB2312"/>
          <w:b w:val="0"/>
          <w:bCs/>
          <w:color w:val="auto"/>
          <w:kern w:val="2"/>
          <w:sz w:val="24"/>
          <w:szCs w:val="24"/>
          <w:lang w:val="en-US" w:eastAsia="zh-CN" w:bidi="ar-SA"/>
        </w:rPr>
        <w:t>份，甲方</w:t>
      </w:r>
      <w:r>
        <w:rPr>
          <w:rFonts w:hint="eastAsia" w:ascii="仿宋_GB2312" w:hAnsi="仿宋_GB2312" w:eastAsia="仿宋_GB2312" w:cs="仿宋_GB2312"/>
          <w:b w:val="0"/>
          <w:bCs/>
          <w:color w:val="auto"/>
          <w:kern w:val="2"/>
          <w:sz w:val="24"/>
          <w:szCs w:val="24"/>
          <w:u w:val="single"/>
          <w:lang w:val="en-US" w:eastAsia="zh-CN" w:bidi="ar-SA"/>
        </w:rPr>
        <w:t xml:space="preserve"> 肆 </w:t>
      </w:r>
      <w:r>
        <w:rPr>
          <w:rFonts w:hint="eastAsia" w:ascii="仿宋_GB2312" w:hAnsi="仿宋_GB2312" w:eastAsia="仿宋_GB2312" w:cs="仿宋_GB2312"/>
          <w:b w:val="0"/>
          <w:bCs/>
          <w:color w:val="auto"/>
          <w:kern w:val="2"/>
          <w:sz w:val="24"/>
          <w:szCs w:val="24"/>
          <w:lang w:val="en-US" w:eastAsia="zh-CN" w:bidi="ar-SA"/>
        </w:rPr>
        <w:t>份、乙方</w:t>
      </w:r>
      <w:r>
        <w:rPr>
          <w:rFonts w:hint="eastAsia" w:ascii="仿宋_GB2312" w:hAnsi="仿宋_GB2312" w:eastAsia="仿宋_GB2312" w:cs="仿宋_GB2312"/>
          <w:b w:val="0"/>
          <w:bCs/>
          <w:color w:val="auto"/>
          <w:kern w:val="2"/>
          <w:sz w:val="24"/>
          <w:szCs w:val="24"/>
          <w:u w:val="single"/>
          <w:lang w:val="en-US" w:eastAsia="zh-CN" w:bidi="ar-SA"/>
        </w:rPr>
        <w:t xml:space="preserve"> 贰 </w:t>
      </w:r>
      <w:r>
        <w:rPr>
          <w:rFonts w:hint="eastAsia" w:ascii="仿宋_GB2312" w:hAnsi="仿宋_GB2312" w:eastAsia="仿宋_GB2312" w:cs="仿宋_GB2312"/>
          <w:b w:val="0"/>
          <w:bCs/>
          <w:color w:val="auto"/>
          <w:kern w:val="2"/>
          <w:sz w:val="24"/>
          <w:szCs w:val="24"/>
          <w:lang w:val="en-US" w:eastAsia="zh-CN" w:bidi="ar-SA"/>
        </w:rPr>
        <w:t>份。各份具有同等法律效力。</w:t>
      </w:r>
    </w:p>
    <w:p w14:paraId="5B76DD4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3.磋商文件、响应文件、澄清表（函）、中标通知书、合同附件均成为合同不可分割的部分。</w:t>
      </w:r>
    </w:p>
    <w:p w14:paraId="75A9BDB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4.乙方在投标响应文件中主动提出的高于本合同或磋商文件中要求的服务内容或标准，以乙方提出的更高服务标准或服务内容为准，由乙方落实相关服务内容。</w:t>
      </w:r>
    </w:p>
    <w:p w14:paraId="247F4C0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5.考核表如下所示：</w:t>
      </w:r>
    </w:p>
    <w:p w14:paraId="0659DF85">
      <w:pPr>
        <w:bidi w:val="0"/>
        <w:rPr>
          <w:rFonts w:hint="eastAsia"/>
          <w:color w:val="auto"/>
          <w:lang w:val="en-US" w:eastAsia="zh-CN"/>
        </w:rPr>
      </w:pPr>
    </w:p>
    <w:tbl>
      <w:tblPr>
        <w:tblStyle w:val="8"/>
        <w:tblpPr w:leftFromText="180" w:rightFromText="180" w:vertAnchor="page" w:horzAnchor="page" w:tblpX="1600" w:tblpY="2899"/>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224"/>
        <w:gridCol w:w="4149"/>
        <w:gridCol w:w="1673"/>
        <w:gridCol w:w="1790"/>
      </w:tblGrid>
      <w:tr w14:paraId="5F08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9536" w:type="dxa"/>
            <w:gridSpan w:val="5"/>
            <w:vAlign w:val="center"/>
          </w:tcPr>
          <w:p w14:paraId="1FFA321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华文仿宋" w:hAnsi="华文仿宋" w:eastAsia="华文仿宋" w:cs="Times New Roman"/>
                <w:color w:val="auto"/>
                <w:sz w:val="21"/>
                <w:szCs w:val="22"/>
              </w:rPr>
            </w:pPr>
            <w:r>
              <w:rPr>
                <w:rFonts w:hint="eastAsia" w:ascii="方正小标宋简体" w:hAnsi="方正小标宋简体" w:eastAsia="方正小标宋简体" w:cs="方正小标宋简体"/>
                <w:color w:val="auto"/>
                <w:sz w:val="32"/>
                <w:szCs w:val="36"/>
              </w:rPr>
              <w:t>西安美术学院长安校区</w:t>
            </w:r>
            <w:r>
              <w:rPr>
                <w:rFonts w:hint="eastAsia" w:ascii="方正小标宋简体" w:hAnsi="方正小标宋简体" w:eastAsia="方正小标宋简体" w:cs="方正小标宋简体"/>
                <w:color w:val="auto"/>
                <w:sz w:val="32"/>
                <w:szCs w:val="36"/>
                <w:lang w:eastAsia="zh-CN"/>
              </w:rPr>
              <w:t>消防巡检保养单位</w:t>
            </w:r>
            <w:r>
              <w:rPr>
                <w:rFonts w:hint="eastAsia" w:ascii="方正小标宋简体" w:hAnsi="方正小标宋简体" w:eastAsia="方正小标宋简体" w:cs="方正小标宋简体"/>
                <w:color w:val="auto"/>
                <w:sz w:val="32"/>
                <w:szCs w:val="36"/>
              </w:rPr>
              <w:t>服务</w:t>
            </w:r>
            <w:r>
              <w:rPr>
                <w:rFonts w:hint="eastAsia" w:ascii="方正小标宋简体" w:hAnsi="方正小标宋简体" w:eastAsia="方正小标宋简体" w:cs="方正小标宋简体"/>
                <w:color w:val="auto"/>
                <w:sz w:val="32"/>
                <w:szCs w:val="36"/>
                <w:lang w:val="en-US" w:eastAsia="zh-CN"/>
              </w:rPr>
              <w:t>验收</w:t>
            </w:r>
            <w:r>
              <w:rPr>
                <w:rFonts w:hint="eastAsia" w:ascii="方正小标宋简体" w:hAnsi="方正小标宋简体" w:eastAsia="方正小标宋简体" w:cs="方正小标宋简体"/>
                <w:color w:val="auto"/>
                <w:sz w:val="32"/>
                <w:szCs w:val="36"/>
              </w:rPr>
              <w:t>考核表</w:t>
            </w:r>
          </w:p>
        </w:tc>
      </w:tr>
      <w:tr w14:paraId="31C7C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073" w:type="dxa"/>
            <w:gridSpan w:val="3"/>
            <w:vAlign w:val="center"/>
          </w:tcPr>
          <w:p w14:paraId="4192F3D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检查时间：</w:t>
            </w:r>
            <w:r>
              <w:rPr>
                <w:rFonts w:hint="eastAsia" w:ascii="华文仿宋" w:hAnsi="华文仿宋" w:eastAsia="华文仿宋" w:cs="Times New Roman"/>
                <w:color w:val="auto"/>
                <w:sz w:val="22"/>
                <w:szCs w:val="22"/>
                <w:u w:val="single"/>
              </w:rPr>
              <w:t xml:space="preserve">       </w:t>
            </w:r>
            <w:r>
              <w:rPr>
                <w:rFonts w:hint="eastAsia" w:ascii="华文仿宋" w:hAnsi="华文仿宋" w:eastAsia="华文仿宋" w:cs="Times New Roman"/>
                <w:color w:val="auto"/>
                <w:sz w:val="22"/>
                <w:szCs w:val="22"/>
              </w:rPr>
              <w:t>年</w:t>
            </w:r>
            <w:r>
              <w:rPr>
                <w:rFonts w:hint="eastAsia" w:ascii="华文仿宋" w:hAnsi="华文仿宋" w:eastAsia="华文仿宋" w:cs="Times New Roman"/>
                <w:color w:val="auto"/>
                <w:sz w:val="22"/>
                <w:szCs w:val="22"/>
                <w:u w:val="single"/>
              </w:rPr>
              <w:t xml:space="preserve">   </w:t>
            </w:r>
            <w:r>
              <w:rPr>
                <w:rFonts w:hint="eastAsia" w:ascii="华文仿宋" w:hAnsi="华文仿宋" w:eastAsia="华文仿宋" w:cs="Times New Roman"/>
                <w:color w:val="auto"/>
                <w:sz w:val="22"/>
                <w:szCs w:val="22"/>
              </w:rPr>
              <w:t>月</w:t>
            </w:r>
            <w:r>
              <w:rPr>
                <w:rFonts w:hint="eastAsia" w:ascii="华文仿宋" w:hAnsi="华文仿宋" w:eastAsia="华文仿宋" w:cs="Times New Roman"/>
                <w:color w:val="auto"/>
                <w:sz w:val="22"/>
                <w:szCs w:val="22"/>
                <w:u w:val="single"/>
              </w:rPr>
              <w:t xml:space="preserve">   </w:t>
            </w:r>
            <w:r>
              <w:rPr>
                <w:rFonts w:hint="eastAsia" w:ascii="华文仿宋" w:hAnsi="华文仿宋" w:eastAsia="华文仿宋" w:cs="Times New Roman"/>
                <w:color w:val="auto"/>
                <w:sz w:val="22"/>
                <w:szCs w:val="22"/>
              </w:rPr>
              <w:t xml:space="preserve">日 至 </w:t>
            </w:r>
            <w:r>
              <w:rPr>
                <w:rFonts w:hint="eastAsia" w:ascii="华文仿宋" w:hAnsi="华文仿宋" w:eastAsia="华文仿宋" w:cs="Times New Roman"/>
                <w:color w:val="auto"/>
                <w:sz w:val="22"/>
                <w:szCs w:val="22"/>
                <w:u w:val="single"/>
              </w:rPr>
              <w:t xml:space="preserve">       </w:t>
            </w:r>
            <w:r>
              <w:rPr>
                <w:rFonts w:hint="eastAsia" w:ascii="华文仿宋" w:hAnsi="华文仿宋" w:eastAsia="华文仿宋" w:cs="Times New Roman"/>
                <w:color w:val="auto"/>
                <w:sz w:val="22"/>
                <w:szCs w:val="22"/>
              </w:rPr>
              <w:t>年</w:t>
            </w:r>
            <w:r>
              <w:rPr>
                <w:rFonts w:hint="eastAsia" w:ascii="华文仿宋" w:hAnsi="华文仿宋" w:eastAsia="华文仿宋" w:cs="Times New Roman"/>
                <w:color w:val="auto"/>
                <w:sz w:val="22"/>
                <w:szCs w:val="22"/>
                <w:u w:val="single"/>
              </w:rPr>
              <w:t xml:space="preserve">   </w:t>
            </w:r>
            <w:r>
              <w:rPr>
                <w:rFonts w:hint="eastAsia" w:ascii="华文仿宋" w:hAnsi="华文仿宋" w:eastAsia="华文仿宋" w:cs="Times New Roman"/>
                <w:color w:val="auto"/>
                <w:sz w:val="22"/>
                <w:szCs w:val="22"/>
              </w:rPr>
              <w:t>月</w:t>
            </w:r>
            <w:r>
              <w:rPr>
                <w:rFonts w:hint="eastAsia" w:ascii="华文仿宋" w:hAnsi="华文仿宋" w:eastAsia="华文仿宋" w:cs="Times New Roman"/>
                <w:color w:val="auto"/>
                <w:sz w:val="22"/>
                <w:szCs w:val="22"/>
                <w:u w:val="single"/>
              </w:rPr>
              <w:t xml:space="preserve">   </w:t>
            </w:r>
            <w:r>
              <w:rPr>
                <w:rFonts w:hint="eastAsia" w:ascii="华文仿宋" w:hAnsi="华文仿宋" w:eastAsia="华文仿宋" w:cs="Times New Roman"/>
                <w:color w:val="auto"/>
                <w:sz w:val="22"/>
                <w:szCs w:val="22"/>
              </w:rPr>
              <w:t>日</w:t>
            </w:r>
          </w:p>
        </w:tc>
        <w:tc>
          <w:tcPr>
            <w:tcW w:w="3463" w:type="dxa"/>
            <w:gridSpan w:val="2"/>
            <w:vAlign w:val="center"/>
          </w:tcPr>
          <w:p w14:paraId="10331FA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eastAsia="zh-CN"/>
              </w:rPr>
            </w:pPr>
            <w:r>
              <w:rPr>
                <w:rFonts w:hint="eastAsia" w:ascii="华文仿宋" w:hAnsi="华文仿宋" w:eastAsia="华文仿宋" w:cs="Times New Roman"/>
                <w:color w:val="auto"/>
                <w:sz w:val="22"/>
                <w:szCs w:val="22"/>
              </w:rPr>
              <w:t>检查区域：</w:t>
            </w:r>
            <w:r>
              <w:rPr>
                <w:rFonts w:hint="eastAsia" w:ascii="华文仿宋" w:hAnsi="华文仿宋" w:eastAsia="华文仿宋" w:cs="Times New Roman"/>
                <w:color w:val="auto"/>
                <w:sz w:val="22"/>
                <w:szCs w:val="22"/>
                <w:lang w:eastAsia="zh-CN"/>
              </w:rPr>
              <w:t>长安校区</w:t>
            </w:r>
          </w:p>
        </w:tc>
      </w:tr>
      <w:tr w14:paraId="1232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00" w:type="dxa"/>
            <w:vAlign w:val="center"/>
          </w:tcPr>
          <w:p w14:paraId="22C7F38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黑体" w:hAnsi="黑体" w:eastAsia="黑体" w:cs="黑体"/>
                <w:color w:val="auto"/>
                <w:sz w:val="22"/>
                <w:szCs w:val="22"/>
              </w:rPr>
            </w:pPr>
            <w:r>
              <w:rPr>
                <w:rFonts w:hint="eastAsia" w:ascii="黑体" w:hAnsi="黑体" w:eastAsia="黑体" w:cs="黑体"/>
                <w:color w:val="auto"/>
                <w:sz w:val="22"/>
                <w:szCs w:val="22"/>
              </w:rPr>
              <w:t>序号</w:t>
            </w:r>
          </w:p>
        </w:tc>
        <w:tc>
          <w:tcPr>
            <w:tcW w:w="1224" w:type="dxa"/>
            <w:vAlign w:val="center"/>
          </w:tcPr>
          <w:p w14:paraId="1A18140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黑体" w:hAnsi="黑体" w:eastAsia="黑体" w:cs="黑体"/>
                <w:color w:val="auto"/>
                <w:sz w:val="22"/>
                <w:szCs w:val="22"/>
              </w:rPr>
            </w:pPr>
            <w:r>
              <w:rPr>
                <w:rFonts w:hint="eastAsia" w:ascii="黑体" w:hAnsi="黑体" w:eastAsia="黑体" w:cs="黑体"/>
                <w:color w:val="auto"/>
                <w:sz w:val="22"/>
                <w:szCs w:val="22"/>
              </w:rPr>
              <w:t>检查内容</w:t>
            </w:r>
          </w:p>
        </w:tc>
        <w:tc>
          <w:tcPr>
            <w:tcW w:w="5822" w:type="dxa"/>
            <w:gridSpan w:val="2"/>
            <w:vAlign w:val="center"/>
          </w:tcPr>
          <w:p w14:paraId="63C66F3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黑体" w:hAnsi="黑体" w:eastAsia="黑体" w:cs="黑体"/>
                <w:color w:val="auto"/>
                <w:sz w:val="22"/>
                <w:szCs w:val="22"/>
              </w:rPr>
            </w:pPr>
            <w:r>
              <w:rPr>
                <w:rFonts w:hint="eastAsia" w:ascii="黑体" w:hAnsi="黑体" w:eastAsia="黑体" w:cs="黑体"/>
                <w:color w:val="auto"/>
                <w:sz w:val="22"/>
                <w:szCs w:val="22"/>
              </w:rPr>
              <w:t>履职情况</w:t>
            </w:r>
          </w:p>
        </w:tc>
        <w:tc>
          <w:tcPr>
            <w:tcW w:w="1790" w:type="dxa"/>
            <w:vAlign w:val="center"/>
          </w:tcPr>
          <w:p w14:paraId="741EFA5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黑体" w:hAnsi="黑体" w:eastAsia="黑体" w:cs="黑体"/>
                <w:color w:val="auto"/>
                <w:sz w:val="22"/>
                <w:szCs w:val="22"/>
              </w:rPr>
            </w:pPr>
            <w:r>
              <w:rPr>
                <w:rFonts w:hint="eastAsia" w:ascii="黑体" w:hAnsi="黑体" w:eastAsia="黑体" w:cs="黑体"/>
                <w:color w:val="auto"/>
                <w:sz w:val="22"/>
                <w:szCs w:val="22"/>
              </w:rPr>
              <w:t>评  价</w:t>
            </w:r>
          </w:p>
        </w:tc>
      </w:tr>
      <w:tr w14:paraId="3BF5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71369BF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1</w:t>
            </w:r>
          </w:p>
        </w:tc>
        <w:tc>
          <w:tcPr>
            <w:tcW w:w="1224" w:type="dxa"/>
            <w:vAlign w:val="center"/>
          </w:tcPr>
          <w:p w14:paraId="638C3E7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人员配备</w:t>
            </w:r>
          </w:p>
        </w:tc>
        <w:tc>
          <w:tcPr>
            <w:tcW w:w="5822" w:type="dxa"/>
            <w:gridSpan w:val="2"/>
            <w:vAlign w:val="center"/>
          </w:tcPr>
          <w:p w14:paraId="77849317">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w w:val="90"/>
                <w:sz w:val="22"/>
                <w:szCs w:val="22"/>
              </w:rPr>
              <w:t>按照</w:t>
            </w:r>
            <w:r>
              <w:rPr>
                <w:rFonts w:hint="eastAsia" w:ascii="华文仿宋" w:hAnsi="华文仿宋" w:eastAsia="华文仿宋" w:cs="Times New Roman"/>
                <w:color w:val="auto"/>
                <w:w w:val="90"/>
                <w:sz w:val="22"/>
                <w:szCs w:val="22"/>
                <w:lang w:val="en-US" w:eastAsia="zh-CN"/>
              </w:rPr>
              <w:t>招标文件要求及规范</w:t>
            </w:r>
            <w:r>
              <w:rPr>
                <w:rFonts w:hint="eastAsia" w:ascii="华文仿宋" w:hAnsi="华文仿宋" w:eastAsia="华文仿宋" w:cs="Times New Roman"/>
                <w:color w:val="auto"/>
                <w:w w:val="90"/>
                <w:sz w:val="22"/>
                <w:szCs w:val="22"/>
              </w:rPr>
              <w:t>安排在岗人员，具备相应资格证书</w:t>
            </w:r>
          </w:p>
        </w:tc>
        <w:tc>
          <w:tcPr>
            <w:tcW w:w="1790" w:type="dxa"/>
            <w:vAlign w:val="center"/>
          </w:tcPr>
          <w:p w14:paraId="3A7A6E52">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eastAsia="zh-CN"/>
              </w:rPr>
            </w:pPr>
            <w:r>
              <w:rPr>
                <w:rFonts w:hint="eastAsia" w:ascii="华文仿宋" w:hAnsi="华文仿宋" w:eastAsia="华文仿宋" w:cs="Times New Roman"/>
                <w:color w:val="auto"/>
                <w:sz w:val="22"/>
                <w:szCs w:val="22"/>
                <w:lang w:eastAsia="zh-CN"/>
              </w:rPr>
              <w:t>上岗人</w:t>
            </w:r>
            <w:r>
              <w:rPr>
                <w:rFonts w:hint="eastAsia" w:ascii="华文仿宋" w:hAnsi="华文仿宋" w:eastAsia="华文仿宋" w:cs="Times New Roman"/>
                <w:color w:val="auto"/>
                <w:sz w:val="22"/>
                <w:szCs w:val="22"/>
                <w:lang w:val="en-US" w:eastAsia="zh-CN"/>
              </w:rPr>
              <w:t>次</w:t>
            </w:r>
            <w:r>
              <w:rPr>
                <w:rFonts w:hint="eastAsia" w:ascii="华文仿宋" w:hAnsi="华文仿宋" w:eastAsia="华文仿宋" w:cs="Times New Roman"/>
                <w:color w:val="auto"/>
                <w:sz w:val="22"/>
                <w:szCs w:val="22"/>
                <w:lang w:eastAsia="zh-CN"/>
              </w:rPr>
              <w:t>：</w:t>
            </w:r>
          </w:p>
        </w:tc>
      </w:tr>
      <w:tr w14:paraId="6F5C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5DCF42E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2</w:t>
            </w:r>
          </w:p>
        </w:tc>
        <w:tc>
          <w:tcPr>
            <w:tcW w:w="1224" w:type="dxa"/>
            <w:vAlign w:val="center"/>
          </w:tcPr>
          <w:p w14:paraId="46A8312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值班纪律</w:t>
            </w:r>
          </w:p>
        </w:tc>
        <w:tc>
          <w:tcPr>
            <w:tcW w:w="5822" w:type="dxa"/>
            <w:gridSpan w:val="2"/>
            <w:vAlign w:val="center"/>
          </w:tcPr>
          <w:p w14:paraId="6B17ABD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无</w:t>
            </w:r>
            <w:r>
              <w:rPr>
                <w:rFonts w:ascii="华文仿宋" w:hAnsi="华文仿宋" w:eastAsia="华文仿宋" w:cs="Times New Roman"/>
                <w:color w:val="auto"/>
                <w:sz w:val="22"/>
                <w:szCs w:val="22"/>
              </w:rPr>
              <w:t>迟到早退、脱岗、睡岗；值班期间禁止无关人员进入</w:t>
            </w:r>
          </w:p>
        </w:tc>
        <w:tc>
          <w:tcPr>
            <w:tcW w:w="1790" w:type="dxa"/>
            <w:vAlign w:val="center"/>
          </w:tcPr>
          <w:p w14:paraId="72634A01">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华文仿宋" w:hAnsi="华文仿宋" w:eastAsia="华文仿宋" w:cs="Times New Roman"/>
                <w:color w:val="auto"/>
                <w:sz w:val="22"/>
                <w:szCs w:val="22"/>
                <w:lang w:val="en-US" w:eastAsia="zh-CN"/>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1B33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05EA9868">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3</w:t>
            </w:r>
          </w:p>
        </w:tc>
        <w:tc>
          <w:tcPr>
            <w:tcW w:w="1224" w:type="dxa"/>
            <w:vAlign w:val="center"/>
          </w:tcPr>
          <w:p w14:paraId="2C5A50A0">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环境卫生</w:t>
            </w:r>
          </w:p>
        </w:tc>
        <w:tc>
          <w:tcPr>
            <w:tcW w:w="5822" w:type="dxa"/>
            <w:gridSpan w:val="2"/>
            <w:vAlign w:val="center"/>
          </w:tcPr>
          <w:p w14:paraId="0BEB7204">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ascii="华文仿宋" w:hAnsi="华文仿宋" w:eastAsia="华文仿宋" w:cs="Times New Roman"/>
                <w:color w:val="auto"/>
                <w:sz w:val="22"/>
                <w:szCs w:val="22"/>
              </w:rPr>
              <w:t>中控室整洁，设备无积灰，物品摆放符合定置管理要求</w:t>
            </w:r>
          </w:p>
        </w:tc>
        <w:tc>
          <w:tcPr>
            <w:tcW w:w="1790" w:type="dxa"/>
            <w:vAlign w:val="center"/>
          </w:tcPr>
          <w:p w14:paraId="3360971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5C8F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00" w:type="dxa"/>
            <w:vAlign w:val="center"/>
          </w:tcPr>
          <w:p w14:paraId="4A16781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4</w:t>
            </w:r>
          </w:p>
        </w:tc>
        <w:tc>
          <w:tcPr>
            <w:tcW w:w="1224" w:type="dxa"/>
            <w:vAlign w:val="center"/>
          </w:tcPr>
          <w:p w14:paraId="4728E46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保密管理</w:t>
            </w:r>
          </w:p>
        </w:tc>
        <w:tc>
          <w:tcPr>
            <w:tcW w:w="5822" w:type="dxa"/>
            <w:gridSpan w:val="2"/>
            <w:vAlign w:val="center"/>
          </w:tcPr>
          <w:p w14:paraId="20260D1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未泄露监控数据、报警信息等敏感内容</w:t>
            </w:r>
          </w:p>
        </w:tc>
        <w:tc>
          <w:tcPr>
            <w:tcW w:w="1790" w:type="dxa"/>
            <w:vAlign w:val="center"/>
          </w:tcPr>
          <w:p w14:paraId="1B905090">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0DFA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6D633D5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5</w:t>
            </w:r>
          </w:p>
        </w:tc>
        <w:tc>
          <w:tcPr>
            <w:tcW w:w="1224" w:type="dxa"/>
            <w:vAlign w:val="center"/>
          </w:tcPr>
          <w:p w14:paraId="48FD84A7">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设备操作</w:t>
            </w:r>
          </w:p>
        </w:tc>
        <w:tc>
          <w:tcPr>
            <w:tcW w:w="5822" w:type="dxa"/>
            <w:gridSpan w:val="2"/>
            <w:vAlign w:val="center"/>
          </w:tcPr>
          <w:p w14:paraId="76DF88C0">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ascii="华文仿宋" w:hAnsi="华文仿宋" w:eastAsia="华文仿宋" w:cs="Times New Roman"/>
                <w:color w:val="auto"/>
                <w:sz w:val="22"/>
                <w:szCs w:val="22"/>
              </w:rPr>
              <w:t>熟悉火灾报警控制器、联动设备操作流程，无违规操作</w:t>
            </w:r>
          </w:p>
        </w:tc>
        <w:tc>
          <w:tcPr>
            <w:tcW w:w="1790" w:type="dxa"/>
            <w:vAlign w:val="center"/>
          </w:tcPr>
          <w:p w14:paraId="2890DB7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7F07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6A94FEDE">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6</w:t>
            </w:r>
          </w:p>
        </w:tc>
        <w:tc>
          <w:tcPr>
            <w:tcW w:w="1224" w:type="dxa"/>
            <w:vAlign w:val="center"/>
          </w:tcPr>
          <w:p w14:paraId="5FB57A23">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报警处置</w:t>
            </w:r>
          </w:p>
        </w:tc>
        <w:tc>
          <w:tcPr>
            <w:tcW w:w="5822" w:type="dxa"/>
            <w:gridSpan w:val="2"/>
            <w:vAlign w:val="center"/>
          </w:tcPr>
          <w:p w14:paraId="7A4CFA66">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警信号确认≤1分钟，误报处理流程规范</w:t>
            </w:r>
          </w:p>
        </w:tc>
        <w:tc>
          <w:tcPr>
            <w:tcW w:w="1790" w:type="dxa"/>
            <w:vAlign w:val="center"/>
          </w:tcPr>
          <w:p w14:paraId="7F8BD12D">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4E6E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2C8B665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7</w:t>
            </w:r>
          </w:p>
        </w:tc>
        <w:tc>
          <w:tcPr>
            <w:tcW w:w="1224" w:type="dxa"/>
            <w:vAlign w:val="center"/>
          </w:tcPr>
          <w:p w14:paraId="77876D34">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火灾响应</w:t>
            </w:r>
          </w:p>
        </w:tc>
        <w:tc>
          <w:tcPr>
            <w:tcW w:w="5822" w:type="dxa"/>
            <w:gridSpan w:val="2"/>
            <w:vAlign w:val="center"/>
          </w:tcPr>
          <w:p w14:paraId="0D40A30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ascii="华文仿宋" w:hAnsi="华文仿宋" w:eastAsia="华文仿宋" w:cs="Times New Roman"/>
                <w:color w:val="auto"/>
                <w:sz w:val="22"/>
                <w:szCs w:val="22"/>
              </w:rPr>
              <w:t>模拟火警演练中，启动应急预案时间≤3分钟</w:t>
            </w:r>
          </w:p>
        </w:tc>
        <w:tc>
          <w:tcPr>
            <w:tcW w:w="1790" w:type="dxa"/>
            <w:vAlign w:val="center"/>
          </w:tcPr>
          <w:p w14:paraId="14EC4DDB">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79C5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5CD64D94">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8</w:t>
            </w:r>
          </w:p>
        </w:tc>
        <w:tc>
          <w:tcPr>
            <w:tcW w:w="1224" w:type="dxa"/>
            <w:vAlign w:val="center"/>
          </w:tcPr>
          <w:p w14:paraId="13BC99F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通讯联络</w:t>
            </w:r>
          </w:p>
        </w:tc>
        <w:tc>
          <w:tcPr>
            <w:tcW w:w="5822" w:type="dxa"/>
            <w:gridSpan w:val="2"/>
            <w:vAlign w:val="center"/>
          </w:tcPr>
          <w:p w14:paraId="4D0FC873">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报警后5分钟内通知消防负责人及119，通话记录留存完整</w:t>
            </w:r>
          </w:p>
        </w:tc>
        <w:tc>
          <w:tcPr>
            <w:tcW w:w="1790" w:type="dxa"/>
            <w:vAlign w:val="center"/>
          </w:tcPr>
          <w:p w14:paraId="450ABDA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702B7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5F8DB5D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9</w:t>
            </w:r>
          </w:p>
        </w:tc>
        <w:tc>
          <w:tcPr>
            <w:tcW w:w="1224" w:type="dxa"/>
            <w:vAlign w:val="center"/>
          </w:tcPr>
          <w:p w14:paraId="0A026627">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信息记录</w:t>
            </w:r>
          </w:p>
        </w:tc>
        <w:tc>
          <w:tcPr>
            <w:tcW w:w="5822" w:type="dxa"/>
            <w:gridSpan w:val="2"/>
            <w:vAlign w:val="center"/>
          </w:tcPr>
          <w:p w14:paraId="6BA4BDC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ascii="华文仿宋" w:hAnsi="华文仿宋" w:eastAsia="华文仿宋" w:cs="Times New Roman"/>
                <w:color w:val="auto"/>
                <w:sz w:val="22"/>
                <w:szCs w:val="22"/>
              </w:rPr>
              <w:t>报警时间、位置、处理结果等记录完整，字迹清晰</w:t>
            </w:r>
          </w:p>
        </w:tc>
        <w:tc>
          <w:tcPr>
            <w:tcW w:w="1790" w:type="dxa"/>
            <w:vAlign w:val="center"/>
          </w:tcPr>
          <w:p w14:paraId="5AB398D3">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4EE5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1434026D">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10</w:t>
            </w:r>
          </w:p>
        </w:tc>
        <w:tc>
          <w:tcPr>
            <w:tcW w:w="1224" w:type="dxa"/>
            <w:vAlign w:val="center"/>
          </w:tcPr>
          <w:p w14:paraId="59F75FA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沟通协作</w:t>
            </w:r>
          </w:p>
        </w:tc>
        <w:tc>
          <w:tcPr>
            <w:tcW w:w="5822" w:type="dxa"/>
            <w:gridSpan w:val="2"/>
            <w:vAlign w:val="center"/>
          </w:tcPr>
          <w:p w14:paraId="57B490C3">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与业主单位沟通顺畅，未因协调问题延误故障处理</w:t>
            </w:r>
          </w:p>
        </w:tc>
        <w:tc>
          <w:tcPr>
            <w:tcW w:w="1790" w:type="dxa"/>
            <w:vAlign w:val="center"/>
          </w:tcPr>
          <w:p w14:paraId="398D8A7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0A43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00" w:type="dxa"/>
            <w:vAlign w:val="center"/>
          </w:tcPr>
          <w:p w14:paraId="5F0D849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11</w:t>
            </w:r>
          </w:p>
        </w:tc>
        <w:tc>
          <w:tcPr>
            <w:tcW w:w="1224" w:type="dxa"/>
            <w:vAlign w:val="center"/>
          </w:tcPr>
          <w:p w14:paraId="48361C9D">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培训考核</w:t>
            </w:r>
          </w:p>
        </w:tc>
        <w:tc>
          <w:tcPr>
            <w:tcW w:w="5822" w:type="dxa"/>
            <w:gridSpan w:val="2"/>
            <w:vAlign w:val="center"/>
          </w:tcPr>
          <w:p w14:paraId="1412063D">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积极</w:t>
            </w:r>
            <w:r>
              <w:rPr>
                <w:rFonts w:ascii="华文仿宋" w:hAnsi="华文仿宋" w:eastAsia="华文仿宋" w:cs="Times New Roman"/>
                <w:color w:val="auto"/>
                <w:sz w:val="22"/>
                <w:szCs w:val="22"/>
              </w:rPr>
              <w:t>参与消防培训</w:t>
            </w:r>
            <w:r>
              <w:rPr>
                <w:rFonts w:hint="eastAsia" w:ascii="华文仿宋" w:hAnsi="华文仿宋" w:eastAsia="华文仿宋" w:cs="Times New Roman"/>
                <w:color w:val="auto"/>
                <w:sz w:val="22"/>
                <w:szCs w:val="22"/>
              </w:rPr>
              <w:t>及应急演练</w:t>
            </w:r>
          </w:p>
        </w:tc>
        <w:tc>
          <w:tcPr>
            <w:tcW w:w="1790" w:type="dxa"/>
            <w:vAlign w:val="center"/>
          </w:tcPr>
          <w:p w14:paraId="739CB7A7">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055D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01EB270B">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12</w:t>
            </w:r>
          </w:p>
        </w:tc>
        <w:tc>
          <w:tcPr>
            <w:tcW w:w="1224" w:type="dxa"/>
            <w:vAlign w:val="center"/>
          </w:tcPr>
          <w:p w14:paraId="07795E6E">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投诉处理</w:t>
            </w:r>
          </w:p>
        </w:tc>
        <w:tc>
          <w:tcPr>
            <w:tcW w:w="5822" w:type="dxa"/>
            <w:gridSpan w:val="2"/>
            <w:vAlign w:val="center"/>
          </w:tcPr>
          <w:p w14:paraId="60B097F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无有效投诉；投诉后整改及时，反馈记录完整</w:t>
            </w:r>
          </w:p>
        </w:tc>
        <w:tc>
          <w:tcPr>
            <w:tcW w:w="1790" w:type="dxa"/>
            <w:vAlign w:val="center"/>
          </w:tcPr>
          <w:p w14:paraId="57CFE50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5625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69835EA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13</w:t>
            </w:r>
          </w:p>
        </w:tc>
        <w:tc>
          <w:tcPr>
            <w:tcW w:w="1224" w:type="dxa"/>
            <w:vAlign w:val="center"/>
          </w:tcPr>
          <w:p w14:paraId="0012A91B">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eastAsia="zh-CN"/>
              </w:rPr>
            </w:pPr>
            <w:r>
              <w:rPr>
                <w:rFonts w:hint="eastAsia" w:ascii="华文仿宋" w:hAnsi="华文仿宋" w:eastAsia="华文仿宋" w:cs="Times New Roman"/>
                <w:color w:val="auto"/>
                <w:sz w:val="22"/>
                <w:szCs w:val="22"/>
                <w:lang w:eastAsia="zh-CN"/>
              </w:rPr>
              <w:t>日常巡检保养</w:t>
            </w:r>
          </w:p>
        </w:tc>
        <w:tc>
          <w:tcPr>
            <w:tcW w:w="5822" w:type="dxa"/>
            <w:gridSpan w:val="2"/>
            <w:vAlign w:val="center"/>
          </w:tcPr>
          <w:p w14:paraId="028B03D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eastAsia="zh-CN"/>
              </w:rPr>
            </w:pPr>
            <w:r>
              <w:rPr>
                <w:rFonts w:hint="eastAsia" w:ascii="华文仿宋" w:hAnsi="华文仿宋" w:eastAsia="华文仿宋" w:cs="Times New Roman"/>
                <w:color w:val="auto"/>
                <w:sz w:val="22"/>
                <w:szCs w:val="22"/>
                <w:lang w:eastAsia="zh-CN"/>
              </w:rPr>
              <w:t>全校区域内每日定点巡查</w:t>
            </w:r>
          </w:p>
        </w:tc>
        <w:tc>
          <w:tcPr>
            <w:tcW w:w="1790" w:type="dxa"/>
            <w:vAlign w:val="center"/>
          </w:tcPr>
          <w:p w14:paraId="3ADDE97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630F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45BAD471">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华文仿宋" w:hAnsi="华文仿宋" w:eastAsia="华文仿宋" w:cs="Times New Roman"/>
                <w:color w:val="auto"/>
                <w:sz w:val="22"/>
                <w:szCs w:val="22"/>
                <w:lang w:val="en-US" w:eastAsia="zh-CN"/>
              </w:rPr>
            </w:pPr>
            <w:r>
              <w:rPr>
                <w:rFonts w:hint="eastAsia" w:ascii="华文仿宋" w:hAnsi="华文仿宋" w:eastAsia="华文仿宋" w:cs="Times New Roman"/>
                <w:color w:val="auto"/>
                <w:sz w:val="22"/>
                <w:szCs w:val="22"/>
                <w:lang w:val="en-US" w:eastAsia="zh-CN"/>
              </w:rPr>
              <w:t>14</w:t>
            </w:r>
          </w:p>
        </w:tc>
        <w:tc>
          <w:tcPr>
            <w:tcW w:w="1224" w:type="dxa"/>
            <w:vAlign w:val="center"/>
          </w:tcPr>
          <w:p w14:paraId="37C69AC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val="en-US" w:eastAsia="zh-CN"/>
              </w:rPr>
            </w:pPr>
            <w:r>
              <w:rPr>
                <w:rFonts w:hint="eastAsia" w:ascii="华文仿宋" w:hAnsi="华文仿宋" w:eastAsia="华文仿宋" w:cs="Times New Roman"/>
                <w:color w:val="auto"/>
                <w:sz w:val="22"/>
                <w:szCs w:val="22"/>
                <w:lang w:val="en-US" w:eastAsia="zh-CN"/>
              </w:rPr>
              <w:t>应急抢修</w:t>
            </w:r>
          </w:p>
        </w:tc>
        <w:tc>
          <w:tcPr>
            <w:tcW w:w="5822" w:type="dxa"/>
            <w:gridSpan w:val="2"/>
            <w:vAlign w:val="center"/>
          </w:tcPr>
          <w:p w14:paraId="17959B1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华文仿宋" w:hAnsi="华文仿宋" w:eastAsia="华文仿宋" w:cs="Times New Roman"/>
                <w:color w:val="auto"/>
                <w:sz w:val="22"/>
                <w:szCs w:val="22"/>
                <w:lang w:val="en-US" w:eastAsia="zh-CN"/>
              </w:rPr>
            </w:pPr>
            <w:r>
              <w:rPr>
                <w:rFonts w:hint="eastAsia" w:ascii="华文仿宋" w:hAnsi="华文仿宋" w:eastAsia="华文仿宋" w:cs="Times New Roman"/>
                <w:color w:val="auto"/>
                <w:sz w:val="22"/>
                <w:szCs w:val="22"/>
                <w:lang w:val="en-US" w:eastAsia="zh-CN"/>
              </w:rPr>
              <w:t>按照约定时限开展应急抢修工作</w:t>
            </w:r>
          </w:p>
        </w:tc>
        <w:tc>
          <w:tcPr>
            <w:tcW w:w="1790" w:type="dxa"/>
            <w:vAlign w:val="center"/>
          </w:tcPr>
          <w:p w14:paraId="054C5FB1">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val="en-US" w:eastAsia="zh-CN"/>
              </w:rPr>
            </w:pP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 xml:space="preserve">完成  </w:t>
            </w:r>
            <w:r>
              <w:rPr>
                <w:rFonts w:hint="eastAsia" w:ascii="仿宋" w:hAnsi="仿宋" w:eastAsia="仿宋" w:cs="仿宋"/>
                <w:b w:val="0"/>
                <w:bCs w:val="0"/>
                <w:color w:val="auto"/>
                <w:sz w:val="20"/>
                <w:szCs w:val="20"/>
                <w:lang w:val="en-US" w:eastAsia="zh-CN"/>
              </w:rPr>
              <w:sym w:font="Wingdings 2" w:char="00A3"/>
            </w:r>
            <w:r>
              <w:rPr>
                <w:rFonts w:hint="eastAsia" w:ascii="仿宋" w:hAnsi="仿宋" w:eastAsia="仿宋" w:cs="仿宋"/>
                <w:b w:val="0"/>
                <w:bCs w:val="0"/>
                <w:color w:val="auto"/>
                <w:sz w:val="20"/>
                <w:szCs w:val="20"/>
                <w:lang w:val="en-US" w:eastAsia="zh-CN"/>
              </w:rPr>
              <w:t>未完成</w:t>
            </w:r>
          </w:p>
        </w:tc>
      </w:tr>
      <w:tr w14:paraId="25E4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0" w:type="dxa"/>
            <w:vAlign w:val="center"/>
          </w:tcPr>
          <w:p w14:paraId="062E3DE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lang w:eastAsia="zh-CN"/>
              </w:rPr>
            </w:pPr>
            <w:r>
              <w:rPr>
                <w:rFonts w:hint="eastAsia" w:ascii="华文仿宋" w:hAnsi="华文仿宋" w:eastAsia="华文仿宋" w:cs="Times New Roman"/>
                <w:color w:val="auto"/>
                <w:sz w:val="22"/>
                <w:szCs w:val="22"/>
              </w:rPr>
              <w:t>1</w:t>
            </w:r>
            <w:r>
              <w:rPr>
                <w:rFonts w:hint="eastAsia" w:ascii="华文仿宋" w:hAnsi="华文仿宋" w:eastAsia="华文仿宋" w:cs="Times New Roman"/>
                <w:color w:val="auto"/>
                <w:sz w:val="22"/>
                <w:szCs w:val="22"/>
                <w:lang w:val="en-US" w:eastAsia="zh-CN"/>
              </w:rPr>
              <w:t>5</w:t>
            </w:r>
          </w:p>
        </w:tc>
        <w:tc>
          <w:tcPr>
            <w:tcW w:w="1224" w:type="dxa"/>
            <w:vAlign w:val="center"/>
          </w:tcPr>
          <w:p w14:paraId="600C06F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突出贡献</w:t>
            </w:r>
          </w:p>
        </w:tc>
        <w:tc>
          <w:tcPr>
            <w:tcW w:w="5822" w:type="dxa"/>
            <w:gridSpan w:val="2"/>
            <w:vAlign w:val="center"/>
          </w:tcPr>
          <w:p w14:paraId="0DCF739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成功处置真实火情，避免重大损失（如有）</w:t>
            </w:r>
          </w:p>
        </w:tc>
        <w:tc>
          <w:tcPr>
            <w:tcW w:w="1790" w:type="dxa"/>
            <w:vAlign w:val="center"/>
          </w:tcPr>
          <w:p w14:paraId="3390CA80">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华文仿宋" w:hAnsi="华文仿宋" w:eastAsia="华文仿宋" w:cs="Times New Roman"/>
                <w:color w:val="auto"/>
                <w:sz w:val="22"/>
                <w:szCs w:val="22"/>
                <w:lang w:val="en-US" w:eastAsia="zh-CN"/>
              </w:rPr>
            </w:pPr>
            <w:r>
              <w:rPr>
                <w:rFonts w:hint="eastAsia" w:ascii="华文仿宋" w:hAnsi="华文仿宋" w:eastAsia="华文仿宋" w:cs="Times New Roman"/>
                <w:color w:val="auto"/>
                <w:sz w:val="22"/>
                <w:szCs w:val="22"/>
                <w:lang w:val="en-US" w:eastAsia="zh-CN"/>
              </w:rPr>
              <w:t>有   无</w:t>
            </w:r>
          </w:p>
        </w:tc>
      </w:tr>
      <w:tr w14:paraId="2C51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536" w:type="dxa"/>
            <w:gridSpan w:val="5"/>
            <w:vAlign w:val="center"/>
          </w:tcPr>
          <w:p w14:paraId="51867A5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left"/>
              <w:textAlignment w:val="auto"/>
              <w:rPr>
                <w:rFonts w:hint="eastAsia" w:ascii="华文仿宋" w:hAnsi="华文仿宋" w:eastAsia="华文仿宋" w:cs="Times New Roman"/>
                <w:color w:val="auto"/>
                <w:sz w:val="22"/>
                <w:szCs w:val="22"/>
              </w:rPr>
            </w:pPr>
            <w:r>
              <w:rPr>
                <w:rFonts w:hint="eastAsia" w:ascii="华文仿宋" w:hAnsi="华文仿宋" w:eastAsia="华文仿宋" w:cs="Times New Roman"/>
                <w:color w:val="auto"/>
                <w:sz w:val="22"/>
                <w:szCs w:val="22"/>
              </w:rPr>
              <w:t>检查科室：</w:t>
            </w:r>
            <w:r>
              <w:rPr>
                <w:rFonts w:hint="eastAsia" w:ascii="华文仿宋" w:hAnsi="华文仿宋" w:eastAsia="华文仿宋" w:cs="Times New Roman"/>
                <w:color w:val="auto"/>
                <w:sz w:val="22"/>
                <w:szCs w:val="22"/>
                <w:lang w:eastAsia="zh-CN"/>
              </w:rPr>
              <w:t>安全保卫科</w:t>
            </w:r>
            <w:r>
              <w:rPr>
                <w:rFonts w:hint="eastAsia" w:ascii="华文仿宋" w:hAnsi="华文仿宋" w:eastAsia="华文仿宋" w:cs="Times New Roman"/>
                <w:color w:val="auto"/>
                <w:sz w:val="22"/>
                <w:szCs w:val="22"/>
              </w:rPr>
              <w:t xml:space="preserve">           </w:t>
            </w:r>
            <w:r>
              <w:rPr>
                <w:rFonts w:hint="eastAsia" w:ascii="华文仿宋" w:hAnsi="华文仿宋" w:eastAsia="华文仿宋" w:cs="Times New Roman"/>
                <w:color w:val="auto"/>
                <w:sz w:val="22"/>
                <w:szCs w:val="22"/>
                <w:lang w:val="en-US" w:eastAsia="zh-CN"/>
              </w:rPr>
              <w:t>验收小组（不少于3人）</w:t>
            </w:r>
            <w:r>
              <w:rPr>
                <w:rFonts w:hint="eastAsia" w:ascii="华文仿宋" w:hAnsi="华文仿宋" w:eastAsia="华文仿宋" w:cs="Times New Roman"/>
                <w:color w:val="auto"/>
                <w:sz w:val="22"/>
                <w:szCs w:val="22"/>
              </w:rPr>
              <w:t xml:space="preserve">：             </w:t>
            </w:r>
            <w:r>
              <w:rPr>
                <w:rFonts w:hint="eastAsia" w:ascii="华文仿宋" w:hAnsi="华文仿宋" w:eastAsia="华文仿宋" w:cs="Times New Roman"/>
                <w:color w:val="auto"/>
                <w:sz w:val="22"/>
                <w:szCs w:val="22"/>
                <w:lang w:val="en-US" w:eastAsia="zh-CN"/>
              </w:rPr>
              <w:t>消控室</w:t>
            </w:r>
            <w:r>
              <w:rPr>
                <w:rFonts w:hint="eastAsia" w:ascii="华文仿宋" w:hAnsi="华文仿宋" w:eastAsia="华文仿宋" w:cs="Times New Roman"/>
                <w:color w:val="auto"/>
                <w:sz w:val="22"/>
                <w:szCs w:val="22"/>
              </w:rPr>
              <w:t>值班员：</w:t>
            </w:r>
          </w:p>
        </w:tc>
      </w:tr>
      <w:tr w14:paraId="5990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9536" w:type="dxa"/>
            <w:gridSpan w:val="5"/>
            <w:vAlign w:val="center"/>
          </w:tcPr>
          <w:p w14:paraId="07BDBC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default" w:ascii="Segoe UI Symbol" w:hAnsi="Segoe UI Symbol" w:eastAsia="等线" w:cs="Times New Roman"/>
                <w:color w:val="auto"/>
                <w:sz w:val="21"/>
                <w:szCs w:val="22"/>
                <w:lang w:val="en-US" w:eastAsia="zh-CN"/>
              </w:rPr>
            </w:pPr>
            <w:r>
              <w:rPr>
                <w:rFonts w:hint="eastAsia" w:ascii="Segoe UI Symbol" w:hAnsi="Segoe UI Symbol" w:eastAsia="等线" w:cs="Times New Roman"/>
                <w:color w:val="auto"/>
                <w:sz w:val="21"/>
                <w:szCs w:val="22"/>
                <w:lang w:val="en-US" w:eastAsia="zh-CN"/>
              </w:rPr>
              <w:t>①上岗人次不符合招响应文件承诺时，本次考核为不合格</w:t>
            </w:r>
          </w:p>
          <w:p w14:paraId="2DB7D95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华文仿宋" w:hAnsi="华文仿宋" w:eastAsia="华文仿宋" w:cs="Times New Roman"/>
                <w:color w:val="auto"/>
                <w:sz w:val="22"/>
                <w:szCs w:val="22"/>
              </w:rPr>
            </w:pPr>
            <w:r>
              <w:rPr>
                <w:rFonts w:hint="eastAsia" w:ascii="Segoe UI Symbol" w:hAnsi="Segoe UI Symbol" w:eastAsia="等线" w:cs="Times New Roman"/>
                <w:color w:val="auto"/>
                <w:sz w:val="21"/>
                <w:szCs w:val="22"/>
                <w:lang w:val="en-US" w:eastAsia="zh-CN"/>
              </w:rPr>
              <w:t>②2至14项中，有1项评价为“未完成”，则本次考核为不合格</w:t>
            </w:r>
          </w:p>
        </w:tc>
      </w:tr>
    </w:tbl>
    <w:p w14:paraId="17D67E46">
      <w:pPr>
        <w:pStyle w:val="11"/>
        <w:rPr>
          <w:rFonts w:hint="eastAsia"/>
          <w:lang w:val="en-US" w:eastAsia="zh-Hans"/>
        </w:rPr>
      </w:pPr>
    </w:p>
    <w:p w14:paraId="51B50B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5397CB-E502-4FE8-A00D-4447A0122B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7E29799-D77C-419C-8300-F382F9875F0E}"/>
  </w:font>
  <w:font w:name="仿宋_GB2312">
    <w:altName w:val="仿宋"/>
    <w:panose1 w:val="00000000000000000000"/>
    <w:charset w:val="00"/>
    <w:family w:val="auto"/>
    <w:pitch w:val="default"/>
    <w:sig w:usb0="00000000" w:usb1="00000000" w:usb2="00000000" w:usb3="00000000" w:csb0="00000000" w:csb1="00000000"/>
    <w:embedRegular r:id="rId3" w:fontKey="{B7E56F94-2BE5-49A3-9815-0E1B65BE9B0A}"/>
  </w:font>
  <w:font w:name="仿宋">
    <w:panose1 w:val="02010609060101010101"/>
    <w:charset w:val="86"/>
    <w:family w:val="auto"/>
    <w:pitch w:val="default"/>
    <w:sig w:usb0="800002BF" w:usb1="38CF7CFA" w:usb2="00000016" w:usb3="00000000" w:csb0="00040001" w:csb1="00000000"/>
    <w:embedRegular r:id="rId4" w:fontKey="{C7CFA980-85E5-4B7D-AC6C-1E1E6A0F1D1B}"/>
  </w:font>
  <w:font w:name="华文仿宋">
    <w:panose1 w:val="02010600040101010101"/>
    <w:charset w:val="86"/>
    <w:family w:val="auto"/>
    <w:pitch w:val="default"/>
    <w:sig w:usb0="00000287" w:usb1="080F0000" w:usb2="00000000" w:usb3="00000000" w:csb0="0004009F" w:csb1="DFD70000"/>
    <w:embedRegular r:id="rId5" w:fontKey="{CB7EE4E5-DC78-4DCA-87E5-62DEFE97F843}"/>
  </w:font>
  <w:font w:name="方正小标宋简体">
    <w:panose1 w:val="02000000000000000000"/>
    <w:charset w:val="86"/>
    <w:family w:val="script"/>
    <w:pitch w:val="default"/>
    <w:sig w:usb0="00000001" w:usb1="08000000" w:usb2="00000000" w:usb3="00000000" w:csb0="00040000" w:csb1="00000000"/>
    <w:embedRegular r:id="rId6" w:fontKey="{89DE1C34-AC64-401B-9068-EEF05BCC478A}"/>
  </w:font>
  <w:font w:name="Wingdings 2">
    <w:panose1 w:val="05020102010507070707"/>
    <w:charset w:val="00"/>
    <w:family w:val="auto"/>
    <w:pitch w:val="default"/>
    <w:sig w:usb0="00000000" w:usb1="00000000" w:usb2="00000000" w:usb3="00000000" w:csb0="80000000" w:csb1="00000000"/>
    <w:embedRegular r:id="rId7" w:fontKey="{3E341A65-5752-4DED-BC14-89058528FC9B}"/>
  </w:font>
  <w:font w:name="Segoe UI Symbol">
    <w:panose1 w:val="020B0502040204020203"/>
    <w:charset w:val="00"/>
    <w:family w:val="swiss"/>
    <w:pitch w:val="default"/>
    <w:sig w:usb0="800001E3" w:usb1="1200FFEF" w:usb2="00040000" w:usb3="04000000" w:csb0="00000001" w:csb1="40000000"/>
    <w:embedRegular r:id="rId8" w:fontKey="{AA025051-A7FF-4C26-852D-CF6700DB25FB}"/>
  </w:font>
  <w:font w:name="等线">
    <w:panose1 w:val="02010600030101010101"/>
    <w:charset w:val="86"/>
    <w:family w:val="auto"/>
    <w:pitch w:val="default"/>
    <w:sig w:usb0="A00002BF" w:usb1="38CF7CFA" w:usb2="00000016" w:usb3="00000000" w:csb0="0004000F" w:csb1="00000000"/>
    <w:embedRegular r:id="rId9" w:fontKey="{5D8CF5BE-C61C-4376-BBF8-DFD83173AD86}"/>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A5CBC"/>
    <w:rsid w:val="28321D4D"/>
    <w:rsid w:val="36C1706E"/>
    <w:rsid w:val="3A6C7FD0"/>
    <w:rsid w:val="4F9B34DB"/>
    <w:rsid w:val="559D43FA"/>
    <w:rsid w:val="59E00D5A"/>
    <w:rsid w:val="6C846D03"/>
    <w:rsid w:val="6D0E7B7A"/>
    <w:rsid w:val="73EA0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仿宋_GB2312" w:eastAsia="仿宋_GB2312"/>
      <w:spacing w:val="-20"/>
      <w:sz w:val="28"/>
    </w:rPr>
  </w:style>
  <w:style w:type="paragraph" w:styleId="4">
    <w:name w:val="Body Text Indent"/>
    <w:basedOn w:val="1"/>
    <w:qFormat/>
    <w:uiPriority w:val="99"/>
    <w:pPr>
      <w:spacing w:line="360" w:lineRule="auto"/>
      <w:ind w:firstLine="480"/>
    </w:pPr>
    <w:rPr>
      <w:rFonts w:ascii="宋体"/>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unhideWhenUsed/>
    <w:qFormat/>
    <w:uiPriority w:val="0"/>
    <w:pPr>
      <w:ind w:firstLine="420" w:firstLineChars="200"/>
    </w:pPr>
    <w:rPr>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7663</Words>
  <Characters>7924</Characters>
  <Lines>0</Lines>
  <Paragraphs>0</Paragraphs>
  <TotalTime>0</TotalTime>
  <ScaleCrop>false</ScaleCrop>
  <LinksUpToDate>false</LinksUpToDate>
  <CharactersWithSpaces>8291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2025-07-17T09:23:00Z</dcterms:created>
  <dc:creator>1</dc:creator>
  <cp:lastModifiedBy>蕾</cp:lastModifiedBy>
  <dcterms:modified xsi:type="dcterms:W3CDTF">2026-07-13T08:57:23Z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58E76D0D02844B1F8A5964C27E6B42F2_12</vt:lpwstr>
  </property>
</Properties>
</file>