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EBC03">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拟签订采购合同文本</w:t>
      </w:r>
      <w:bookmarkStart w:id="2" w:name="_GoBack"/>
      <w:bookmarkEnd w:id="2"/>
    </w:p>
    <w:p w14:paraId="54AB9C1A">
      <w:pPr>
        <w:numPr>
          <w:ilvl w:val="0"/>
          <w:numId w:val="0"/>
        </w:numPr>
        <w:snapToGrid w:val="0"/>
        <w:spacing w:beforeLines="100" w:afterLines="50" w:line="360" w:lineRule="auto"/>
        <w:jc w:val="center"/>
        <w:outlineLvl w:val="0"/>
        <w:rPr>
          <w:rFonts w:hint="eastAsia" w:ascii="宋体" w:hAnsi="宋体" w:eastAsia="宋体" w:cs="宋体"/>
          <w:b/>
          <w:bCs/>
          <w:color w:val="auto"/>
          <w:sz w:val="32"/>
          <w:szCs w:val="32"/>
          <w:highlight w:val="none"/>
          <w:lang w:val="zh-CN"/>
        </w:rPr>
      </w:pPr>
      <w:r>
        <w:rPr>
          <w:rFonts w:hint="eastAsia" w:ascii="宋体" w:hAnsi="宋体" w:eastAsia="宋体" w:cs="宋体"/>
          <w:b/>
          <w:bCs/>
          <w:color w:val="auto"/>
          <w:sz w:val="32"/>
          <w:szCs w:val="32"/>
          <w:highlight w:val="none"/>
          <w:lang w:val="zh-CN"/>
        </w:rPr>
        <w:t>（</w:t>
      </w:r>
      <w:r>
        <w:rPr>
          <w:rFonts w:hint="eastAsia" w:ascii="宋体" w:hAnsi="宋体" w:eastAsia="宋体" w:cs="宋体"/>
          <w:b/>
          <w:bCs/>
          <w:color w:val="auto"/>
          <w:sz w:val="32"/>
          <w:szCs w:val="32"/>
          <w:highlight w:val="none"/>
          <w:lang w:val="en-US" w:eastAsia="zh-CN"/>
        </w:rPr>
        <w:t>参考</w:t>
      </w:r>
      <w:r>
        <w:rPr>
          <w:rFonts w:hint="eastAsia" w:ascii="宋体" w:hAnsi="宋体" w:eastAsia="宋体" w:cs="宋体"/>
          <w:b/>
          <w:bCs/>
          <w:color w:val="auto"/>
          <w:sz w:val="32"/>
          <w:szCs w:val="32"/>
          <w:highlight w:val="none"/>
          <w:lang w:val="zh-CN"/>
        </w:rPr>
        <w:t>）</w:t>
      </w:r>
    </w:p>
    <w:p w14:paraId="3AD3C16F">
      <w:pPr>
        <w:spacing w:before="120" w:line="360" w:lineRule="auto"/>
        <w:jc w:val="center"/>
        <w:rPr>
          <w:rFonts w:hint="eastAsia" w:ascii="宋体" w:hAnsi="宋体" w:eastAsia="宋体" w:cs="宋体"/>
          <w:b/>
          <w:bCs/>
          <w:color w:val="auto"/>
          <w:sz w:val="36"/>
          <w:szCs w:val="36"/>
        </w:rPr>
      </w:pPr>
    </w:p>
    <w:p w14:paraId="30720E88">
      <w:pPr>
        <w:spacing w:before="120" w:line="360" w:lineRule="auto"/>
        <w:jc w:val="center"/>
        <w:rPr>
          <w:rFonts w:hint="eastAsia" w:ascii="宋体" w:hAnsi="宋体" w:eastAsia="宋体" w:cs="宋体"/>
          <w:b/>
          <w:bCs/>
          <w:color w:val="auto"/>
          <w:sz w:val="36"/>
          <w:szCs w:val="36"/>
        </w:rPr>
      </w:pPr>
    </w:p>
    <w:p w14:paraId="2142502A">
      <w:pPr>
        <w:spacing w:before="120" w:line="360" w:lineRule="auto"/>
        <w:jc w:val="center"/>
        <w:rPr>
          <w:rFonts w:hint="eastAsia" w:ascii="宋体" w:hAnsi="宋体" w:eastAsia="宋体" w:cs="宋体"/>
          <w:b/>
          <w:bCs/>
          <w:color w:val="auto"/>
          <w:sz w:val="36"/>
          <w:szCs w:val="36"/>
        </w:rPr>
      </w:pPr>
    </w:p>
    <w:p w14:paraId="07A9BC3B">
      <w:pPr>
        <w:spacing w:before="120" w:line="360" w:lineRule="auto"/>
        <w:jc w:val="center"/>
        <w:rPr>
          <w:rFonts w:hint="eastAsia" w:ascii="宋体" w:hAnsi="宋体" w:eastAsia="宋体" w:cs="宋体"/>
          <w:b/>
          <w:bCs/>
          <w:color w:val="auto"/>
          <w:sz w:val="36"/>
          <w:szCs w:val="36"/>
        </w:rPr>
      </w:pPr>
      <w:r>
        <w:rPr>
          <w:rFonts w:hint="eastAsia" w:ascii="宋体" w:hAnsi="宋体" w:eastAsia="宋体" w:cs="宋体"/>
          <w:b/>
          <w:bCs/>
          <w:color w:val="auto"/>
          <w:sz w:val="36"/>
          <w:szCs w:val="36"/>
        </w:rPr>
        <w:t>政 府 采 购 合 同</w:t>
      </w:r>
    </w:p>
    <w:p w14:paraId="7E94F7DF">
      <w:pPr>
        <w:spacing w:before="120" w:line="360" w:lineRule="auto"/>
        <w:jc w:val="center"/>
        <w:rPr>
          <w:rFonts w:hint="eastAsia" w:ascii="宋体" w:hAnsi="宋体" w:eastAsia="宋体" w:cs="宋体"/>
          <w:color w:val="auto"/>
          <w:sz w:val="28"/>
          <w:szCs w:val="28"/>
        </w:rPr>
      </w:pPr>
    </w:p>
    <w:p w14:paraId="6CDA4DB3">
      <w:pPr>
        <w:spacing w:before="120" w:line="360" w:lineRule="auto"/>
        <w:ind w:firstLine="3064" w:firstLineChars="1090"/>
        <w:rPr>
          <w:rFonts w:hint="eastAsia" w:ascii="宋体" w:hAnsi="宋体" w:eastAsia="宋体" w:cs="宋体"/>
          <w:color w:val="auto"/>
          <w:sz w:val="28"/>
          <w:szCs w:val="28"/>
        </w:rPr>
      </w:pPr>
      <w:bookmarkStart w:id="0" w:name="_Toc109543216"/>
      <w:bookmarkStart w:id="1" w:name="_Toc109542396"/>
      <w:r>
        <w:rPr>
          <w:rFonts w:hint="eastAsia" w:ascii="宋体" w:hAnsi="宋体" w:eastAsia="宋体" w:cs="宋体"/>
          <w:b/>
          <w:bCs/>
          <w:color w:val="auto"/>
          <w:sz w:val="28"/>
          <w:szCs w:val="28"/>
        </w:rPr>
        <w:t>合同编号：</w:t>
      </w:r>
      <w:bookmarkEnd w:id="0"/>
      <w:bookmarkEnd w:id="1"/>
      <w:r>
        <w:rPr>
          <w:rFonts w:hint="eastAsia" w:ascii="宋体" w:hAnsi="宋体" w:eastAsia="宋体" w:cs="宋体"/>
          <w:b/>
          <w:bCs/>
          <w:color w:val="auto"/>
          <w:sz w:val="28"/>
          <w:szCs w:val="28"/>
          <w:u w:val="single"/>
        </w:rPr>
        <w:t xml:space="preserve">            </w:t>
      </w:r>
      <w:r>
        <w:rPr>
          <w:rFonts w:hint="eastAsia" w:ascii="宋体" w:hAnsi="宋体" w:eastAsia="宋体" w:cs="宋体"/>
          <w:color w:val="auto"/>
          <w:sz w:val="28"/>
          <w:szCs w:val="28"/>
        </w:rPr>
        <w:t xml:space="preserve">        </w:t>
      </w:r>
    </w:p>
    <w:p w14:paraId="7B27F07A">
      <w:pPr>
        <w:pStyle w:val="6"/>
        <w:spacing w:before="120" w:line="360" w:lineRule="auto"/>
        <w:ind w:firstLine="0"/>
        <w:rPr>
          <w:rFonts w:hint="eastAsia" w:ascii="宋体" w:hAnsi="宋体" w:eastAsia="宋体" w:cs="宋体"/>
          <w:color w:val="auto"/>
          <w:sz w:val="28"/>
          <w:szCs w:val="28"/>
        </w:rPr>
      </w:pPr>
    </w:p>
    <w:p w14:paraId="3552ADD1">
      <w:pPr>
        <w:spacing w:before="120" w:line="360" w:lineRule="auto"/>
        <w:rPr>
          <w:rFonts w:hint="eastAsia" w:ascii="宋体" w:hAnsi="宋体" w:eastAsia="宋体" w:cs="宋体"/>
          <w:b/>
          <w:bCs/>
          <w:color w:val="auto"/>
          <w:sz w:val="28"/>
          <w:szCs w:val="28"/>
        </w:rPr>
      </w:pPr>
    </w:p>
    <w:p w14:paraId="6F0DEE94">
      <w:pPr>
        <w:rPr>
          <w:rFonts w:hint="eastAsia" w:ascii="宋体" w:hAnsi="宋体" w:eastAsia="宋体" w:cs="宋体"/>
          <w:b/>
          <w:bCs/>
          <w:color w:val="auto"/>
          <w:sz w:val="28"/>
          <w:szCs w:val="28"/>
        </w:rPr>
      </w:pPr>
    </w:p>
    <w:p w14:paraId="03BE2FB2">
      <w:pPr>
        <w:pStyle w:val="7"/>
        <w:rPr>
          <w:rFonts w:hint="eastAsia" w:eastAsia="宋体" w:cs="Times New Roman"/>
          <w:color w:val="auto"/>
        </w:rPr>
      </w:pPr>
    </w:p>
    <w:p w14:paraId="6EC7C9B5">
      <w:pPr>
        <w:spacing w:before="120" w:line="360" w:lineRule="auto"/>
        <w:ind w:left="960"/>
        <w:rPr>
          <w:rFonts w:hint="eastAsia" w:ascii="宋体" w:hAnsi="宋体" w:eastAsia="宋体" w:cs="宋体"/>
          <w:b/>
          <w:bCs/>
          <w:color w:val="auto"/>
          <w:sz w:val="28"/>
          <w:szCs w:val="28"/>
          <w:u w:val="single"/>
        </w:rPr>
      </w:pPr>
      <w:r>
        <w:rPr>
          <w:rFonts w:hint="eastAsia" w:ascii="宋体" w:hAnsi="宋体" w:eastAsia="宋体" w:cs="宋体"/>
          <w:b/>
          <w:bCs/>
          <w:color w:val="auto"/>
          <w:sz w:val="28"/>
          <w:szCs w:val="28"/>
        </w:rPr>
        <w:t>采购项目名称</w:t>
      </w:r>
      <w:r>
        <w:rPr>
          <w:rFonts w:hint="eastAsia" w:ascii="宋体" w:hAnsi="宋体" w:eastAsia="宋体" w:cs="宋体"/>
          <w:b/>
          <w:bCs/>
          <w:color w:val="auto"/>
          <w:sz w:val="28"/>
          <w:szCs w:val="28"/>
          <w:lang w:val="en-US" w:eastAsia="zh-CN"/>
        </w:rPr>
        <w:t xml:space="preserve"> </w:t>
      </w:r>
      <w:r>
        <w:rPr>
          <w:rFonts w:hint="eastAsia" w:ascii="宋体" w:hAnsi="宋体" w:eastAsia="宋体" w:cs="宋体"/>
          <w:b/>
          <w:bCs/>
          <w:color w:val="auto"/>
          <w:sz w:val="28"/>
          <w:szCs w:val="28"/>
        </w:rPr>
        <w:t>：</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p>
    <w:p w14:paraId="1DD1288A">
      <w:pPr>
        <w:spacing w:before="120" w:line="360" w:lineRule="auto"/>
        <w:ind w:left="960"/>
        <w:rPr>
          <w:rFonts w:hint="eastAsia" w:ascii="宋体" w:hAnsi="宋体" w:eastAsia="宋体" w:cs="宋体"/>
          <w:b/>
          <w:bCs/>
          <w:color w:val="auto"/>
          <w:sz w:val="28"/>
          <w:szCs w:val="28"/>
        </w:rPr>
      </w:pPr>
      <w:r>
        <w:rPr>
          <w:rFonts w:hint="eastAsia" w:ascii="宋体" w:hAnsi="宋体" w:eastAsia="宋体" w:cs="宋体"/>
          <w:b/>
          <w:bCs/>
          <w:color w:val="auto"/>
          <w:sz w:val="28"/>
          <w:szCs w:val="28"/>
          <w:lang w:val="en-US" w:eastAsia="zh-CN"/>
        </w:rPr>
        <w:t>采购人</w:t>
      </w:r>
      <w:r>
        <w:rPr>
          <w:rFonts w:hint="eastAsia" w:ascii="宋体" w:hAnsi="宋体" w:eastAsia="宋体" w:cs="宋体"/>
          <w:b/>
          <w:bCs/>
          <w:color w:val="auto"/>
          <w:sz w:val="28"/>
          <w:szCs w:val="28"/>
          <w:lang w:eastAsia="zh-CN"/>
        </w:rPr>
        <w:t>（甲方）</w:t>
      </w:r>
      <w:r>
        <w:rPr>
          <w:rFonts w:hint="eastAsia" w:ascii="宋体" w:hAnsi="宋体" w:eastAsia="宋体" w:cs="宋体"/>
          <w:b/>
          <w:bCs/>
          <w:color w:val="auto"/>
          <w:sz w:val="28"/>
          <w:szCs w:val="28"/>
        </w:rPr>
        <w:t>：</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p>
    <w:p w14:paraId="21BA2F20">
      <w:pPr>
        <w:spacing w:before="120" w:line="360" w:lineRule="auto"/>
        <w:ind w:left="960"/>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成交供应商（乙方）：</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p>
    <w:p w14:paraId="417DF78E">
      <w:pPr>
        <w:spacing w:before="120" w:line="360" w:lineRule="auto"/>
        <w:ind w:left="960"/>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签署地点 ：</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p>
    <w:p w14:paraId="135E79C7">
      <w:pPr>
        <w:spacing w:before="120" w:line="360" w:lineRule="auto"/>
        <w:ind w:left="960"/>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签署日期 ：</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r>
        <w:rPr>
          <w:rFonts w:hint="eastAsia" w:ascii="宋体" w:hAnsi="宋体" w:eastAsia="宋体" w:cs="宋体"/>
          <w:b/>
          <w:bCs/>
          <w:color w:val="auto"/>
          <w:sz w:val="28"/>
          <w:szCs w:val="28"/>
          <w:u w:val="single"/>
        </w:rPr>
        <w:t xml:space="preserve"> </w:t>
      </w:r>
      <w:r>
        <w:rPr>
          <w:rFonts w:hint="eastAsia" w:ascii="宋体" w:hAnsi="宋体" w:eastAsia="宋体" w:cs="宋体"/>
          <w:b/>
          <w:bCs/>
          <w:color w:val="auto"/>
          <w:sz w:val="28"/>
          <w:szCs w:val="28"/>
          <w:u w:val="single"/>
          <w:lang w:val="en-US" w:eastAsia="zh-CN"/>
        </w:rPr>
        <w:t xml:space="preserve">   </w:t>
      </w:r>
    </w:p>
    <w:p w14:paraId="161E7FF5">
      <w:pPr>
        <w:spacing w:before="120" w:line="480" w:lineRule="auto"/>
        <w:rPr>
          <w:rFonts w:hint="eastAsia" w:ascii="宋体" w:hAnsi="宋体" w:eastAsia="宋体" w:cs="宋体"/>
          <w:b/>
          <w:bCs/>
          <w:color w:val="auto"/>
          <w:sz w:val="28"/>
          <w:szCs w:val="28"/>
          <w:u w:val="single"/>
          <w:lang w:val="en-US" w:eastAsia="zh-CN"/>
        </w:rPr>
      </w:pPr>
      <w:r>
        <w:rPr>
          <w:rFonts w:hint="eastAsia" w:ascii="宋体" w:hAnsi="宋体" w:eastAsia="宋体" w:cs="宋体"/>
          <w:b/>
          <w:bCs/>
          <w:color w:val="auto"/>
          <w:sz w:val="28"/>
          <w:szCs w:val="28"/>
          <w:lang w:val="en-US" w:eastAsia="zh-CN"/>
        </w:rPr>
        <w:br w:type="page"/>
      </w:r>
      <w:r>
        <w:rPr>
          <w:rFonts w:hint="eastAsia" w:ascii="宋体" w:hAnsi="宋体" w:eastAsia="宋体" w:cs="宋体"/>
          <w:b/>
          <w:bCs/>
          <w:color w:val="auto"/>
          <w:sz w:val="24"/>
          <w:szCs w:val="24"/>
          <w:lang w:val="en-US" w:eastAsia="zh-CN"/>
        </w:rPr>
        <w:t>采购人（甲方）</w:t>
      </w:r>
      <w:r>
        <w:rPr>
          <w:rFonts w:hint="eastAsia" w:ascii="宋体" w:hAnsi="宋体" w:eastAsia="宋体" w:cs="宋体"/>
          <w:b/>
          <w:bCs/>
          <w:color w:val="auto"/>
          <w:sz w:val="24"/>
          <w:szCs w:val="24"/>
        </w:rPr>
        <w:t>：</w:t>
      </w:r>
      <w:r>
        <w:rPr>
          <w:rFonts w:hint="eastAsia" w:ascii="宋体" w:hAnsi="宋体" w:cs="宋体"/>
          <w:b/>
          <w:bCs/>
          <w:color w:val="auto"/>
          <w:sz w:val="24"/>
          <w:szCs w:val="24"/>
          <w:u w:val="single"/>
          <w:lang w:eastAsia="zh-CN"/>
        </w:rPr>
        <w:t>西安市未央区草滩街道办事处</w:t>
      </w:r>
      <w:r>
        <w:rPr>
          <w:rFonts w:hint="eastAsia" w:ascii="宋体" w:hAnsi="宋体" w:eastAsia="宋体" w:cs="宋体"/>
          <w:b/>
          <w:bCs/>
          <w:color w:val="auto"/>
          <w:sz w:val="28"/>
          <w:szCs w:val="28"/>
          <w:u w:val="single"/>
          <w:lang w:val="en-US" w:eastAsia="zh-CN"/>
        </w:rPr>
        <w:t xml:space="preserve"> </w:t>
      </w:r>
    </w:p>
    <w:p w14:paraId="50E03463">
      <w:pPr>
        <w:keepNext w:val="0"/>
        <w:keepLines w:val="0"/>
        <w:pageBreakBefore w:val="0"/>
        <w:kinsoku w:val="0"/>
        <w:wordWrap/>
        <w:overflowPunct/>
        <w:topLinePunct w:val="0"/>
        <w:autoSpaceDE/>
        <w:autoSpaceDN/>
        <w:bidi w:val="0"/>
        <w:adjustRightInd w:val="0"/>
        <w:snapToGrid w:val="0"/>
        <w:spacing w:line="480" w:lineRule="auto"/>
        <w:textAlignment w:val="auto"/>
        <w:rPr>
          <w:rFonts w:hint="default" w:ascii="宋体" w:hAnsi="宋体" w:eastAsia="宋体" w:cs="宋体"/>
          <w:b/>
          <w:bCs/>
          <w:color w:val="auto"/>
          <w:sz w:val="24"/>
          <w:szCs w:val="24"/>
          <w:lang w:val="en-US"/>
        </w:rPr>
      </w:pPr>
      <w:r>
        <w:rPr>
          <w:rFonts w:hint="eastAsia" w:ascii="宋体" w:hAnsi="宋体" w:eastAsia="宋体" w:cs="宋体"/>
          <w:b/>
          <w:bCs/>
          <w:color w:val="auto"/>
          <w:sz w:val="24"/>
          <w:szCs w:val="24"/>
          <w:lang w:val="en-US" w:eastAsia="zh-CN"/>
        </w:rPr>
        <w:t>成交供应商（乙方）</w:t>
      </w:r>
      <w:r>
        <w:rPr>
          <w:rFonts w:hint="eastAsia" w:ascii="宋体" w:hAnsi="宋体" w:eastAsia="宋体" w:cs="宋体"/>
          <w:b/>
          <w:bCs/>
          <w:color w:val="auto"/>
          <w:sz w:val="24"/>
          <w:szCs w:val="24"/>
        </w:rPr>
        <w:t>：</w:t>
      </w:r>
      <w:r>
        <w:rPr>
          <w:rFonts w:hint="eastAsia" w:ascii="宋体" w:hAnsi="宋体" w:eastAsia="宋体" w:cs="宋体"/>
          <w:b/>
          <w:bCs/>
          <w:color w:val="auto"/>
          <w:sz w:val="28"/>
          <w:szCs w:val="28"/>
          <w:u w:val="single"/>
          <w:lang w:val="en-US" w:eastAsia="zh-CN"/>
        </w:rPr>
        <w:t xml:space="preserve">                      </w:t>
      </w:r>
    </w:p>
    <w:p w14:paraId="53B5FD7A">
      <w:pPr>
        <w:keepNext w:val="0"/>
        <w:keepLines w:val="0"/>
        <w:pageBreakBefore w:val="0"/>
        <w:kinsoku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根据《中华人民共和国</w:t>
      </w:r>
      <w:r>
        <w:rPr>
          <w:rFonts w:hint="eastAsia" w:ascii="宋体" w:hAnsi="宋体" w:eastAsia="宋体" w:cs="宋体"/>
          <w:color w:val="auto"/>
          <w:sz w:val="24"/>
          <w:szCs w:val="24"/>
          <w:lang w:val="en-US" w:eastAsia="zh-CN"/>
        </w:rPr>
        <w:t>民法典</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《中华人民共和国政府采购法》、《中华人民共和国政府采购法实施条例》</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等法律法规，甲方通过竞争性磋商，选定乙方为成交</w:t>
      </w:r>
      <w:r>
        <w:rPr>
          <w:rFonts w:hint="eastAsia" w:ascii="宋体" w:hAnsi="宋体" w:cs="宋体"/>
          <w:color w:val="auto"/>
          <w:sz w:val="24"/>
          <w:szCs w:val="24"/>
          <w:lang w:val="en-US" w:eastAsia="zh-CN"/>
        </w:rPr>
        <w:t>供应商</w:t>
      </w:r>
      <w:r>
        <w:rPr>
          <w:rFonts w:hint="eastAsia" w:ascii="宋体" w:hAnsi="宋体" w:eastAsia="宋体" w:cs="宋体"/>
          <w:color w:val="auto"/>
          <w:sz w:val="24"/>
          <w:szCs w:val="24"/>
        </w:rPr>
        <w:t>。甲、乙双方在平等基础上协商一致，达成如下合同条款</w:t>
      </w:r>
      <w:r>
        <w:rPr>
          <w:rFonts w:hint="eastAsia" w:ascii="宋体" w:hAnsi="宋体" w:cs="宋体"/>
          <w:color w:val="auto"/>
          <w:sz w:val="24"/>
          <w:szCs w:val="24"/>
          <w:lang w:eastAsia="zh-CN"/>
        </w:rPr>
        <w:t>：</w:t>
      </w:r>
    </w:p>
    <w:p w14:paraId="2C6A67B6">
      <w:pPr>
        <w:keepNext w:val="0"/>
        <w:keepLines w:val="0"/>
        <w:pageBreakBefore w:val="0"/>
        <w:widowControl/>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w:t>
      </w:r>
      <w:r>
        <w:rPr>
          <w:rFonts w:hint="eastAsia" w:ascii="宋体" w:hAnsi="宋体" w:eastAsia="宋体" w:cs="宋体"/>
          <w:b/>
          <w:bCs/>
          <w:color w:val="auto"/>
          <w:sz w:val="24"/>
          <w:szCs w:val="24"/>
        </w:rPr>
        <w:t>服务</w:t>
      </w:r>
      <w:r>
        <w:rPr>
          <w:rFonts w:hint="eastAsia" w:ascii="宋体" w:hAnsi="宋体" w:eastAsia="宋体" w:cs="宋体"/>
          <w:b/>
          <w:bCs/>
          <w:color w:val="auto"/>
          <w:sz w:val="24"/>
          <w:szCs w:val="24"/>
          <w:lang w:val="en-US" w:eastAsia="zh-CN"/>
        </w:rPr>
        <w:t>内容及要求</w:t>
      </w:r>
      <w:r>
        <w:rPr>
          <w:rFonts w:hint="eastAsia" w:ascii="宋体" w:hAnsi="宋体" w:eastAsia="宋体" w:cs="宋体"/>
          <w:b/>
          <w:color w:val="auto"/>
          <w:sz w:val="24"/>
          <w:szCs w:val="24"/>
        </w:rPr>
        <w:t>：</w:t>
      </w:r>
    </w:p>
    <w:p w14:paraId="77EA642A">
      <w:pPr>
        <w:keepNext w:val="0"/>
        <w:keepLines w:val="0"/>
        <w:pageBreakBefore w:val="0"/>
        <w:widowControl w:val="0"/>
        <w:kinsoku/>
        <w:wordWrap w:val="0"/>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color w:val="000000"/>
          <w:sz w:val="24"/>
          <w:szCs w:val="24"/>
          <w:lang w:val="en-US" w:eastAsia="en-US"/>
        </w:rPr>
      </w:pPr>
      <w:r>
        <w:rPr>
          <w:rFonts w:hint="eastAsia" w:ascii="宋体" w:hAnsi="宋体" w:eastAsia="宋体" w:cs="宋体"/>
          <w:b/>
          <w:bCs/>
          <w:color w:val="000000"/>
          <w:sz w:val="24"/>
          <w:szCs w:val="24"/>
          <w:lang w:val="en-US" w:eastAsia="en-US"/>
        </w:rPr>
        <w:t>（一）服务内容：</w:t>
      </w:r>
    </w:p>
    <w:p w14:paraId="2A06D33F">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val="0"/>
          <w:snapToGrid w:val="0"/>
          <w:color w:val="000000"/>
          <w:spacing w:val="-7"/>
          <w:kern w:val="0"/>
          <w:sz w:val="24"/>
          <w:szCs w:val="24"/>
          <w:highlight w:val="none"/>
          <w:lang w:val="en-US" w:eastAsia="en-US"/>
        </w:rPr>
      </w:pPr>
      <w:r>
        <w:rPr>
          <w:rFonts w:hint="eastAsia" w:ascii="宋体" w:hAnsi="宋体" w:eastAsia="宋体" w:cs="宋体"/>
          <w:color w:val="000000"/>
          <w:sz w:val="24"/>
          <w:szCs w:val="24"/>
          <w:lang w:val="en-US" w:eastAsia="en-US"/>
        </w:rPr>
        <w:t>机关廉政灶食材采买，需满足采购人一日</w:t>
      </w:r>
      <w:r>
        <w:rPr>
          <w:rFonts w:hint="eastAsia" w:ascii="宋体" w:hAnsi="宋体" w:eastAsia="宋体" w:cs="宋体"/>
          <w:color w:val="000000"/>
          <w:sz w:val="24"/>
          <w:szCs w:val="24"/>
          <w:lang w:val="en-US" w:eastAsia="zh-CN"/>
        </w:rPr>
        <w:t>三</w:t>
      </w:r>
      <w:r>
        <w:rPr>
          <w:rFonts w:hint="eastAsia" w:ascii="宋体" w:hAnsi="宋体" w:eastAsia="宋体" w:cs="宋体"/>
          <w:color w:val="000000"/>
          <w:sz w:val="24"/>
          <w:szCs w:val="24"/>
          <w:lang w:val="en-US" w:eastAsia="en-US"/>
        </w:rPr>
        <w:t>餐的食材要求，包括米、面、油、肉类</w:t>
      </w:r>
      <w:r>
        <w:rPr>
          <w:rFonts w:hint="eastAsia" w:ascii="宋体" w:hAnsi="宋体" w:eastAsia="宋体" w:cs="宋体"/>
          <w:color w:val="000000"/>
          <w:sz w:val="24"/>
          <w:szCs w:val="24"/>
          <w:lang w:val="en-US" w:eastAsia="zh-CN"/>
        </w:rPr>
        <w:t>、蛋类、</w:t>
      </w:r>
      <w:r>
        <w:rPr>
          <w:rFonts w:hint="eastAsia" w:ascii="宋体" w:hAnsi="宋体" w:eastAsia="宋体" w:cs="宋体"/>
          <w:color w:val="000000"/>
          <w:sz w:val="24"/>
          <w:szCs w:val="24"/>
          <w:lang w:val="en-US" w:eastAsia="en-US"/>
        </w:rPr>
        <w:t>蔬菜、水果、豆制品、水产品</w:t>
      </w:r>
      <w:r>
        <w:rPr>
          <w:rFonts w:hint="eastAsia" w:ascii="宋体" w:hAnsi="宋体" w:eastAsia="宋体" w:cs="宋体"/>
          <w:color w:val="000000"/>
          <w:sz w:val="24"/>
          <w:szCs w:val="24"/>
          <w:lang w:val="en-US" w:eastAsia="zh-CN"/>
        </w:rPr>
        <w:t>、</w:t>
      </w:r>
      <w:r>
        <w:rPr>
          <w:rFonts w:hint="eastAsia" w:ascii="宋体" w:hAnsi="宋体" w:eastAsia="宋体" w:cs="宋体"/>
          <w:b w:val="0"/>
          <w:bCs w:val="0"/>
          <w:snapToGrid w:val="0"/>
          <w:color w:val="000000"/>
          <w:spacing w:val="-7"/>
          <w:kern w:val="0"/>
          <w:sz w:val="24"/>
          <w:szCs w:val="24"/>
          <w:highlight w:val="none"/>
          <w:lang w:val="en-US" w:eastAsia="zh-Hans"/>
        </w:rPr>
        <w:t>副食类</w:t>
      </w:r>
      <w:r>
        <w:rPr>
          <w:rFonts w:hint="eastAsia" w:ascii="宋体" w:hAnsi="宋体" w:eastAsia="宋体" w:cs="宋体"/>
          <w:b w:val="0"/>
          <w:bCs w:val="0"/>
          <w:snapToGrid w:val="0"/>
          <w:color w:val="000000"/>
          <w:spacing w:val="-7"/>
          <w:kern w:val="0"/>
          <w:sz w:val="24"/>
          <w:szCs w:val="24"/>
          <w:highlight w:val="none"/>
          <w:lang w:val="en-US" w:eastAsia="zh-CN"/>
        </w:rPr>
        <w:t>、佐料类</w:t>
      </w:r>
      <w:r>
        <w:rPr>
          <w:rFonts w:hint="eastAsia" w:ascii="宋体" w:hAnsi="宋体" w:eastAsia="宋体" w:cs="宋体"/>
          <w:color w:val="000000"/>
          <w:sz w:val="24"/>
          <w:szCs w:val="24"/>
          <w:lang w:val="en-US" w:eastAsia="en-US"/>
        </w:rPr>
        <w:t>等物资的采购及配送，</w:t>
      </w:r>
      <w:r>
        <w:rPr>
          <w:rFonts w:hint="eastAsia" w:ascii="宋体" w:hAnsi="宋体" w:eastAsia="宋体" w:cs="宋体"/>
          <w:b w:val="0"/>
          <w:bCs w:val="0"/>
          <w:snapToGrid w:val="0"/>
          <w:color w:val="000000"/>
          <w:spacing w:val="-7"/>
          <w:kern w:val="0"/>
          <w:sz w:val="24"/>
          <w:szCs w:val="24"/>
          <w:highlight w:val="none"/>
          <w:lang w:val="en-US" w:eastAsia="en-US"/>
        </w:rPr>
        <w:t>正常工作日人数约为161人。一般为工作日供货</w:t>
      </w:r>
      <w:r>
        <w:rPr>
          <w:rFonts w:hint="eastAsia" w:ascii="宋体" w:hAnsi="宋体" w:eastAsia="宋体" w:cs="宋体"/>
          <w:b w:val="0"/>
          <w:bCs w:val="0"/>
          <w:snapToGrid w:val="0"/>
          <w:color w:val="000000"/>
          <w:spacing w:val="-7"/>
          <w:kern w:val="0"/>
          <w:sz w:val="24"/>
          <w:szCs w:val="24"/>
          <w:highlight w:val="none"/>
          <w:lang w:val="en-US" w:eastAsia="zh-CN"/>
        </w:rPr>
        <w:t>；</w:t>
      </w:r>
      <w:r>
        <w:rPr>
          <w:rFonts w:hint="eastAsia" w:ascii="宋体" w:hAnsi="宋体" w:eastAsia="宋体" w:cs="宋体"/>
          <w:b w:val="0"/>
          <w:bCs w:val="0"/>
          <w:snapToGrid w:val="0"/>
          <w:color w:val="000000"/>
          <w:spacing w:val="-7"/>
          <w:kern w:val="0"/>
          <w:sz w:val="24"/>
          <w:szCs w:val="24"/>
          <w:highlight w:val="none"/>
          <w:lang w:val="en-US" w:eastAsia="en-US"/>
        </w:rPr>
        <w:t>节假日用餐人数及供货由</w:t>
      </w:r>
      <w:r>
        <w:rPr>
          <w:rFonts w:hint="eastAsia" w:ascii="宋体" w:hAnsi="宋体" w:eastAsia="宋体" w:cs="宋体"/>
          <w:b w:val="0"/>
          <w:bCs w:val="0"/>
          <w:snapToGrid w:val="0"/>
          <w:color w:val="000000"/>
          <w:spacing w:val="-7"/>
          <w:kern w:val="0"/>
          <w:sz w:val="24"/>
          <w:szCs w:val="24"/>
          <w:highlight w:val="none"/>
          <w:lang w:val="en-US" w:eastAsia="zh-CN"/>
        </w:rPr>
        <w:t>采购人</w:t>
      </w:r>
      <w:r>
        <w:rPr>
          <w:rFonts w:hint="eastAsia" w:ascii="宋体" w:hAnsi="宋体" w:eastAsia="宋体" w:cs="宋体"/>
          <w:b w:val="0"/>
          <w:bCs w:val="0"/>
          <w:snapToGrid w:val="0"/>
          <w:color w:val="000000"/>
          <w:spacing w:val="-7"/>
          <w:kern w:val="0"/>
          <w:sz w:val="24"/>
          <w:szCs w:val="24"/>
          <w:highlight w:val="none"/>
          <w:lang w:val="en-US" w:eastAsia="en-US"/>
        </w:rPr>
        <w:t>临时通知。</w:t>
      </w:r>
    </w:p>
    <w:p w14:paraId="75E3A7F6">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snapToGrid w:val="0"/>
          <w:color w:val="000000"/>
          <w:kern w:val="0"/>
          <w:sz w:val="21"/>
          <w:szCs w:val="21"/>
          <w:lang w:eastAsia="en-US"/>
        </w:rPr>
      </w:pPr>
      <w:r>
        <w:rPr>
          <w:rFonts w:hint="eastAsia" w:ascii="宋体" w:hAnsi="宋体" w:eastAsia="宋体" w:cs="宋体"/>
          <w:b/>
          <w:color w:val="000000"/>
          <w:sz w:val="24"/>
          <w:szCs w:val="24"/>
          <w:lang w:val="en-US" w:eastAsia="zh-CN"/>
        </w:rPr>
        <w:t>（二）</w:t>
      </w:r>
      <w:r>
        <w:rPr>
          <w:rFonts w:hint="eastAsia" w:ascii="宋体" w:hAnsi="宋体" w:eastAsia="宋体" w:cs="宋体"/>
          <w:b/>
          <w:color w:val="000000"/>
          <w:sz w:val="24"/>
          <w:szCs w:val="24"/>
          <w:lang w:val="en-US" w:eastAsia="zh-Hans"/>
        </w:rPr>
        <w:t>采买内容及要求：</w:t>
      </w:r>
    </w:p>
    <w:p w14:paraId="0A4ED6E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color w:val="000000"/>
          <w:sz w:val="24"/>
          <w:szCs w:val="24"/>
          <w:lang w:val="en-US" w:eastAsia="zh-Hans"/>
        </w:rPr>
      </w:pPr>
      <w:r>
        <w:rPr>
          <w:rFonts w:hint="eastAsia" w:ascii="宋体" w:hAnsi="宋体" w:eastAsia="宋体" w:cs="宋体"/>
          <w:b/>
          <w:color w:val="000000"/>
          <w:sz w:val="24"/>
          <w:szCs w:val="24"/>
          <w:lang w:val="en-US" w:eastAsia="zh-CN"/>
        </w:rPr>
        <w:t>1</w:t>
      </w:r>
      <w:r>
        <w:rPr>
          <w:rFonts w:hint="eastAsia" w:ascii="宋体" w:hAnsi="宋体" w:eastAsia="宋体" w:cs="宋体"/>
          <w:b/>
          <w:color w:val="000000"/>
          <w:sz w:val="24"/>
          <w:szCs w:val="24"/>
          <w:lang w:val="en-US" w:eastAsia="zh-Hans"/>
        </w:rPr>
        <w:t>、采买内容及要求</w:t>
      </w:r>
    </w:p>
    <w:p w14:paraId="4B49DBC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b/>
          <w:bCs/>
          <w:color w:val="000000"/>
          <w:sz w:val="24"/>
          <w:szCs w:val="24"/>
          <w:lang w:val="en-US" w:eastAsia="zh-Hans"/>
        </w:rPr>
        <w:t>大米：</w:t>
      </w:r>
      <w:r>
        <w:rPr>
          <w:rFonts w:hint="eastAsia" w:ascii="宋体" w:hAnsi="宋体" w:eastAsia="宋体" w:cs="宋体"/>
          <w:color w:val="000000"/>
          <w:sz w:val="24"/>
          <w:szCs w:val="24"/>
          <w:lang w:val="en-US" w:eastAsia="zh-Hans"/>
        </w:rPr>
        <w:t>必须符合GB/T1354-2018</w:t>
      </w:r>
      <w:r>
        <w:rPr>
          <w:rFonts w:ascii="宋体" w:hAnsi="宋体" w:eastAsia="宋体" w:cs="宋体"/>
          <w:sz w:val="24"/>
          <w:szCs w:val="24"/>
        </w:rPr>
        <w:t>大米质量标准</w:t>
      </w:r>
      <w:r>
        <w:rPr>
          <w:rFonts w:hint="eastAsia" w:ascii="宋体" w:hAnsi="宋体" w:eastAsia="宋体" w:cs="宋体"/>
          <w:color w:val="000000"/>
          <w:sz w:val="24"/>
          <w:szCs w:val="24"/>
          <w:lang w:val="en-US" w:eastAsia="zh-Hans"/>
        </w:rPr>
        <w:t>，必须符合GB2715-2016</w:t>
      </w:r>
      <w:r>
        <w:rPr>
          <w:rFonts w:ascii="宋体" w:hAnsi="宋体" w:eastAsia="宋体" w:cs="宋体"/>
          <w:sz w:val="24"/>
          <w:szCs w:val="24"/>
        </w:rPr>
        <w:t>粮食食品安全标准</w:t>
      </w:r>
      <w:r>
        <w:rPr>
          <w:rFonts w:hint="eastAsia" w:ascii="宋体" w:hAnsi="宋体" w:eastAsia="宋体" w:cs="宋体"/>
          <w:color w:val="000000"/>
          <w:sz w:val="24"/>
          <w:szCs w:val="24"/>
          <w:lang w:val="en-US" w:eastAsia="zh-Hans"/>
        </w:rPr>
        <w:t>，</w:t>
      </w:r>
      <w:r>
        <w:rPr>
          <w:rFonts w:hint="eastAsia" w:ascii="宋体" w:hAnsi="宋体" w:eastAsia="宋体" w:cs="宋体"/>
          <w:color w:val="000000"/>
          <w:sz w:val="24"/>
          <w:szCs w:val="24"/>
          <w:lang w:val="en-US" w:eastAsia="zh-CN"/>
        </w:rPr>
        <w:t>具备</w:t>
      </w:r>
      <w:r>
        <w:rPr>
          <w:rFonts w:hint="eastAsia" w:ascii="宋体" w:hAnsi="宋体" w:eastAsia="宋体" w:cs="宋体"/>
          <w:color w:val="000000"/>
          <w:sz w:val="24"/>
          <w:szCs w:val="24"/>
          <w:lang w:val="en-US" w:eastAsia="zh-Hans"/>
        </w:rPr>
        <w:t>“SC”食品生产许可证，无掺杂、无沙石，碎米少，无黄粒米；</w:t>
      </w:r>
      <w:r>
        <w:rPr>
          <w:rFonts w:hint="eastAsia" w:ascii="宋体" w:hAnsi="宋体" w:eastAsia="宋体" w:cs="宋体"/>
          <w:color w:val="000000"/>
          <w:sz w:val="24"/>
          <w:szCs w:val="24"/>
          <w:lang w:val="en-US" w:eastAsia="zh-CN"/>
        </w:rPr>
        <w:t>等级为</w:t>
      </w:r>
      <w:r>
        <w:rPr>
          <w:rFonts w:hint="eastAsia" w:ascii="宋体" w:hAnsi="宋体" w:eastAsia="宋体" w:cs="宋体"/>
          <w:color w:val="000000"/>
          <w:sz w:val="24"/>
          <w:szCs w:val="24"/>
          <w:lang w:val="en-US" w:eastAsia="zh-Hans"/>
        </w:rPr>
        <w:t>二级及以上精米；</w:t>
      </w:r>
    </w:p>
    <w:p w14:paraId="7570838E">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b/>
          <w:color w:val="000000"/>
          <w:sz w:val="24"/>
          <w:szCs w:val="24"/>
          <w:lang w:val="en-US" w:eastAsia="zh-Hans"/>
        </w:rPr>
        <w:t>食用油：</w:t>
      </w:r>
      <w:r>
        <w:rPr>
          <w:rFonts w:hint="eastAsia" w:ascii="宋体" w:hAnsi="宋体" w:eastAsia="宋体" w:cs="宋体"/>
          <w:color w:val="000000"/>
          <w:sz w:val="24"/>
          <w:szCs w:val="24"/>
          <w:lang w:val="en-US" w:eastAsia="zh-Hans"/>
        </w:rPr>
        <w:t>须符合GB/T1536-2021菜籽油标准或GB/T1535-2017大豆油标准，具备</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eastAsia="zh-Hans"/>
        </w:rPr>
        <w:t>SC</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eastAsia="zh-Hans"/>
        </w:rPr>
        <w:t>食品生产许可证，质量等级一级；随货附带产品质量检验合格报告，色泽、透明度、气味、滋味均无异常，均为定型包装。</w:t>
      </w:r>
    </w:p>
    <w:p w14:paraId="7BB933BC">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highlight w:val="none"/>
          <w:lang w:val="en-US" w:eastAsia="zh-Hans"/>
        </w:rPr>
      </w:pPr>
      <w:r>
        <w:rPr>
          <w:rFonts w:hint="eastAsia" w:ascii="宋体" w:hAnsi="宋体" w:eastAsia="宋体" w:cs="宋体"/>
          <w:b/>
          <w:bCs/>
          <w:color w:val="000000"/>
          <w:sz w:val="24"/>
          <w:szCs w:val="24"/>
          <w:highlight w:val="none"/>
          <w:lang w:val="en-US" w:eastAsia="zh-Hans"/>
        </w:rPr>
        <w:t>面粉：</w:t>
      </w:r>
      <w:r>
        <w:rPr>
          <w:rFonts w:hint="eastAsia" w:ascii="宋体" w:hAnsi="宋体" w:eastAsia="宋体" w:cs="宋体"/>
          <w:color w:val="000000"/>
          <w:sz w:val="24"/>
          <w:szCs w:val="24"/>
          <w:highlight w:val="none"/>
          <w:lang w:val="en-US" w:eastAsia="zh-Hans"/>
        </w:rPr>
        <w:t>高筋面粉必须符合GB/T8607-2024国家标准，小麦粉必须符合GB/T1355-2021国家标准，低筋面粉必须符合GB/T860</w:t>
      </w: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lang w:val="en-US" w:eastAsia="zh-Hans"/>
        </w:rPr>
        <w:t>-2024标准；色泽正常，质地干爽、无异味</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Hans"/>
        </w:rPr>
        <w:t>包装袋上有注册商标</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000000"/>
          <w:sz w:val="24"/>
          <w:szCs w:val="24"/>
          <w:highlight w:val="none"/>
          <w:lang w:val="en-US" w:eastAsia="zh-Hans"/>
        </w:rPr>
        <w:t>SC食品生产许可标识，有检验合格证、清晰标明生产日期和保质期；</w:t>
      </w:r>
    </w:p>
    <w:p w14:paraId="1E4AFD7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b/>
          <w:bCs/>
          <w:color w:val="000000"/>
          <w:sz w:val="24"/>
          <w:szCs w:val="24"/>
          <w:lang w:val="en-US" w:eastAsia="zh-Hans"/>
        </w:rPr>
        <w:t>蔬菜类：</w:t>
      </w:r>
      <w:r>
        <w:rPr>
          <w:rFonts w:hint="eastAsia" w:ascii="宋体" w:hAnsi="宋体" w:eastAsia="宋体" w:cs="宋体"/>
          <w:color w:val="000000"/>
          <w:sz w:val="24"/>
          <w:szCs w:val="24"/>
          <w:lang w:val="en-US" w:eastAsia="zh-Hans"/>
        </w:rPr>
        <w:t>必须符合GB2763-2026食品中农药最大残留限量标准并具有农药残留检验记录，供应当季各类新鲜蔬菜以及合规大棚种植蔬菜，蔬菜类必须保证无黄叶、枯死叶、无虫、无杂质，原菜须保证菜面干净、无明显泥土、码放整齐、品相完好无破损、大小均匀、成熟度适中</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eastAsia="zh-Hans"/>
        </w:rPr>
        <w:t>净菜须保证菜面完全干净、无泥土、按统一标准加工、码放整齐、无需二次处理可以直接进行烹饪加工；</w:t>
      </w:r>
    </w:p>
    <w:p w14:paraId="3E0D89B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bCs/>
          <w:color w:val="000000"/>
          <w:sz w:val="24"/>
          <w:szCs w:val="24"/>
          <w:lang w:val="en-US" w:eastAsia="zh-Hans"/>
        </w:rPr>
      </w:pPr>
      <w:r>
        <w:rPr>
          <w:rFonts w:hint="eastAsia" w:ascii="宋体" w:hAnsi="宋体" w:eastAsia="宋体" w:cs="宋体"/>
          <w:b/>
          <w:bCs/>
          <w:color w:val="000000"/>
          <w:sz w:val="24"/>
          <w:szCs w:val="24"/>
          <w:lang w:val="en-US" w:eastAsia="zh-Hans"/>
        </w:rPr>
        <w:t>肉类</w:t>
      </w:r>
      <w:r>
        <w:rPr>
          <w:rFonts w:hint="eastAsia" w:ascii="宋体" w:hAnsi="宋体" w:eastAsia="宋体" w:cs="宋体"/>
          <w:b/>
          <w:bCs/>
          <w:color w:val="000000"/>
          <w:sz w:val="24"/>
          <w:szCs w:val="24"/>
          <w:lang w:val="en-US" w:eastAsia="zh-CN"/>
        </w:rPr>
        <w:t>、家禽类</w:t>
      </w:r>
      <w:r>
        <w:rPr>
          <w:rFonts w:hint="eastAsia" w:ascii="宋体" w:hAnsi="宋体" w:eastAsia="宋体" w:cs="宋体"/>
          <w:b/>
          <w:bCs/>
          <w:color w:val="000000"/>
          <w:sz w:val="24"/>
          <w:szCs w:val="24"/>
          <w:lang w:val="en-US" w:eastAsia="zh-Hans"/>
        </w:rPr>
        <w:t>：</w:t>
      </w:r>
      <w:r>
        <w:rPr>
          <w:rFonts w:hint="eastAsia" w:ascii="宋体" w:hAnsi="宋体" w:eastAsia="宋体" w:cs="宋体"/>
          <w:color w:val="000000"/>
          <w:sz w:val="24"/>
          <w:szCs w:val="24"/>
          <w:lang w:val="en-US" w:eastAsia="zh-Hans"/>
        </w:rPr>
        <w:t>应具有相关的动物防疫条件合格证明，供应商应设有固定的经营场所，并具有符合农业农村主管部门要求的肉类食材屠宰厂的经营授权书，含水(冰)率符合标准，肉品须表皮洁净、膘厚适中、色泽鲜亮、纹理清晰、肉质细腻、无异味、去骨、无毛、按压无水迹，冻品外包装需完整，无破损，无不封口现象，有生产日期。冻品在解冻后，发现质量问题需无条件退货</w:t>
      </w:r>
      <w:r>
        <w:rPr>
          <w:rFonts w:hint="eastAsia" w:ascii="宋体" w:hAnsi="宋体" w:eastAsia="宋体" w:cs="宋体"/>
          <w:b/>
          <w:bCs/>
          <w:color w:val="000000"/>
          <w:sz w:val="24"/>
          <w:szCs w:val="24"/>
          <w:lang w:val="en-US" w:eastAsia="zh-Hans"/>
        </w:rPr>
        <w:t>。</w:t>
      </w:r>
      <w:r>
        <w:rPr>
          <w:rFonts w:hint="eastAsia" w:ascii="宋体" w:hAnsi="宋体" w:eastAsia="宋体" w:cs="宋体"/>
          <w:b w:val="0"/>
          <w:bCs w:val="0"/>
          <w:color w:val="000000"/>
          <w:sz w:val="24"/>
          <w:szCs w:val="24"/>
          <w:lang w:val="en-US" w:eastAsia="zh-Hans"/>
        </w:rPr>
        <w:t>符合国家绿色批发市场标准，应具备满足交易需要的冷冻贮藏设施；</w:t>
      </w:r>
    </w:p>
    <w:p w14:paraId="79CA54C5">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val="0"/>
          <w:bCs w:val="0"/>
          <w:color w:val="000000"/>
          <w:sz w:val="24"/>
          <w:szCs w:val="24"/>
          <w:lang w:val="en-US" w:eastAsia="zh-Hans"/>
        </w:rPr>
      </w:pPr>
      <w:r>
        <w:rPr>
          <w:rFonts w:hint="eastAsia" w:ascii="宋体" w:hAnsi="宋体" w:eastAsia="宋体" w:cs="宋体"/>
          <w:b/>
          <w:bCs/>
          <w:color w:val="000000"/>
          <w:sz w:val="24"/>
          <w:szCs w:val="24"/>
          <w:lang w:val="en-US" w:eastAsia="zh-Hans"/>
        </w:rPr>
        <w:t>蛋类：</w:t>
      </w:r>
      <w:r>
        <w:rPr>
          <w:rFonts w:hint="eastAsia" w:ascii="宋体" w:hAnsi="宋体" w:eastAsia="宋体" w:cs="宋体"/>
          <w:b w:val="0"/>
          <w:bCs w:val="0"/>
          <w:color w:val="000000"/>
          <w:sz w:val="24"/>
          <w:szCs w:val="24"/>
          <w:lang w:val="en-US" w:eastAsia="zh-Hans"/>
        </w:rPr>
        <w:t>新鲜饱满、大小均匀、蛋壳光滑完整无破损，须出具加盖动物卫生监督机构检疫专用章的动物检疫合格证明；</w:t>
      </w:r>
    </w:p>
    <w:p w14:paraId="19396C3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color w:val="000000"/>
          <w:sz w:val="24"/>
          <w:szCs w:val="24"/>
          <w:lang w:val="en-US" w:eastAsia="zh-Hans"/>
        </w:rPr>
      </w:pPr>
      <w:r>
        <w:rPr>
          <w:rFonts w:hint="eastAsia" w:ascii="宋体" w:hAnsi="宋体" w:eastAsia="宋体" w:cs="宋体"/>
          <w:b/>
          <w:bCs/>
          <w:color w:val="000000"/>
          <w:sz w:val="24"/>
          <w:szCs w:val="24"/>
          <w:lang w:val="en-US" w:eastAsia="zh-Hans"/>
        </w:rPr>
        <w:t>豆制品</w:t>
      </w:r>
      <w:r>
        <w:rPr>
          <w:rFonts w:hint="eastAsia" w:ascii="宋体" w:hAnsi="宋体" w:eastAsia="宋体" w:cs="宋体"/>
          <w:b w:val="0"/>
          <w:bCs w:val="0"/>
          <w:color w:val="000000"/>
          <w:sz w:val="24"/>
          <w:szCs w:val="24"/>
          <w:lang w:val="en-US" w:eastAsia="zh-Hans"/>
        </w:rPr>
        <w:t>：</w:t>
      </w:r>
      <w:r>
        <w:rPr>
          <w:rFonts w:hint="eastAsia" w:ascii="宋体" w:hAnsi="宋体" w:eastAsia="宋体" w:cs="宋体"/>
          <w:color w:val="000000"/>
          <w:sz w:val="24"/>
          <w:szCs w:val="24"/>
          <w:lang w:val="en-US" w:eastAsia="zh-Hans"/>
        </w:rPr>
        <w:t>豆制品须保证食材干净、不含非食品用化学物质、按统一标准加工、码放整齐、无须二次处理可以直接进行熟加工，货品送达采购人指定地点时，剩余保质期不得少于产品总保质期的三分之二；</w:t>
      </w:r>
    </w:p>
    <w:p w14:paraId="4A1AF823">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sz w:val="24"/>
          <w:szCs w:val="24"/>
          <w:lang w:val="en-US" w:eastAsia="zh-Hans"/>
        </w:rPr>
      </w:pPr>
      <w:r>
        <w:rPr>
          <w:rFonts w:hint="eastAsia" w:ascii="宋体" w:hAnsi="宋体" w:eastAsia="宋体" w:cs="宋体"/>
          <w:b/>
          <w:color w:val="000000"/>
          <w:sz w:val="24"/>
          <w:szCs w:val="24"/>
          <w:lang w:val="en-US" w:eastAsia="zh-Hans"/>
        </w:rPr>
        <w:t>水产品：</w:t>
      </w:r>
      <w:r>
        <w:rPr>
          <w:rFonts w:hint="eastAsia" w:ascii="宋体" w:hAnsi="宋体" w:eastAsia="宋体" w:cs="宋体"/>
          <w:color w:val="000000"/>
          <w:sz w:val="24"/>
          <w:szCs w:val="24"/>
          <w:lang w:val="en-US" w:eastAsia="zh-Hans"/>
        </w:rPr>
        <w:t>鱼类要求体表光滑无病灶，有鲜鱼鳞片完整，无鳞鱼无浑浊粘液，肉质干燥，紧密，呈白色或淡黄色眼球外突饱满透明，鳃丝清晰鲜红或暗红，保持活体状态固有本色，无异味，鱼类肌肉紧密有弹性，内脏清晰可辨无腐烂；</w:t>
      </w:r>
    </w:p>
    <w:p w14:paraId="41589E80">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sz w:val="24"/>
          <w:szCs w:val="24"/>
          <w:lang w:val="en-US" w:eastAsia="zh-Hans"/>
        </w:rPr>
      </w:pPr>
      <w:r>
        <w:rPr>
          <w:rFonts w:hint="eastAsia" w:ascii="宋体" w:hAnsi="宋体" w:eastAsia="宋体" w:cs="宋体"/>
          <w:b/>
          <w:color w:val="000000"/>
          <w:sz w:val="24"/>
          <w:szCs w:val="24"/>
          <w:lang w:val="en-US" w:eastAsia="zh-Hans"/>
        </w:rPr>
        <w:t>水果：</w:t>
      </w:r>
      <w:r>
        <w:rPr>
          <w:rFonts w:hint="eastAsia" w:ascii="宋体" w:hAnsi="宋体" w:eastAsia="宋体" w:cs="宋体"/>
          <w:color w:val="000000"/>
          <w:sz w:val="24"/>
          <w:szCs w:val="24"/>
          <w:lang w:val="en-US" w:eastAsia="zh-Hans"/>
        </w:rPr>
        <w:t>时令各类水果，无虫、无杂质，原水果须保证果面干净、无明显泥土、码放整齐、无破损、大小基本统一、不得过熟或欠熟；</w:t>
      </w:r>
    </w:p>
    <w:p w14:paraId="5DEC7187">
      <w:pPr>
        <w:keepNext w:val="0"/>
        <w:keepLines w:val="0"/>
        <w:pageBreakBefore w:val="0"/>
        <w:widowControl w:val="0"/>
        <w:kinsoku/>
        <w:wordWrap w:val="0"/>
        <w:overflowPunct/>
        <w:topLinePunct w:val="0"/>
        <w:autoSpaceDE/>
        <w:autoSpaceDN/>
        <w:bidi w:val="0"/>
        <w:adjustRightInd/>
        <w:snapToGrid w:val="0"/>
        <w:spacing w:line="360" w:lineRule="auto"/>
        <w:ind w:firstLine="422"/>
        <w:jc w:val="both"/>
        <w:textAlignment w:val="auto"/>
        <w:rPr>
          <w:rFonts w:hint="eastAsia" w:ascii="宋体" w:hAnsi="宋体" w:eastAsia="宋体" w:cs="宋体"/>
          <w:b/>
          <w:color w:val="000000"/>
          <w:sz w:val="24"/>
          <w:szCs w:val="24"/>
          <w:lang w:val="en-US" w:eastAsia="zh-CN"/>
        </w:rPr>
      </w:pPr>
      <w:r>
        <w:rPr>
          <w:rFonts w:hint="eastAsia" w:ascii="宋体" w:hAnsi="宋体" w:eastAsia="宋体" w:cs="宋体"/>
          <w:b/>
          <w:color w:val="000000"/>
          <w:sz w:val="24"/>
          <w:szCs w:val="24"/>
          <w:lang w:val="en-US" w:eastAsia="zh-Hans"/>
        </w:rPr>
        <w:t>副食类：</w:t>
      </w:r>
      <w:r>
        <w:rPr>
          <w:rFonts w:hint="eastAsia" w:ascii="宋体" w:hAnsi="宋体" w:eastAsia="宋体" w:cs="宋体"/>
          <w:b w:val="0"/>
          <w:bCs/>
          <w:color w:val="000000"/>
          <w:sz w:val="24"/>
          <w:szCs w:val="24"/>
          <w:lang w:val="en-US" w:eastAsia="zh-Hans"/>
        </w:rPr>
        <w:t>包括食糖、蜜制品、饮料、饼干、糕点</w:t>
      </w:r>
      <w:r>
        <w:rPr>
          <w:rFonts w:hint="eastAsia" w:ascii="宋体" w:hAnsi="宋体" w:eastAsia="宋体" w:cs="宋体"/>
          <w:b w:val="0"/>
          <w:bCs/>
          <w:color w:val="000000"/>
          <w:sz w:val="24"/>
          <w:szCs w:val="24"/>
          <w:lang w:val="en-US" w:eastAsia="zh-CN"/>
        </w:rPr>
        <w:t>、</w:t>
      </w:r>
      <w:r>
        <w:rPr>
          <w:rFonts w:hint="eastAsia" w:ascii="宋体" w:hAnsi="宋体" w:eastAsia="宋体" w:cs="宋体"/>
          <w:b w:val="0"/>
          <w:bCs/>
          <w:color w:val="000000"/>
          <w:sz w:val="24"/>
          <w:szCs w:val="24"/>
          <w:lang w:val="en-US" w:eastAsia="zh-Hans"/>
        </w:rPr>
        <w:t>糖果、罐头、茶叶、乳制品、小食品等其他经过加工的食品</w:t>
      </w:r>
      <w:r>
        <w:rPr>
          <w:rFonts w:hint="eastAsia" w:ascii="宋体" w:hAnsi="宋体" w:eastAsia="宋体" w:cs="宋体"/>
          <w:b w:val="0"/>
          <w:bCs/>
          <w:color w:val="000000"/>
          <w:sz w:val="24"/>
          <w:szCs w:val="24"/>
          <w:lang w:val="en-US" w:eastAsia="zh-CN"/>
        </w:rPr>
        <w:t>。</w:t>
      </w:r>
    </w:p>
    <w:p w14:paraId="3C7E8C64">
      <w:pPr>
        <w:keepNext w:val="0"/>
        <w:keepLines w:val="0"/>
        <w:pageBreakBefore w:val="0"/>
        <w:widowControl w:val="0"/>
        <w:kinsoku/>
        <w:wordWrap w:val="0"/>
        <w:overflowPunct/>
        <w:topLinePunct w:val="0"/>
        <w:autoSpaceDE/>
        <w:autoSpaceDN/>
        <w:bidi w:val="0"/>
        <w:adjustRightInd/>
        <w:snapToGrid w:val="0"/>
        <w:spacing w:line="360" w:lineRule="auto"/>
        <w:ind w:firstLine="482" w:firstLineChars="200"/>
        <w:jc w:val="both"/>
        <w:textAlignment w:val="auto"/>
        <w:rPr>
          <w:rFonts w:hint="default" w:ascii="Segoe UI" w:hAnsi="Segoe UI" w:eastAsia="Segoe UI" w:cs="Segoe UI"/>
          <w:i w:val="0"/>
          <w:iCs w:val="0"/>
          <w:caps w:val="0"/>
          <w:color w:val="0D0D0D"/>
          <w:spacing w:val="0"/>
          <w:sz w:val="24"/>
          <w:szCs w:val="24"/>
        </w:rPr>
      </w:pPr>
      <w:r>
        <w:rPr>
          <w:rFonts w:hint="eastAsia" w:ascii="宋体" w:hAnsi="宋体" w:eastAsia="宋体" w:cs="宋体"/>
          <w:b/>
          <w:color w:val="000000"/>
          <w:sz w:val="24"/>
          <w:szCs w:val="24"/>
          <w:lang w:val="en-US" w:eastAsia="zh-Hans"/>
        </w:rPr>
        <w:t>佐料类</w:t>
      </w:r>
      <w:r>
        <w:rPr>
          <w:rFonts w:hint="eastAsia" w:ascii="宋体" w:hAnsi="宋体" w:eastAsia="宋体" w:cs="宋体"/>
          <w:b/>
          <w:color w:val="000000"/>
          <w:sz w:val="24"/>
          <w:szCs w:val="24"/>
          <w:lang w:val="en-US" w:eastAsia="zh-CN"/>
        </w:rPr>
        <w:t>：</w:t>
      </w:r>
      <w:r>
        <w:rPr>
          <w:rFonts w:hint="eastAsia" w:ascii="宋体" w:hAnsi="宋体" w:eastAsia="宋体" w:cs="宋体"/>
          <w:b w:val="0"/>
          <w:bCs/>
          <w:color w:val="000000"/>
          <w:sz w:val="24"/>
          <w:szCs w:val="24"/>
          <w:lang w:val="en-US" w:eastAsia="zh-CN"/>
        </w:rPr>
        <w:t>品质好，无霉变、无杂质，定型包装调味品，色泽正常，具有该品种固有的香味，滋味无异味，油酱均匀的酱体或无结块的粉状固体，封口平整，外包装无污物、无泄漏，无胀袋或无瓶盖凸起现象；</w:t>
      </w:r>
      <w:r>
        <w:rPr>
          <w:rFonts w:hint="eastAsia" w:ascii="宋体" w:hAnsi="宋体" w:eastAsia="宋体" w:cs="宋体"/>
          <w:b w:val="0"/>
          <w:bCs/>
          <w:color w:val="000000"/>
          <w:sz w:val="24"/>
          <w:szCs w:val="24"/>
          <w:lang w:val="en-US" w:eastAsia="zh-Hans"/>
        </w:rPr>
        <w:t>须为正规厂家生产，具有</w:t>
      </w:r>
      <w:r>
        <w:rPr>
          <w:rFonts w:hint="eastAsia" w:ascii="宋体" w:hAnsi="宋体" w:eastAsia="宋体" w:cs="宋体"/>
          <w:color w:val="000000"/>
          <w:sz w:val="24"/>
          <w:szCs w:val="24"/>
          <w:lang w:val="en-US" w:eastAsia="zh-CN"/>
        </w:rPr>
        <w:t>“</w:t>
      </w:r>
      <w:r>
        <w:rPr>
          <w:rFonts w:hint="eastAsia" w:ascii="宋体" w:hAnsi="宋体" w:eastAsia="宋体" w:cs="宋体"/>
          <w:color w:val="000000"/>
          <w:sz w:val="24"/>
          <w:szCs w:val="24"/>
          <w:lang w:val="en-US" w:eastAsia="zh-Hans"/>
        </w:rPr>
        <w:t>SC</w:t>
      </w:r>
      <w:r>
        <w:rPr>
          <w:rFonts w:hint="eastAsia" w:ascii="宋体" w:hAnsi="宋体" w:eastAsia="宋体" w:cs="宋体"/>
          <w:color w:val="000000"/>
          <w:sz w:val="24"/>
          <w:szCs w:val="24"/>
          <w:lang w:val="en-US" w:eastAsia="zh-CN"/>
        </w:rPr>
        <w:t>”</w:t>
      </w:r>
      <w:r>
        <w:rPr>
          <w:rFonts w:hint="eastAsia" w:ascii="宋体" w:hAnsi="宋体" w:eastAsia="宋体" w:cs="宋体"/>
          <w:b w:val="0"/>
          <w:bCs/>
          <w:color w:val="000000"/>
          <w:sz w:val="24"/>
          <w:szCs w:val="24"/>
          <w:lang w:val="en-US" w:eastAsia="zh-Hans"/>
        </w:rPr>
        <w:t>食品生产许可标志，生产日期清晰，</w:t>
      </w:r>
      <w:r>
        <w:rPr>
          <w:rFonts w:hint="default" w:ascii="宋体" w:hAnsi="宋体" w:eastAsia="宋体" w:cs="宋体"/>
          <w:b w:val="0"/>
          <w:bCs/>
          <w:color w:val="000000"/>
          <w:sz w:val="24"/>
          <w:szCs w:val="24"/>
          <w:lang w:val="en-US" w:eastAsia="zh-Hans"/>
        </w:rPr>
        <w:t>货品送达采购人指定地点时，剩余保质期不得少于产品总保质期的三分之二。</w:t>
      </w:r>
    </w:p>
    <w:p w14:paraId="068DB6F5">
      <w:pPr>
        <w:keepNext w:val="0"/>
        <w:keepLines w:val="0"/>
        <w:pageBreakBefore w:val="0"/>
        <w:widowControl w:val="0"/>
        <w:kinsoku/>
        <w:wordWrap w:val="0"/>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b/>
          <w:bCs w:val="0"/>
          <w:color w:val="000000"/>
          <w:sz w:val="24"/>
          <w:szCs w:val="24"/>
          <w:lang w:val="en-US" w:eastAsia="en-US"/>
        </w:rPr>
      </w:pPr>
      <w:r>
        <w:rPr>
          <w:rFonts w:hint="eastAsia" w:ascii="宋体" w:hAnsi="宋体" w:eastAsia="宋体" w:cs="宋体"/>
          <w:b/>
          <w:bCs w:val="0"/>
          <w:color w:val="000000"/>
          <w:sz w:val="24"/>
          <w:szCs w:val="24"/>
          <w:lang w:val="en-US" w:eastAsia="zh-Hans"/>
        </w:rPr>
        <w:t>注：</w:t>
      </w:r>
      <w:r>
        <w:rPr>
          <w:rFonts w:hint="eastAsia" w:ascii="宋体" w:hAnsi="宋体" w:eastAsia="宋体" w:cs="宋体"/>
          <w:b/>
          <w:bCs w:val="0"/>
          <w:color w:val="000000"/>
          <w:sz w:val="24"/>
          <w:szCs w:val="24"/>
          <w:lang w:val="en-US" w:eastAsia="zh-CN"/>
        </w:rPr>
        <w:t>1.</w:t>
      </w:r>
      <w:r>
        <w:rPr>
          <w:rFonts w:hint="eastAsia" w:ascii="宋体" w:hAnsi="宋体" w:eastAsia="宋体" w:cs="宋体"/>
          <w:b/>
          <w:bCs w:val="0"/>
          <w:color w:val="000000"/>
          <w:sz w:val="24"/>
          <w:szCs w:val="24"/>
          <w:lang w:val="en-US" w:eastAsia="zh-Hans"/>
        </w:rPr>
        <w:t>凡涉及国家或行业相关标准的以最新标准为准，所有食材均须符合《中华人民共和国食品安全法》、《中华人民共和国动物防疫法》、《食品安全国家标准 食品添加剂使用标准》（GB 2760-2024）及其他食品安全相关法律法规、规范文件要求。</w:t>
      </w:r>
    </w:p>
    <w:p w14:paraId="1B94FBC5">
      <w:pPr>
        <w:keepNext w:val="0"/>
        <w:keepLines w:val="0"/>
        <w:pageBreakBefore w:val="0"/>
        <w:widowControl w:val="0"/>
        <w:kinsoku/>
        <w:wordWrap w:val="0"/>
        <w:overflowPunct/>
        <w:topLinePunct w:val="0"/>
        <w:autoSpaceDE/>
        <w:autoSpaceDN/>
        <w:bidi w:val="0"/>
        <w:adjustRightInd/>
        <w:snapToGrid w:val="0"/>
        <w:spacing w:line="360" w:lineRule="auto"/>
        <w:ind w:firstLine="482" w:firstLineChars="200"/>
        <w:jc w:val="both"/>
        <w:textAlignment w:val="auto"/>
        <w:rPr>
          <w:rFonts w:hint="eastAsia" w:ascii="宋体" w:hAnsi="宋体" w:eastAsia="宋体" w:cs="宋体"/>
          <w:b/>
          <w:bCs w:val="0"/>
          <w:color w:val="000000"/>
          <w:sz w:val="24"/>
          <w:szCs w:val="24"/>
          <w:lang w:val="zh-TW" w:eastAsia="zh-CN"/>
        </w:rPr>
      </w:pPr>
      <w:r>
        <w:rPr>
          <w:rFonts w:hint="eastAsia" w:ascii="宋体" w:hAnsi="宋体" w:eastAsia="宋体" w:cs="宋体"/>
          <w:b/>
          <w:bCs w:val="0"/>
          <w:color w:val="000000"/>
          <w:sz w:val="24"/>
          <w:szCs w:val="24"/>
          <w:lang w:val="en-US" w:eastAsia="zh-CN"/>
        </w:rPr>
        <w:t>2.</w:t>
      </w:r>
      <w:r>
        <w:rPr>
          <w:rFonts w:hint="eastAsia" w:ascii="宋体" w:hAnsi="宋体" w:eastAsia="宋体" w:cs="宋体"/>
          <w:b/>
          <w:bCs w:val="0"/>
          <w:color w:val="000000"/>
          <w:sz w:val="24"/>
          <w:szCs w:val="24"/>
          <w:lang w:val="zh-TW" w:eastAsia="zh-CN"/>
        </w:rPr>
        <w:t>采购人具体采购品种包含但不限于以上品种。若采购清单上有部分货物因为季节或其他特殊原因无法提供，经采购人同意后方可调换其他品种。结算也以实际供货验收单为准。</w:t>
      </w:r>
    </w:p>
    <w:p w14:paraId="4BB09BA3">
      <w:pPr>
        <w:keepNext w:val="0"/>
        <w:keepLines w:val="0"/>
        <w:pageBreakBefore w:val="0"/>
        <w:numPr>
          <w:ilvl w:val="0"/>
          <w:numId w:val="0"/>
        </w:numPr>
        <w:kinsoku/>
        <w:wordWrap/>
        <w:overflowPunct/>
        <w:topLinePunct w:val="0"/>
        <w:autoSpaceDE/>
        <w:autoSpaceDN/>
        <w:bidi w:val="0"/>
        <w:adjustRightInd/>
        <w:snapToGrid/>
        <w:spacing w:before="0" w:beforeLines="0" w:after="0" w:afterLines="0" w:line="360" w:lineRule="auto"/>
        <w:ind w:firstLine="482" w:firstLineChars="200"/>
        <w:textAlignment w:val="auto"/>
        <w:outlineLvl w:val="2"/>
        <w:rPr>
          <w:rFonts w:hint="eastAsia" w:ascii="宋体" w:hAnsi="宋体" w:eastAsia="宋体" w:cs="Times New Roman"/>
          <w:b/>
          <w:bCs/>
          <w:color w:val="auto"/>
          <w:sz w:val="24"/>
          <w:szCs w:val="24"/>
          <w:lang w:val="en-US" w:eastAsia="zh-CN" w:bidi="ar-SA"/>
        </w:rPr>
      </w:pPr>
      <w:r>
        <w:rPr>
          <w:rFonts w:hint="eastAsia" w:ascii="宋体" w:hAnsi="宋体" w:eastAsia="宋体" w:cs="Times New Roman"/>
          <w:b/>
          <w:bCs/>
          <w:color w:val="auto"/>
          <w:sz w:val="24"/>
          <w:szCs w:val="24"/>
          <w:lang w:val="en-US" w:eastAsia="zh-CN" w:bidi="ar-SA"/>
        </w:rPr>
        <w:t>（三）配送要求：</w:t>
      </w:r>
    </w:p>
    <w:p w14:paraId="5DB8D1AB">
      <w:pPr>
        <w:keepNext w:val="0"/>
        <w:keepLines w:val="0"/>
        <w:pageBreakBefore w:val="0"/>
        <w:numPr>
          <w:ilvl w:val="0"/>
          <w:numId w:val="0"/>
        </w:numPr>
        <w:kinsoku/>
        <w:wordWrap/>
        <w:overflowPunct/>
        <w:topLinePunct w:val="0"/>
        <w:autoSpaceDE/>
        <w:autoSpaceDN/>
        <w:bidi w:val="0"/>
        <w:adjustRightInd/>
        <w:snapToGrid/>
        <w:spacing w:before="0" w:beforeLines="0" w:after="0" w:afterLines="0" w:line="360" w:lineRule="auto"/>
        <w:ind w:firstLine="480" w:firstLineChars="200"/>
        <w:textAlignment w:val="auto"/>
        <w:outlineLvl w:val="2"/>
        <w:rPr>
          <w:rFonts w:hint="eastAsia" w:ascii="宋体" w:hAnsi="宋体" w:eastAsia="宋体" w:cs="Times New Roman"/>
          <w:color w:val="auto"/>
          <w:sz w:val="24"/>
          <w:szCs w:val="24"/>
          <w:lang w:val="en-US" w:eastAsia="en-US" w:bidi="ar-SA"/>
        </w:rPr>
      </w:pPr>
      <w:r>
        <w:rPr>
          <w:rFonts w:hint="eastAsia" w:ascii="宋体" w:hAnsi="宋体" w:eastAsia="宋体" w:cs="Times New Roman"/>
          <w:color w:val="auto"/>
          <w:sz w:val="24"/>
          <w:szCs w:val="24"/>
          <w:lang w:val="en-US" w:eastAsia="en-US" w:bidi="ar-SA"/>
        </w:rPr>
        <w:t>1、配送要求：</w:t>
      </w:r>
    </w:p>
    <w:p w14:paraId="27D073B1">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color w:val="000000"/>
          <w:sz w:val="24"/>
          <w:szCs w:val="24"/>
          <w:lang w:val="en-US" w:eastAsia="zh-CN"/>
        </w:rPr>
      </w:pPr>
      <w:r>
        <w:rPr>
          <w:rFonts w:hint="eastAsia" w:ascii="宋体" w:hAnsi="宋体" w:eastAsia="宋体" w:cs="宋体"/>
          <w:b w:val="0"/>
          <w:bCs/>
          <w:color w:val="000000"/>
          <w:sz w:val="24"/>
          <w:szCs w:val="24"/>
          <w:lang w:val="en-US" w:eastAsia="en-US"/>
        </w:rPr>
        <w:t>（1）</w:t>
      </w:r>
      <w:r>
        <w:rPr>
          <w:rFonts w:hint="eastAsia" w:ascii="宋体" w:hAnsi="宋体" w:eastAsia="宋体" w:cs="宋体"/>
          <w:b w:val="0"/>
          <w:bCs/>
          <w:color w:val="000000"/>
          <w:sz w:val="24"/>
          <w:szCs w:val="24"/>
          <w:lang w:val="en-US" w:eastAsia="zh-Hans"/>
        </w:rPr>
        <w:t>服务商须根据食堂要求提供的所有食材的具体品类、规格来供应产品，保质保量，准时准点满足食堂需求；服务商须保证所供原材料均为符合国家卫生、质量检验标准的正规产品，保证配送品种完全满足采购人要求，所有配送食材每日按品类留存足量样品（每份不少于125g），低温冷藏密封保存，留存时长不少于48小时，建立留样台账，登记留样日期、品类、责任人，到期规范销毁</w:t>
      </w:r>
      <w:r>
        <w:rPr>
          <w:rFonts w:hint="eastAsia" w:ascii="宋体" w:hAnsi="宋体" w:eastAsia="宋体" w:cs="宋体"/>
          <w:b w:val="0"/>
          <w:bCs/>
          <w:color w:val="000000"/>
          <w:sz w:val="24"/>
          <w:szCs w:val="24"/>
          <w:lang w:val="en-US" w:eastAsia="zh-CN"/>
        </w:rPr>
        <w:t>；</w:t>
      </w:r>
    </w:p>
    <w:p w14:paraId="50635878">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color w:val="000000"/>
          <w:sz w:val="24"/>
          <w:szCs w:val="24"/>
          <w:lang w:val="en-US" w:eastAsia="zh-Hans"/>
        </w:rPr>
      </w:pPr>
      <w:r>
        <w:rPr>
          <w:rFonts w:hint="eastAsia" w:ascii="宋体" w:hAnsi="宋体" w:eastAsia="宋体" w:cs="宋体"/>
          <w:b w:val="0"/>
          <w:bCs/>
          <w:color w:val="000000"/>
          <w:sz w:val="24"/>
          <w:szCs w:val="24"/>
          <w:lang w:val="en-US" w:eastAsia="en-US"/>
        </w:rPr>
        <w:t>（2）</w:t>
      </w:r>
      <w:r>
        <w:rPr>
          <w:rFonts w:hint="eastAsia" w:ascii="宋体" w:hAnsi="宋体" w:eastAsia="宋体" w:cs="宋体"/>
          <w:b w:val="0"/>
          <w:bCs/>
          <w:color w:val="000000"/>
          <w:sz w:val="24"/>
          <w:szCs w:val="24"/>
          <w:lang w:val="en-US" w:eastAsia="zh-Hans"/>
        </w:rPr>
        <w:t>服务商自备送货车（冷藏或恒温），安排专人及时供货，装卸费、送货费用及运输安全由服务商承担；</w:t>
      </w:r>
    </w:p>
    <w:p w14:paraId="3C513617">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color w:val="000000"/>
          <w:sz w:val="24"/>
          <w:szCs w:val="24"/>
          <w:lang w:val="en-US" w:eastAsia="zh-Hans"/>
        </w:rPr>
      </w:pPr>
      <w:r>
        <w:rPr>
          <w:rFonts w:hint="eastAsia" w:ascii="宋体" w:hAnsi="宋体" w:eastAsia="宋体" w:cs="宋体"/>
          <w:b w:val="0"/>
          <w:bCs/>
          <w:color w:val="000000"/>
          <w:sz w:val="24"/>
          <w:szCs w:val="24"/>
          <w:lang w:val="en-US" w:eastAsia="en-US"/>
        </w:rPr>
        <w:t>（3）</w:t>
      </w:r>
      <w:r>
        <w:rPr>
          <w:rFonts w:hint="eastAsia" w:ascii="宋体" w:hAnsi="宋体" w:eastAsia="宋体" w:cs="宋体"/>
          <w:b w:val="0"/>
          <w:bCs/>
          <w:color w:val="000000"/>
          <w:sz w:val="24"/>
          <w:szCs w:val="24"/>
          <w:lang w:val="en-US" w:eastAsia="zh-Hans"/>
        </w:rPr>
        <w:t>米、面、油主食类、调味品、杂粮等食材根据食堂需求用量及库存条件，原则上每周送货1次或2次；肉类原则上要求每天送货1次，确保食材的新鲜；蔬菜水果原则上要求每天送货1次，确保蔬菜</w:t>
      </w:r>
      <w:r>
        <w:rPr>
          <w:rFonts w:hint="eastAsia" w:ascii="宋体" w:hAnsi="宋体" w:eastAsia="宋体" w:cs="宋体"/>
          <w:b w:val="0"/>
          <w:bCs/>
          <w:color w:val="000000"/>
          <w:sz w:val="24"/>
          <w:szCs w:val="24"/>
          <w:lang w:val="en-US" w:eastAsia="zh-CN"/>
        </w:rPr>
        <w:t>、水果</w:t>
      </w:r>
      <w:r>
        <w:rPr>
          <w:rFonts w:hint="eastAsia" w:ascii="宋体" w:hAnsi="宋体" w:eastAsia="宋体" w:cs="宋体"/>
          <w:b w:val="0"/>
          <w:bCs/>
          <w:color w:val="000000"/>
          <w:sz w:val="24"/>
          <w:szCs w:val="24"/>
          <w:lang w:val="en-US" w:eastAsia="zh-Hans"/>
        </w:rPr>
        <w:t>新鲜；</w:t>
      </w:r>
    </w:p>
    <w:p w14:paraId="5C9A194B">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color w:val="000000"/>
          <w:sz w:val="24"/>
          <w:szCs w:val="24"/>
          <w:lang w:val="en-US" w:eastAsia="zh-Hans"/>
        </w:rPr>
      </w:pPr>
      <w:r>
        <w:rPr>
          <w:rFonts w:hint="eastAsia" w:ascii="宋体" w:hAnsi="宋体" w:eastAsia="宋体" w:cs="宋体"/>
          <w:b w:val="0"/>
          <w:bCs/>
          <w:color w:val="000000"/>
          <w:sz w:val="24"/>
          <w:szCs w:val="24"/>
          <w:lang w:val="en-US" w:eastAsia="en-US"/>
        </w:rPr>
        <w:t>（4）</w:t>
      </w:r>
      <w:r>
        <w:rPr>
          <w:rFonts w:hint="eastAsia" w:ascii="宋体" w:hAnsi="宋体" w:eastAsia="宋体" w:cs="宋体"/>
          <w:b w:val="0"/>
          <w:bCs/>
          <w:color w:val="000000"/>
          <w:sz w:val="24"/>
          <w:szCs w:val="24"/>
          <w:lang w:val="en-US" w:eastAsia="zh-Hans"/>
        </w:rPr>
        <w:t>特殊情况下，食堂需要的小批量的急用物资，服务商应予以满足解决；</w:t>
      </w:r>
    </w:p>
    <w:p w14:paraId="77546C73">
      <w:pPr>
        <w:keepNext w:val="0"/>
        <w:keepLines w:val="0"/>
        <w:pageBreakBefore w:val="0"/>
        <w:widowControl w:val="0"/>
        <w:kinsoku/>
        <w:wordWrap w:val="0"/>
        <w:overflowPunct/>
        <w:topLinePunct w:val="0"/>
        <w:autoSpaceDE/>
        <w:autoSpaceDN/>
        <w:bidi w:val="0"/>
        <w:adjustRightInd/>
        <w:snapToGrid w:val="0"/>
        <w:spacing w:line="360" w:lineRule="auto"/>
        <w:ind w:firstLine="480" w:firstLineChars="200"/>
        <w:jc w:val="both"/>
        <w:textAlignment w:val="auto"/>
        <w:rPr>
          <w:rFonts w:hint="eastAsia" w:ascii="宋体" w:hAnsi="宋体" w:eastAsia="宋体" w:cs="宋体"/>
          <w:b w:val="0"/>
          <w:bCs/>
          <w:color w:val="000000"/>
          <w:sz w:val="24"/>
          <w:szCs w:val="24"/>
          <w:lang w:val="en-US" w:eastAsia="zh-Hans"/>
        </w:rPr>
      </w:pPr>
      <w:r>
        <w:rPr>
          <w:rFonts w:hint="eastAsia" w:ascii="宋体" w:hAnsi="宋体" w:eastAsia="宋体" w:cs="宋体"/>
          <w:b w:val="0"/>
          <w:bCs/>
          <w:color w:val="000000"/>
          <w:sz w:val="24"/>
          <w:szCs w:val="24"/>
          <w:lang w:val="en-US" w:eastAsia="en-US"/>
        </w:rPr>
        <w:t>（5）</w:t>
      </w:r>
      <w:r>
        <w:rPr>
          <w:rFonts w:hint="eastAsia" w:ascii="宋体" w:hAnsi="宋体" w:eastAsia="宋体" w:cs="宋体"/>
          <w:b w:val="0"/>
          <w:bCs/>
          <w:color w:val="000000"/>
          <w:sz w:val="24"/>
          <w:szCs w:val="24"/>
          <w:lang w:val="en-US" w:eastAsia="zh-Hans"/>
        </w:rPr>
        <w:t>所有食材服务商必须按照采购人要求的种类、规格进行供货，满足采购人使用需求。所有食材配送服务均以采购人通知为准，采购人有权根据实际需求量随时调整采购计划及供货时间段。</w:t>
      </w:r>
    </w:p>
    <w:p w14:paraId="1CD0A6E8">
      <w:pPr>
        <w:keepNext w:val="0"/>
        <w:keepLines w:val="0"/>
        <w:pageBreakBefore w:val="0"/>
        <w:widowControl w:val="0"/>
        <w:kinsoku/>
        <w:wordWrap w:val="0"/>
        <w:overflowPunct/>
        <w:topLinePunct w:val="0"/>
        <w:autoSpaceDE/>
        <w:autoSpaceDN/>
        <w:bidi w:val="0"/>
        <w:adjustRightInd/>
        <w:snapToGrid w:val="0"/>
        <w:spacing w:line="360" w:lineRule="auto"/>
        <w:ind w:firstLine="420"/>
        <w:textAlignment w:val="auto"/>
        <w:rPr>
          <w:rFonts w:hint="eastAsia" w:ascii="宋体" w:hAnsi="宋体" w:eastAsia="宋体" w:cs="宋体"/>
          <w:b/>
          <w:bCs/>
          <w:snapToGrid w:val="0"/>
          <w:color w:val="000000"/>
          <w:kern w:val="0"/>
          <w:sz w:val="24"/>
          <w:szCs w:val="24"/>
          <w:lang w:val="en-US" w:eastAsia="zh-Hans"/>
        </w:rPr>
      </w:pPr>
      <w:r>
        <w:rPr>
          <w:rFonts w:hint="eastAsia" w:ascii="宋体" w:hAnsi="宋体" w:eastAsia="宋体" w:cs="宋体"/>
          <w:b/>
          <w:bCs/>
          <w:snapToGrid w:val="0"/>
          <w:color w:val="000000"/>
          <w:kern w:val="0"/>
          <w:sz w:val="24"/>
          <w:szCs w:val="24"/>
          <w:lang w:val="en-US" w:eastAsia="zh-Hans"/>
        </w:rPr>
        <w:t>注：服务商配送的每批次食材均需提供所配送产品的检测报告或食品检验（防疫）合格证明跟随配送清单一起存档，服务商应按照满足人体均衡营养摄入的食材配送标准来制定详细、具体、合理的食材配送计划。</w:t>
      </w:r>
    </w:p>
    <w:p w14:paraId="237E534C">
      <w:pPr>
        <w:keepNext w:val="0"/>
        <w:keepLines w:val="0"/>
        <w:pageBreakBefore w:val="0"/>
        <w:widowControl w:val="0"/>
        <w:kinsoku/>
        <w:wordWrap w:val="0"/>
        <w:overflowPunct/>
        <w:topLinePunct w:val="0"/>
        <w:autoSpaceDE/>
        <w:autoSpaceDN/>
        <w:bidi w:val="0"/>
        <w:adjustRightInd/>
        <w:snapToGrid w:val="0"/>
        <w:spacing w:line="360" w:lineRule="auto"/>
        <w:ind w:firstLine="420"/>
        <w:textAlignment w:val="auto"/>
        <w:rPr>
          <w:rFonts w:hint="eastAsia" w:ascii="宋体" w:hAnsi="宋体" w:eastAsia="宋体" w:cs="宋体"/>
          <w:b/>
          <w:bCs/>
          <w:snapToGrid w:val="0"/>
          <w:color w:val="000000"/>
          <w:kern w:val="0"/>
          <w:sz w:val="24"/>
          <w:szCs w:val="24"/>
          <w:lang w:val="en-US" w:eastAsia="zh-CN"/>
        </w:rPr>
      </w:pPr>
      <w:r>
        <w:rPr>
          <w:rFonts w:hint="eastAsia" w:ascii="宋体" w:hAnsi="宋体" w:eastAsia="宋体" w:cs="宋体"/>
          <w:b/>
          <w:bCs/>
          <w:snapToGrid w:val="0"/>
          <w:color w:val="000000"/>
          <w:kern w:val="0"/>
          <w:sz w:val="24"/>
          <w:szCs w:val="24"/>
          <w:lang w:val="en-US" w:eastAsia="zh-CN"/>
        </w:rPr>
        <w:t>（四）验收标准：</w:t>
      </w:r>
    </w:p>
    <w:p w14:paraId="48C60660">
      <w:pPr>
        <w:keepNext w:val="0"/>
        <w:keepLines w:val="0"/>
        <w:pageBreakBefore w:val="0"/>
        <w:widowControl w:val="0"/>
        <w:kinsoku/>
        <w:wordWrap w:val="0"/>
        <w:overflowPunct/>
        <w:topLinePunct w:val="0"/>
        <w:autoSpaceDE/>
        <w:autoSpaceDN/>
        <w:bidi w:val="0"/>
        <w:adjustRightInd/>
        <w:snapToGrid w:val="0"/>
        <w:spacing w:line="360" w:lineRule="auto"/>
        <w:ind w:firstLine="420"/>
        <w:textAlignment w:val="auto"/>
        <w:rPr>
          <w:rFonts w:hint="eastAsia" w:ascii="宋体" w:hAnsi="宋体" w:eastAsia="宋体" w:cs="宋体"/>
          <w:b w:val="0"/>
          <w:bCs w:val="0"/>
          <w:snapToGrid w:val="0"/>
          <w:color w:val="000000"/>
          <w:kern w:val="0"/>
          <w:sz w:val="24"/>
          <w:szCs w:val="24"/>
          <w:lang w:val="en-US" w:eastAsia="en-US"/>
        </w:rPr>
      </w:pPr>
      <w:r>
        <w:rPr>
          <w:rFonts w:hint="eastAsia" w:ascii="宋体" w:hAnsi="宋体" w:eastAsia="宋体" w:cs="宋体"/>
          <w:b w:val="0"/>
          <w:bCs w:val="0"/>
          <w:snapToGrid w:val="0"/>
          <w:color w:val="000000"/>
          <w:kern w:val="0"/>
          <w:sz w:val="24"/>
          <w:szCs w:val="24"/>
          <w:lang w:val="en-US" w:eastAsia="en-US"/>
        </w:rPr>
        <w:t>（1）定型包装食品，应检验包装标识或者产品说明书是否标出品名、产地、厂名、生产日期、批号或者代号、规格、配方或者主要成份、保质期限、食用或者使用方法等，防止购进假冒伪劣产品，禁止无生产日期、无质量合格证、无生产厂家的“三无”食品及过期、变质、假冒伪劣食材进入食堂；</w:t>
      </w:r>
    </w:p>
    <w:p w14:paraId="478570C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kern w:val="0"/>
          <w:sz w:val="24"/>
          <w:szCs w:val="24"/>
          <w:lang w:eastAsia="en-US"/>
        </w:rPr>
        <w:t>（2）主要食材中的定型包装食品，如米面油类应提供批次产品卫生主管部门的检验报告；</w:t>
      </w:r>
    </w:p>
    <w:p w14:paraId="740418D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kern w:val="0"/>
          <w:sz w:val="24"/>
          <w:szCs w:val="24"/>
          <w:lang w:eastAsia="en-US"/>
        </w:rPr>
        <w:t>（3）包装污秽不洁、严重破损、运输工具不洁等造成污染的产品不得验收入库；</w:t>
      </w:r>
    </w:p>
    <w:p w14:paraId="68815FF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baseline"/>
        <w:rPr>
          <w:rFonts w:hint="eastAsia" w:ascii="宋体" w:hAnsi="宋体" w:eastAsia="宋体" w:cs="宋体"/>
          <w:b w:val="0"/>
          <w:bCs w:val="0"/>
          <w:snapToGrid w:val="0"/>
          <w:color w:val="000000"/>
          <w:kern w:val="0"/>
          <w:sz w:val="24"/>
          <w:szCs w:val="24"/>
          <w:lang w:eastAsia="en-US"/>
        </w:rPr>
      </w:pPr>
      <w:r>
        <w:rPr>
          <w:rFonts w:hint="eastAsia" w:ascii="宋体" w:hAnsi="宋体" w:eastAsia="宋体" w:cs="宋体"/>
          <w:b w:val="0"/>
          <w:bCs w:val="0"/>
          <w:snapToGrid w:val="0"/>
          <w:color w:val="000000"/>
          <w:kern w:val="0"/>
          <w:sz w:val="24"/>
          <w:szCs w:val="24"/>
          <w:lang w:eastAsia="en-US"/>
        </w:rPr>
        <w:t>（4）</w:t>
      </w:r>
      <w:r>
        <w:rPr>
          <w:rFonts w:hint="eastAsia" w:ascii="宋体" w:hAnsi="宋体" w:eastAsia="宋体" w:cs="宋体"/>
          <w:b w:val="0"/>
          <w:bCs w:val="0"/>
          <w:snapToGrid w:val="0"/>
          <w:color w:val="000000"/>
          <w:kern w:val="0"/>
          <w:sz w:val="24"/>
          <w:szCs w:val="24"/>
          <w:lang w:val="en-US" w:eastAsia="zh-CN"/>
        </w:rPr>
        <w:t>采购人</w:t>
      </w:r>
      <w:r>
        <w:rPr>
          <w:rFonts w:hint="eastAsia" w:ascii="宋体" w:hAnsi="宋体" w:eastAsia="宋体" w:cs="宋体"/>
          <w:b w:val="0"/>
          <w:bCs w:val="0"/>
          <w:snapToGrid w:val="0"/>
          <w:color w:val="000000"/>
          <w:kern w:val="0"/>
          <w:sz w:val="24"/>
          <w:szCs w:val="24"/>
          <w:lang w:eastAsia="en-US"/>
        </w:rPr>
        <w:t>对所购食品原辅料的质量、数量进行核对验收，验收合格的及时入库，不合格产品应及时退回</w:t>
      </w:r>
      <w:r>
        <w:rPr>
          <w:rFonts w:hint="eastAsia" w:ascii="宋体" w:hAnsi="宋体" w:eastAsia="宋体" w:cs="宋体"/>
          <w:b w:val="0"/>
          <w:bCs w:val="0"/>
          <w:snapToGrid w:val="0"/>
          <w:color w:val="000000"/>
          <w:kern w:val="0"/>
          <w:sz w:val="24"/>
          <w:szCs w:val="24"/>
          <w:lang w:val="en-US" w:eastAsia="en-US"/>
        </w:rPr>
        <w:t>服务商</w:t>
      </w:r>
      <w:r>
        <w:rPr>
          <w:rFonts w:hint="eastAsia" w:ascii="宋体" w:hAnsi="宋体" w:eastAsia="宋体" w:cs="宋体"/>
          <w:b w:val="0"/>
          <w:bCs w:val="0"/>
          <w:snapToGrid w:val="0"/>
          <w:color w:val="000000"/>
          <w:kern w:val="0"/>
          <w:sz w:val="24"/>
          <w:szCs w:val="24"/>
          <w:lang w:eastAsia="en-US"/>
        </w:rPr>
        <w:t>，同时做好验收记录；</w:t>
      </w:r>
    </w:p>
    <w:p w14:paraId="7E302B8D">
      <w:pPr>
        <w:keepNext w:val="0"/>
        <w:keepLines w:val="0"/>
        <w:pageBreakBefore w:val="0"/>
        <w:numPr>
          <w:ilvl w:val="0"/>
          <w:numId w:val="0"/>
        </w:numPr>
        <w:kinsoku/>
        <w:wordWrap/>
        <w:overflowPunct/>
        <w:topLinePunct w:val="0"/>
        <w:autoSpaceDE/>
        <w:autoSpaceDN/>
        <w:bidi w:val="0"/>
        <w:adjustRightInd/>
        <w:snapToGrid/>
        <w:spacing w:before="0" w:beforeLines="0" w:after="0" w:afterLines="0" w:line="360" w:lineRule="auto"/>
        <w:ind w:firstLine="480" w:firstLineChars="200"/>
        <w:textAlignment w:val="auto"/>
        <w:outlineLvl w:val="2"/>
        <w:rPr>
          <w:rFonts w:hint="eastAsia" w:ascii="宋体" w:hAnsi="宋体" w:eastAsia="宋体" w:cs="Times New Roman"/>
          <w:color w:val="auto"/>
          <w:sz w:val="24"/>
          <w:szCs w:val="24"/>
          <w:lang w:val="en-US" w:eastAsia="zh-CN" w:bidi="ar-SA"/>
        </w:rPr>
      </w:pPr>
      <w:r>
        <w:rPr>
          <w:rFonts w:hint="eastAsia" w:ascii="宋体" w:hAnsi="宋体" w:eastAsia="宋体" w:cs="宋体"/>
          <w:b w:val="0"/>
          <w:bCs w:val="0"/>
          <w:snapToGrid w:val="0"/>
          <w:color w:val="000000"/>
          <w:kern w:val="0"/>
          <w:sz w:val="24"/>
          <w:szCs w:val="24"/>
          <w:lang w:eastAsia="en-US"/>
        </w:rPr>
        <w:t>（5）验收时，</w:t>
      </w:r>
      <w:r>
        <w:rPr>
          <w:rFonts w:hint="eastAsia" w:ascii="宋体" w:hAnsi="宋体" w:eastAsia="宋体" w:cs="宋体"/>
          <w:b w:val="0"/>
          <w:bCs w:val="0"/>
          <w:snapToGrid w:val="0"/>
          <w:color w:val="000000"/>
          <w:kern w:val="0"/>
          <w:sz w:val="24"/>
          <w:szCs w:val="24"/>
          <w:lang w:val="en-US" w:eastAsia="zh-CN"/>
        </w:rPr>
        <w:t>采购人</w:t>
      </w:r>
      <w:r>
        <w:rPr>
          <w:rFonts w:hint="eastAsia" w:ascii="宋体" w:hAnsi="宋体" w:eastAsia="宋体" w:cs="宋体"/>
          <w:b w:val="0"/>
          <w:bCs w:val="0"/>
          <w:snapToGrid w:val="0"/>
          <w:color w:val="000000"/>
          <w:kern w:val="0"/>
          <w:sz w:val="24"/>
          <w:szCs w:val="24"/>
          <w:lang w:eastAsia="en-US"/>
        </w:rPr>
        <w:t>清点入库物品的数量、规格，做到数量、规格、品种准确无误</w:t>
      </w:r>
      <w:r>
        <w:rPr>
          <w:rFonts w:hint="eastAsia" w:ascii="宋体" w:hAnsi="宋体" w:eastAsia="宋体" w:cs="宋体"/>
          <w:b w:val="0"/>
          <w:bCs w:val="0"/>
          <w:snapToGrid w:val="0"/>
          <w:color w:val="000000"/>
          <w:kern w:val="0"/>
          <w:sz w:val="24"/>
          <w:szCs w:val="24"/>
          <w:lang w:eastAsia="zh-CN"/>
        </w:rPr>
        <w:t>，</w:t>
      </w:r>
      <w:r>
        <w:rPr>
          <w:rFonts w:hint="eastAsia" w:ascii="宋体" w:hAnsi="宋体" w:eastAsia="宋体" w:cs="Times New Roman"/>
          <w:color w:val="auto"/>
          <w:sz w:val="24"/>
          <w:szCs w:val="24"/>
          <w:lang w:val="en-US" w:eastAsia="zh-CN" w:bidi="ar-SA"/>
        </w:rPr>
        <w:t>入库时按不同的材质、规格、功能和要求，分类、分别储存，做到账物相符。</w:t>
      </w:r>
    </w:p>
    <w:p w14:paraId="10C8CEE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jc w:val="left"/>
        <w:textAlignment w:val="baseline"/>
        <w:rPr>
          <w:rFonts w:hint="eastAsia" w:ascii="宋体" w:hAnsi="宋体" w:eastAsia="宋体" w:cs="宋体"/>
          <w:b w:val="0"/>
          <w:bCs w:val="0"/>
          <w:snapToGrid w:val="0"/>
          <w:color w:val="000000"/>
          <w:kern w:val="0"/>
          <w:sz w:val="24"/>
          <w:szCs w:val="24"/>
          <w:lang w:eastAsia="zh-CN"/>
        </w:rPr>
      </w:pPr>
      <w:r>
        <w:rPr>
          <w:rFonts w:hint="eastAsia" w:ascii="宋体" w:hAnsi="宋体" w:eastAsia="宋体" w:cs="宋体"/>
          <w:b w:val="0"/>
          <w:bCs w:val="0"/>
          <w:snapToGrid w:val="0"/>
          <w:color w:val="000000"/>
          <w:kern w:val="0"/>
          <w:sz w:val="24"/>
          <w:szCs w:val="24"/>
          <w:lang w:eastAsia="zh-CN"/>
        </w:rPr>
        <w:t>（</w:t>
      </w:r>
      <w:r>
        <w:rPr>
          <w:rFonts w:hint="eastAsia" w:ascii="宋体" w:hAnsi="宋体" w:eastAsia="宋体" w:cs="宋体"/>
          <w:b w:val="0"/>
          <w:bCs w:val="0"/>
          <w:snapToGrid w:val="0"/>
          <w:color w:val="000000"/>
          <w:kern w:val="0"/>
          <w:sz w:val="24"/>
          <w:szCs w:val="24"/>
          <w:lang w:val="en-US" w:eastAsia="zh-CN"/>
        </w:rPr>
        <w:t>6</w:t>
      </w:r>
      <w:r>
        <w:rPr>
          <w:rFonts w:hint="eastAsia" w:ascii="宋体" w:hAnsi="宋体" w:eastAsia="宋体" w:cs="宋体"/>
          <w:b w:val="0"/>
          <w:bCs w:val="0"/>
          <w:snapToGrid w:val="0"/>
          <w:color w:val="000000"/>
          <w:kern w:val="0"/>
          <w:sz w:val="24"/>
          <w:szCs w:val="24"/>
          <w:lang w:eastAsia="zh-CN"/>
        </w:rPr>
        <w:t>）</w:t>
      </w:r>
      <w:r>
        <w:rPr>
          <w:rFonts w:hint="eastAsia" w:ascii="宋体" w:hAnsi="宋体" w:eastAsia="宋体" w:cs="宋体"/>
          <w:b w:val="0"/>
          <w:bCs w:val="0"/>
          <w:snapToGrid w:val="0"/>
          <w:color w:val="000000"/>
          <w:kern w:val="0"/>
          <w:sz w:val="24"/>
          <w:szCs w:val="24"/>
          <w:lang w:eastAsia="en-US"/>
        </w:rPr>
        <w:t>非定型包装的食品（或原材料）需进行感官检查：若发现腐败变质、油脂酸度、霉变、生虫、不洁，混有异物或者其他感官性状异常现象，不得入库；未经卫生检验部门或者检验不合格的肉类及其制品不得入库；掺假、掺杂、伪造的食品不得入库</w:t>
      </w:r>
      <w:r>
        <w:rPr>
          <w:rFonts w:hint="eastAsia" w:ascii="宋体" w:hAnsi="宋体" w:eastAsia="宋体" w:cs="宋体"/>
          <w:b w:val="0"/>
          <w:bCs w:val="0"/>
          <w:snapToGrid w:val="0"/>
          <w:color w:val="000000"/>
          <w:kern w:val="0"/>
          <w:sz w:val="24"/>
          <w:szCs w:val="24"/>
          <w:lang w:eastAsia="zh-CN"/>
        </w:rPr>
        <w:t>。</w:t>
      </w:r>
    </w:p>
    <w:p w14:paraId="29F6A3C6">
      <w:pPr>
        <w:keepNext w:val="0"/>
        <w:keepLines w:val="0"/>
        <w:pageBreakBefore w:val="0"/>
        <w:widowControl w:val="0"/>
        <w:kinsoku/>
        <w:wordWrap w:val="0"/>
        <w:overflowPunct/>
        <w:topLinePunct w:val="0"/>
        <w:autoSpaceDE/>
        <w:autoSpaceDN/>
        <w:bidi w:val="0"/>
        <w:adjustRightInd/>
        <w:snapToGrid w:val="0"/>
        <w:spacing w:line="360" w:lineRule="auto"/>
        <w:ind w:firstLine="420"/>
        <w:textAlignment w:val="auto"/>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lang w:val="en-US" w:eastAsia="zh-CN"/>
        </w:rPr>
        <w:t>（7）每批次每种食材均抽查验收，对数量在30箱以上（含30箱）的抽查率为10%，30箱以下的抽查率为15%。如发现食材有损坏等情况，应在相关单据上记录所有损坏情况并拍照留存。采购人使用单位验收人员应和供应商送货人员一起确认，并保留双方签字单据。</w:t>
      </w:r>
    </w:p>
    <w:p w14:paraId="66DFFFFF">
      <w:pPr>
        <w:keepNext w:val="0"/>
        <w:keepLines w:val="0"/>
        <w:pageBreakBefore w:val="0"/>
        <w:widowControl w:val="0"/>
        <w:kinsoku/>
        <w:wordWrap w:val="0"/>
        <w:overflowPunct/>
        <w:topLinePunct w:val="0"/>
        <w:autoSpaceDE/>
        <w:autoSpaceDN/>
        <w:bidi w:val="0"/>
        <w:adjustRightInd/>
        <w:snapToGrid w:val="0"/>
        <w:spacing w:line="360" w:lineRule="auto"/>
        <w:ind w:left="723" w:hanging="723" w:hangingChars="300"/>
        <w:textAlignment w:val="auto"/>
        <w:rPr>
          <w:rFonts w:hint="eastAsia" w:ascii="宋体" w:hAnsi="宋体" w:eastAsia="宋体" w:cs="宋体"/>
          <w:b/>
          <w:bCs/>
          <w:snapToGrid w:val="0"/>
          <w:color w:val="000000"/>
          <w:kern w:val="0"/>
          <w:sz w:val="24"/>
          <w:szCs w:val="24"/>
          <w:lang w:val="en-US" w:eastAsia="zh-CN"/>
        </w:rPr>
      </w:pPr>
      <w:r>
        <w:rPr>
          <w:rFonts w:hint="eastAsia" w:ascii="宋体" w:hAnsi="宋体" w:eastAsia="宋体" w:cs="宋体"/>
          <w:b/>
          <w:bCs/>
          <w:snapToGrid w:val="0"/>
          <w:color w:val="000000"/>
          <w:kern w:val="0"/>
          <w:sz w:val="24"/>
          <w:szCs w:val="24"/>
          <w:lang w:val="en-US" w:eastAsia="zh-CN"/>
        </w:rPr>
        <w:t>二、服务期</w:t>
      </w:r>
    </w:p>
    <w:p w14:paraId="7B9CBF16">
      <w:pPr>
        <w:keepNext w:val="0"/>
        <w:keepLines w:val="0"/>
        <w:pageBreakBefore w:val="0"/>
        <w:widowControl w:val="0"/>
        <w:kinsoku/>
        <w:wordWrap w:val="0"/>
        <w:overflowPunct/>
        <w:topLinePunct w:val="0"/>
        <w:autoSpaceDE/>
        <w:autoSpaceDN/>
        <w:bidi w:val="0"/>
        <w:adjustRightInd/>
        <w:snapToGrid w:val="0"/>
        <w:spacing w:line="360" w:lineRule="auto"/>
        <w:ind w:left="721" w:leftChars="229" w:hanging="240" w:hangingChars="100"/>
        <w:textAlignment w:val="auto"/>
        <w:rPr>
          <w:rFonts w:hint="eastAsia" w:ascii="宋体" w:hAnsi="宋体" w:eastAsia="宋体" w:cs="宋体"/>
          <w:b w:val="0"/>
          <w:bCs w:val="0"/>
          <w:snapToGrid w:val="0"/>
          <w:color w:val="000000"/>
          <w:kern w:val="0"/>
          <w:sz w:val="24"/>
          <w:szCs w:val="24"/>
          <w:lang w:val="en-US" w:eastAsia="zh-CN"/>
        </w:rPr>
      </w:pP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年</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月</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日至</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年</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月</w:t>
      </w:r>
      <w:r>
        <w:rPr>
          <w:rFonts w:hint="eastAsia" w:ascii="宋体" w:hAnsi="宋体" w:eastAsia="宋体" w:cs="宋体"/>
          <w:b w:val="0"/>
          <w:bCs w:val="0"/>
          <w:snapToGrid w:val="0"/>
          <w:color w:val="000000"/>
          <w:kern w:val="0"/>
          <w:sz w:val="24"/>
          <w:szCs w:val="24"/>
          <w:u w:val="single"/>
          <w:lang w:val="en-US" w:eastAsia="zh-CN"/>
        </w:rPr>
        <w:t xml:space="preserve">      </w:t>
      </w:r>
      <w:r>
        <w:rPr>
          <w:rFonts w:hint="eastAsia" w:ascii="宋体" w:hAnsi="宋体" w:eastAsia="宋体" w:cs="宋体"/>
          <w:b w:val="0"/>
          <w:bCs w:val="0"/>
          <w:snapToGrid w:val="0"/>
          <w:color w:val="000000"/>
          <w:kern w:val="0"/>
          <w:sz w:val="24"/>
          <w:szCs w:val="24"/>
          <w:lang w:val="en-US" w:eastAsia="zh-CN"/>
        </w:rPr>
        <w:t>日。</w:t>
      </w:r>
    </w:p>
    <w:p w14:paraId="41D2A480">
      <w:pPr>
        <w:keepNext w:val="0"/>
        <w:keepLines w:val="0"/>
        <w:pageBreakBefore w:val="0"/>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rPr>
      </w:pPr>
      <w:r>
        <w:rPr>
          <w:rFonts w:hint="eastAsia" w:ascii="宋体" w:hAnsi="宋体" w:cs="宋体"/>
          <w:b/>
          <w:color w:val="auto"/>
          <w:sz w:val="24"/>
          <w:szCs w:val="24"/>
          <w:lang w:val="en-US" w:eastAsia="zh-CN"/>
        </w:rPr>
        <w:t>三</w:t>
      </w:r>
      <w:r>
        <w:rPr>
          <w:rFonts w:hint="eastAsia" w:ascii="宋体" w:hAnsi="宋体" w:eastAsia="宋体" w:cs="宋体"/>
          <w:b/>
          <w:color w:val="auto"/>
          <w:sz w:val="24"/>
          <w:szCs w:val="24"/>
        </w:rPr>
        <w:t>、合同价格</w:t>
      </w:r>
    </w:p>
    <w:p w14:paraId="6DA981F0">
      <w:pPr>
        <w:keepNext w:val="0"/>
        <w:keepLines w:val="0"/>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合同下浮率：</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auto"/>
          <w:sz w:val="24"/>
          <w:szCs w:val="24"/>
        </w:rPr>
        <w:t>合同总价：人民币大写：</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b/>
          <w:color w:val="auto"/>
          <w:sz w:val="24"/>
          <w:szCs w:val="24"/>
        </w:rPr>
        <w:t>；</w:t>
      </w:r>
      <w:r>
        <w:rPr>
          <w:rFonts w:hint="eastAsia" w:ascii="宋体" w:hAnsi="宋体" w:eastAsia="宋体" w:cs="宋体"/>
          <w:color w:val="000000"/>
          <w:sz w:val="24"/>
          <w:szCs w:val="24"/>
          <w:highlight w:val="none"/>
          <w:lang w:val="en-US" w:eastAsia="zh-CN"/>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元。</w:t>
      </w:r>
    </w:p>
    <w:p w14:paraId="58E37A4C">
      <w:pPr>
        <w:keepNext w:val="0"/>
        <w:keepLines w:val="0"/>
        <w:pageBreakBefore w:val="0"/>
        <w:numPr>
          <w:ilvl w:val="0"/>
          <w:numId w:val="0"/>
        </w:numPr>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u w:val="single"/>
          <w:lang w:val="en-US" w:eastAsia="zh-CN"/>
        </w:rPr>
      </w:pPr>
      <w:r>
        <w:rPr>
          <w:rFonts w:hint="eastAsia" w:ascii="宋体" w:hAnsi="宋体" w:cs="宋体"/>
          <w:b/>
          <w:color w:val="auto"/>
          <w:sz w:val="24"/>
          <w:szCs w:val="24"/>
          <w:lang w:val="en-US" w:eastAsia="zh-CN"/>
        </w:rPr>
        <w:t>四、</w:t>
      </w:r>
      <w:r>
        <w:rPr>
          <w:rFonts w:hint="eastAsia" w:ascii="宋体" w:hAnsi="宋体" w:eastAsia="宋体" w:cs="宋体"/>
          <w:b/>
          <w:color w:val="auto"/>
          <w:sz w:val="24"/>
          <w:szCs w:val="24"/>
          <w:lang w:val="en-US" w:eastAsia="zh-CN"/>
        </w:rPr>
        <w:t>付款方式</w:t>
      </w:r>
      <w:r>
        <w:rPr>
          <w:rFonts w:hint="eastAsia" w:ascii="宋体" w:hAnsi="宋体" w:cs="宋体"/>
          <w:b/>
          <w:color w:val="auto"/>
          <w:sz w:val="24"/>
          <w:szCs w:val="24"/>
          <w:lang w:val="en-US" w:eastAsia="zh-CN"/>
        </w:rPr>
        <w:t>：</w:t>
      </w:r>
    </w:p>
    <w:p w14:paraId="5C2289E5">
      <w:pPr>
        <w:keepNext w:val="0"/>
        <w:keepLines w:val="0"/>
        <w:pageBreakBefore w:val="0"/>
        <w:numPr>
          <w:ilvl w:val="0"/>
          <w:numId w:val="0"/>
        </w:numPr>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color w:val="auto"/>
          <w:sz w:val="24"/>
          <w:szCs w:val="24"/>
          <w:u w:val="single"/>
          <w:lang w:val="en-US" w:eastAsia="zh-CN"/>
        </w:rPr>
      </w:pPr>
      <w:r>
        <w:rPr>
          <w:rFonts w:hint="eastAsia" w:ascii="宋体" w:hAnsi="宋体" w:eastAsia="宋体" w:cs="宋体"/>
          <w:color w:val="auto"/>
          <w:sz w:val="24"/>
          <w:szCs w:val="24"/>
          <w:u w:val="single"/>
        </w:rPr>
        <w:t>1.按月根据供货单</w:t>
      </w:r>
      <w:r>
        <w:rPr>
          <w:rFonts w:hint="eastAsia" w:ascii="宋体" w:hAnsi="宋体" w:eastAsia="宋体" w:cs="宋体"/>
          <w:color w:val="auto"/>
          <w:sz w:val="24"/>
          <w:szCs w:val="24"/>
          <w:u w:val="single"/>
          <w:lang w:val="en-US" w:eastAsia="zh-CN"/>
        </w:rPr>
        <w:t>据实</w:t>
      </w:r>
      <w:r>
        <w:rPr>
          <w:rFonts w:hint="eastAsia" w:ascii="宋体" w:hAnsi="宋体" w:eastAsia="宋体" w:cs="宋体"/>
          <w:color w:val="auto"/>
          <w:sz w:val="24"/>
          <w:szCs w:val="24"/>
          <w:u w:val="single"/>
        </w:rPr>
        <w:t>结算，成交供应商在接受采购人的每一笔付款前，应向</w:t>
      </w:r>
      <w:r>
        <w:rPr>
          <w:rFonts w:hint="eastAsia" w:ascii="宋体" w:hAnsi="宋体" w:cs="宋体"/>
          <w:color w:val="auto"/>
          <w:sz w:val="24"/>
          <w:szCs w:val="24"/>
          <w:u w:val="single"/>
          <w:lang w:eastAsia="zh-CN"/>
        </w:rPr>
        <w:t>采购人</w:t>
      </w:r>
      <w:r>
        <w:rPr>
          <w:rFonts w:hint="eastAsia" w:ascii="宋体" w:hAnsi="宋体" w:eastAsia="宋体" w:cs="宋体"/>
          <w:color w:val="auto"/>
          <w:sz w:val="24"/>
          <w:szCs w:val="24"/>
          <w:u w:val="single"/>
        </w:rPr>
        <w:t>开具相应金额的发票。</w:t>
      </w:r>
    </w:p>
    <w:p w14:paraId="68E82780">
      <w:pPr>
        <w:keepNext w:val="0"/>
        <w:keepLines w:val="0"/>
        <w:pageBreakBefore w:val="0"/>
        <w:numPr>
          <w:ilvl w:val="0"/>
          <w:numId w:val="0"/>
        </w:numPr>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u w:val="single"/>
        </w:rPr>
        <w:t>2.货物</w:t>
      </w:r>
      <w:r>
        <w:rPr>
          <w:rFonts w:hint="eastAsia" w:ascii="宋体" w:hAnsi="宋体" w:cs="宋体"/>
          <w:color w:val="auto"/>
          <w:sz w:val="24"/>
          <w:szCs w:val="24"/>
          <w:u w:val="single"/>
          <w:lang w:val="en-US" w:eastAsia="zh-CN"/>
        </w:rPr>
        <w:t>配送至</w:t>
      </w:r>
      <w:r>
        <w:rPr>
          <w:rFonts w:hint="eastAsia" w:ascii="宋体" w:hAnsi="宋体" w:eastAsia="宋体" w:cs="宋体"/>
          <w:color w:val="auto"/>
          <w:sz w:val="24"/>
          <w:szCs w:val="24"/>
          <w:u w:val="single"/>
        </w:rPr>
        <w:t>甲方指定地点，</w:t>
      </w:r>
      <w:r>
        <w:rPr>
          <w:rFonts w:hint="eastAsia" w:ascii="宋体" w:hAnsi="宋体" w:cs="宋体"/>
          <w:color w:val="auto"/>
          <w:sz w:val="24"/>
          <w:szCs w:val="24"/>
          <w:u w:val="single"/>
          <w:lang w:val="en-US" w:eastAsia="zh-CN"/>
        </w:rPr>
        <w:t>经</w:t>
      </w:r>
      <w:r>
        <w:rPr>
          <w:rFonts w:hint="eastAsia" w:ascii="宋体" w:hAnsi="宋体" w:eastAsia="宋体" w:cs="宋体"/>
          <w:color w:val="auto"/>
          <w:sz w:val="24"/>
          <w:szCs w:val="24"/>
          <w:u w:val="single"/>
        </w:rPr>
        <w:t>验收合格后，乙方提供所供货物清单，甲方对所供货物的品种、数量、价格进行核实，经核实无误后在供货单上签字确认。结算时按甲方签字确认的供货单据实结算。</w:t>
      </w:r>
    </w:p>
    <w:p w14:paraId="4216EC35">
      <w:pPr>
        <w:autoSpaceDE w:val="0"/>
        <w:autoSpaceDN w:val="0"/>
        <w:adjustRightInd w:val="0"/>
        <w:snapToGrid w:val="0"/>
        <w:spacing w:line="360" w:lineRule="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五</w:t>
      </w:r>
      <w:r>
        <w:rPr>
          <w:rFonts w:hint="eastAsia" w:ascii="宋体" w:hAnsi="宋体" w:eastAsia="宋体" w:cs="宋体"/>
          <w:b/>
          <w:bCs/>
          <w:color w:val="auto"/>
          <w:sz w:val="24"/>
          <w:szCs w:val="24"/>
        </w:rPr>
        <w:t>、保密条款</w:t>
      </w:r>
    </w:p>
    <w:p w14:paraId="3D31C56D">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lang w:eastAsia="zh-CN"/>
        </w:rPr>
        <w:t>人员</w:t>
      </w:r>
      <w:r>
        <w:rPr>
          <w:rFonts w:hint="eastAsia" w:ascii="宋体" w:hAnsi="宋体" w:eastAsia="宋体" w:cs="宋体"/>
          <w:color w:val="auto"/>
          <w:sz w:val="24"/>
          <w:szCs w:val="24"/>
        </w:rPr>
        <w:t>在甲方工作期间获得及接触的甲方的任何形式的保密信息，乙方</w:t>
      </w:r>
      <w:r>
        <w:rPr>
          <w:rFonts w:hint="eastAsia" w:ascii="宋体" w:hAnsi="宋体" w:eastAsia="宋体" w:cs="宋体"/>
          <w:color w:val="auto"/>
          <w:sz w:val="24"/>
          <w:szCs w:val="24"/>
          <w:lang w:eastAsia="zh-CN"/>
        </w:rPr>
        <w:t>人员</w:t>
      </w:r>
      <w:r>
        <w:rPr>
          <w:rFonts w:hint="eastAsia" w:ascii="宋体" w:hAnsi="宋体" w:eastAsia="宋体" w:cs="宋体"/>
          <w:color w:val="auto"/>
          <w:sz w:val="24"/>
          <w:szCs w:val="24"/>
        </w:rPr>
        <w:t>不得在本协议目的之外使用，也不得向任何第三方提供这些信息和接触这些信息的手段。</w:t>
      </w:r>
    </w:p>
    <w:p w14:paraId="07D93963">
      <w:pPr>
        <w:keepNext w:val="0"/>
        <w:keepLines w:val="0"/>
        <w:pageBreakBefore w:val="0"/>
        <w:kinsoku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color w:val="auto"/>
          <w:sz w:val="24"/>
          <w:szCs w:val="24"/>
          <w:u w:val="single"/>
          <w:lang w:val="en-US" w:eastAsia="zh-CN"/>
        </w:rPr>
      </w:pPr>
      <w:r>
        <w:rPr>
          <w:rFonts w:hint="eastAsia" w:ascii="宋体" w:hAnsi="宋体" w:eastAsia="宋体" w:cs="宋体"/>
          <w:color w:val="auto"/>
          <w:sz w:val="24"/>
          <w:szCs w:val="24"/>
        </w:rPr>
        <w:t>2、乙方应管理和教育好</w:t>
      </w:r>
      <w:r>
        <w:rPr>
          <w:rFonts w:hint="eastAsia" w:ascii="宋体" w:hAnsi="宋体" w:eastAsia="宋体" w:cs="宋体"/>
          <w:color w:val="auto"/>
          <w:sz w:val="24"/>
          <w:szCs w:val="24"/>
          <w:lang w:val="en-US" w:eastAsia="zh-CN"/>
        </w:rPr>
        <w:t>拟派</w:t>
      </w:r>
      <w:r>
        <w:rPr>
          <w:rFonts w:hint="eastAsia" w:ascii="宋体" w:hAnsi="宋体" w:eastAsia="宋体" w:cs="宋体"/>
          <w:color w:val="auto"/>
          <w:sz w:val="24"/>
          <w:szCs w:val="24"/>
          <w:lang w:eastAsia="zh-CN"/>
        </w:rPr>
        <w:t>人员</w:t>
      </w:r>
      <w:r>
        <w:rPr>
          <w:rFonts w:hint="eastAsia" w:ascii="宋体" w:hAnsi="宋体" w:eastAsia="宋体" w:cs="宋体"/>
          <w:color w:val="auto"/>
          <w:sz w:val="24"/>
          <w:szCs w:val="24"/>
        </w:rPr>
        <w:t>遵守甲方的保密规定。如果</w:t>
      </w:r>
      <w:r>
        <w:rPr>
          <w:rFonts w:hint="eastAsia" w:ascii="宋体" w:hAnsi="宋体" w:eastAsia="宋体" w:cs="宋体"/>
          <w:color w:val="auto"/>
          <w:sz w:val="24"/>
          <w:szCs w:val="24"/>
          <w:lang w:val="en-US" w:eastAsia="zh-CN"/>
        </w:rPr>
        <w:t>乙方</w:t>
      </w:r>
      <w:r>
        <w:rPr>
          <w:rFonts w:hint="eastAsia" w:ascii="宋体" w:hAnsi="宋体" w:eastAsia="宋体" w:cs="宋体"/>
          <w:color w:val="auto"/>
          <w:sz w:val="24"/>
          <w:szCs w:val="24"/>
          <w:lang w:eastAsia="zh-CN"/>
        </w:rPr>
        <w:t>人员</w:t>
      </w:r>
      <w:r>
        <w:rPr>
          <w:rFonts w:hint="eastAsia" w:ascii="宋体" w:hAnsi="宋体" w:eastAsia="宋体" w:cs="宋体"/>
          <w:color w:val="auto"/>
          <w:sz w:val="24"/>
          <w:szCs w:val="24"/>
        </w:rPr>
        <w:t>违反甲方的保密要求，给甲方造成损失，甲方有权利追究乙方的责任。</w:t>
      </w:r>
    </w:p>
    <w:p w14:paraId="7CFD5836">
      <w:pPr>
        <w:pStyle w:val="6"/>
        <w:keepNext w:val="0"/>
        <w:keepLines w:val="0"/>
        <w:pageBreakBefore w:val="0"/>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b/>
          <w:color w:val="auto"/>
          <w:sz w:val="24"/>
          <w:szCs w:val="24"/>
        </w:rPr>
      </w:pPr>
      <w:r>
        <w:rPr>
          <w:rFonts w:hint="eastAsia" w:ascii="宋体" w:hAnsi="宋体" w:cs="宋体"/>
          <w:b/>
          <w:color w:val="auto"/>
          <w:sz w:val="24"/>
          <w:szCs w:val="24"/>
          <w:lang w:val="en-US" w:eastAsia="zh-CN"/>
        </w:rPr>
        <w:t>六</w:t>
      </w:r>
      <w:r>
        <w:rPr>
          <w:rFonts w:hint="eastAsia" w:ascii="宋体" w:hAnsi="宋体" w:eastAsia="宋体" w:cs="宋体"/>
          <w:b/>
          <w:color w:val="auto"/>
          <w:sz w:val="24"/>
          <w:szCs w:val="24"/>
        </w:rPr>
        <w:t>、</w:t>
      </w:r>
      <w:r>
        <w:rPr>
          <w:rFonts w:hint="eastAsia" w:ascii="宋体" w:hAnsi="宋体" w:eastAsia="宋体" w:cs="宋体"/>
          <w:b/>
          <w:color w:val="auto"/>
          <w:kern w:val="2"/>
          <w:sz w:val="24"/>
          <w:szCs w:val="24"/>
          <w:lang w:val="en-US" w:eastAsia="zh-CN" w:bidi="ar-SA"/>
        </w:rPr>
        <w:t>违约责任</w:t>
      </w:r>
    </w:p>
    <w:p w14:paraId="72F09868">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1、甲乙双方如因为其他原因要解除合约，应提前一个月通知对方，如有一方违反将补偿对方一个月服务费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同时按照相关法律法规承担相应处罚</w:t>
      </w:r>
      <w:r>
        <w:rPr>
          <w:rFonts w:hint="eastAsia" w:ascii="宋体" w:hAnsi="宋体" w:eastAsia="宋体" w:cs="宋体"/>
          <w:color w:val="auto"/>
          <w:sz w:val="24"/>
          <w:szCs w:val="24"/>
        </w:rPr>
        <w:t>。</w:t>
      </w:r>
    </w:p>
    <w:p w14:paraId="05C592AD">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2、乙方不认真履行合同条款或因其它理由突然终止合同，视为乙方单方违约，甲方即废除同乙方合同，乙方须赔偿甲方当月服务费。</w:t>
      </w:r>
    </w:p>
    <w:p w14:paraId="24AAC274">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3、甲方无正当理由拒付乙方服务费或无故拖欠服务费一个月以上时，乙方有权单方解除合同并撤回派驻人员。甲方须承担追加一个月服务费违约金。</w:t>
      </w:r>
    </w:p>
    <w:p w14:paraId="1B765CA5">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4、乙方在工作中故意或疏忽而出现的责任事故因乙方原因造成他人人身伤害、财产损失及严重损失甲方声誉的，每出现一次，乙方除承担相关赔偿责任，甲方有权单方面解除本合同。</w:t>
      </w:r>
    </w:p>
    <w:p w14:paraId="2BFFA606">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5、乙方</w:t>
      </w:r>
      <w:r>
        <w:rPr>
          <w:rFonts w:hint="eastAsia" w:ascii="宋体" w:hAnsi="宋体" w:eastAsia="宋体" w:cs="宋体"/>
          <w:color w:val="auto"/>
          <w:sz w:val="24"/>
          <w:szCs w:val="24"/>
          <w:lang w:eastAsia="zh-CN"/>
        </w:rPr>
        <w:t>人</w:t>
      </w:r>
      <w:r>
        <w:rPr>
          <w:rFonts w:hint="eastAsia" w:ascii="宋体" w:hAnsi="宋体" w:eastAsia="宋体" w:cs="宋体"/>
          <w:color w:val="auto"/>
          <w:sz w:val="24"/>
          <w:szCs w:val="24"/>
        </w:rPr>
        <w:t>员违反合同所约定之义务，影响合同约定区域的安全或导致甲方其他方面损害，经甲方</w:t>
      </w:r>
      <w:r>
        <w:rPr>
          <w:rFonts w:hint="eastAsia" w:ascii="宋体" w:hAnsi="宋体" w:eastAsia="宋体" w:cs="宋体"/>
          <w:color w:val="auto"/>
          <w:sz w:val="24"/>
          <w:szCs w:val="24"/>
          <w:lang w:eastAsia="zh-CN"/>
        </w:rPr>
        <w:t>书面</w:t>
      </w:r>
      <w:r>
        <w:rPr>
          <w:rFonts w:hint="eastAsia" w:ascii="宋体" w:hAnsi="宋体" w:eastAsia="宋体" w:cs="宋体"/>
          <w:color w:val="auto"/>
          <w:sz w:val="24"/>
          <w:szCs w:val="24"/>
        </w:rPr>
        <w:t>警告仍无整改，甲方有权单方面终止合同，而无须承担任何责任。</w:t>
      </w:r>
    </w:p>
    <w:p w14:paraId="09FF462B">
      <w:pPr>
        <w:keepNext w:val="0"/>
        <w:keepLines w:val="0"/>
        <w:pageBreakBefore w:val="0"/>
        <w:tabs>
          <w:tab w:val="left" w:pos="5355"/>
        </w:tabs>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rPr>
      </w:pPr>
      <w:r>
        <w:rPr>
          <w:rFonts w:hint="eastAsia" w:ascii="宋体" w:hAnsi="宋体" w:cs="宋体"/>
          <w:b/>
          <w:color w:val="auto"/>
          <w:sz w:val="24"/>
          <w:szCs w:val="24"/>
          <w:lang w:val="en-US" w:eastAsia="zh-CN"/>
        </w:rPr>
        <w:t>七</w:t>
      </w:r>
      <w:r>
        <w:rPr>
          <w:rFonts w:hint="eastAsia" w:ascii="宋体" w:hAnsi="宋体" w:eastAsia="宋体" w:cs="宋体"/>
          <w:b/>
          <w:color w:val="auto"/>
          <w:sz w:val="24"/>
          <w:szCs w:val="24"/>
        </w:rPr>
        <w:t>、合同争议的解决</w:t>
      </w:r>
    </w:p>
    <w:p w14:paraId="7089011B">
      <w:pPr>
        <w:keepNext w:val="0"/>
        <w:keepLines w:val="0"/>
        <w:pageBreakBefore w:val="0"/>
        <w:tabs>
          <w:tab w:val="left" w:pos="5355"/>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color w:val="auto"/>
          <w:sz w:val="24"/>
          <w:szCs w:val="24"/>
        </w:rPr>
      </w:pPr>
      <w:r>
        <w:rPr>
          <w:rFonts w:hint="eastAsia" w:ascii="宋体" w:hAnsi="宋体" w:eastAsia="宋体" w:cs="宋体"/>
          <w:color w:val="auto"/>
          <w:sz w:val="24"/>
          <w:szCs w:val="24"/>
        </w:rPr>
        <w:t>合同一经签订，不得随意变更、中止或终止。对确需变更、调整或者中止、终止合同的，应按规定履行相应的手续。</w:t>
      </w:r>
    </w:p>
    <w:p w14:paraId="7466F3E9">
      <w:pPr>
        <w:keepNext w:val="0"/>
        <w:keepLines w:val="0"/>
        <w:pageBreakBefore w:val="0"/>
        <w:tabs>
          <w:tab w:val="left" w:pos="5355"/>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合同执行中发生争议的，甲、乙双方应协商解决，协商达不成一致时，可向甲方所在地人民法院提请诉讼。</w:t>
      </w:r>
    </w:p>
    <w:p w14:paraId="773DEEA1">
      <w:pPr>
        <w:keepNext w:val="0"/>
        <w:keepLines w:val="0"/>
        <w:pageBreakBefore w:val="0"/>
        <w:tabs>
          <w:tab w:val="left" w:pos="5355"/>
        </w:tabs>
        <w:wordWrap/>
        <w:overflowPunct/>
        <w:topLinePunct w:val="0"/>
        <w:autoSpaceDE/>
        <w:autoSpaceDN/>
        <w:bidi w:val="0"/>
        <w:adjustRightInd w:val="0"/>
        <w:snapToGrid w:val="0"/>
        <w:spacing w:line="360" w:lineRule="auto"/>
        <w:textAlignment w:val="auto"/>
        <w:rPr>
          <w:rFonts w:hint="eastAsia" w:ascii="宋体" w:hAnsi="宋体" w:eastAsia="宋体" w:cs="宋体"/>
          <w:b/>
          <w:color w:val="auto"/>
          <w:sz w:val="24"/>
          <w:szCs w:val="24"/>
        </w:rPr>
      </w:pPr>
      <w:r>
        <w:rPr>
          <w:rFonts w:hint="eastAsia" w:ascii="宋体" w:hAnsi="宋体" w:cs="宋体"/>
          <w:b/>
          <w:color w:val="auto"/>
          <w:sz w:val="24"/>
          <w:szCs w:val="24"/>
          <w:lang w:val="en-US" w:eastAsia="zh-CN"/>
        </w:rPr>
        <w:t>八</w:t>
      </w:r>
      <w:r>
        <w:rPr>
          <w:rFonts w:hint="eastAsia" w:ascii="宋体" w:hAnsi="宋体" w:eastAsia="宋体" w:cs="宋体"/>
          <w:b/>
          <w:color w:val="auto"/>
          <w:sz w:val="24"/>
          <w:szCs w:val="24"/>
        </w:rPr>
        <w:t>、其它事项</w:t>
      </w:r>
    </w:p>
    <w:p w14:paraId="5EB3C42C">
      <w:pPr>
        <w:keepNext w:val="0"/>
        <w:keepLines w:val="0"/>
        <w:pageBreakBefore w:val="0"/>
        <w:wordWrap/>
        <w:overflowPunct/>
        <w:topLinePunct w:val="0"/>
        <w:autoSpaceDE/>
        <w:autoSpaceDN/>
        <w:bidi w:val="0"/>
        <w:adjustRightInd w:val="0"/>
        <w:snapToGrid w:val="0"/>
        <w:spacing w:line="360" w:lineRule="auto"/>
        <w:ind w:firstLine="600" w:firstLineChars="25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1、甲、乙双方作为合同执行的主体，有义务及时完全履行合同。</w:t>
      </w:r>
    </w:p>
    <w:p w14:paraId="6F3827B3">
      <w:pPr>
        <w:keepNext w:val="0"/>
        <w:keepLines w:val="0"/>
        <w:pageBreakBefore w:val="0"/>
        <w:wordWrap/>
        <w:overflowPunct/>
        <w:topLinePunct w:val="0"/>
        <w:autoSpaceDE/>
        <w:autoSpaceDN/>
        <w:bidi w:val="0"/>
        <w:adjustRightInd w:val="0"/>
        <w:snapToGrid w:val="0"/>
        <w:spacing w:line="360" w:lineRule="auto"/>
        <w:ind w:firstLine="600" w:firstLineChars="25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、合同未尽事宜，由甲、乙双方协商签订补充协议，作为本合同不可分割的组成部分，与本合同具有同等法律效力。</w:t>
      </w:r>
    </w:p>
    <w:p w14:paraId="4C2693F7">
      <w:pPr>
        <w:keepNext w:val="0"/>
        <w:keepLines w:val="0"/>
        <w:pageBreakBefore w:val="0"/>
        <w:wordWrap/>
        <w:overflowPunct/>
        <w:topLinePunct w:val="0"/>
        <w:autoSpaceDE/>
        <w:autoSpaceDN/>
        <w:bidi w:val="0"/>
        <w:adjustRightInd w:val="0"/>
        <w:snapToGrid w:val="0"/>
        <w:spacing w:line="360" w:lineRule="auto"/>
        <w:ind w:firstLine="600" w:firstLineChars="25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、磋商文件和乙方的磋商响应文件以及合同附件均为合同不可分割的部分。</w:t>
      </w:r>
    </w:p>
    <w:p w14:paraId="5AD36C2F">
      <w:pPr>
        <w:keepNext w:val="0"/>
        <w:keepLines w:val="0"/>
        <w:pageBreakBefore w:val="0"/>
        <w:wordWrap/>
        <w:overflowPunct/>
        <w:topLinePunct w:val="0"/>
        <w:autoSpaceDE/>
        <w:autoSpaceDN/>
        <w:bidi w:val="0"/>
        <w:adjustRightInd w:val="0"/>
        <w:snapToGrid w:val="0"/>
        <w:spacing w:line="360" w:lineRule="auto"/>
        <w:ind w:firstLine="600" w:firstLineChars="25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、合同一式</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份，甲方持</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份、乙方执</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份。双方签字盖章后生效，合同执行完毕自动失效。</w:t>
      </w:r>
    </w:p>
    <w:tbl>
      <w:tblPr>
        <w:tblStyle w:val="11"/>
        <w:tblW w:w="87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2"/>
        <w:gridCol w:w="4345"/>
      </w:tblGrid>
      <w:tr w14:paraId="6228B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shd w:val="clear" w:color="auto" w:fill="D8D8D8"/>
            <w:noWrap w:val="0"/>
            <w:vAlign w:val="bottom"/>
          </w:tcPr>
          <w:p w14:paraId="46D8BCA1">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甲</w:t>
            </w:r>
            <w:r>
              <w:rPr>
                <w:rFonts w:hint="eastAsia" w:ascii="宋体" w:hAnsi="宋体" w:eastAsia="宋体" w:cs="宋体"/>
                <w:b/>
                <w:color w:val="auto"/>
                <w:sz w:val="24"/>
                <w:szCs w:val="24"/>
                <w:highlight w:val="none"/>
              </w:rPr>
              <w:t xml:space="preserve"> 方</w:t>
            </w:r>
          </w:p>
        </w:tc>
        <w:tc>
          <w:tcPr>
            <w:tcW w:w="4345" w:type="dxa"/>
            <w:tcBorders>
              <w:tl2br w:val="nil"/>
              <w:tr2bl w:val="nil"/>
            </w:tcBorders>
            <w:shd w:val="clear" w:color="auto" w:fill="D8D8D8"/>
            <w:noWrap w:val="0"/>
            <w:vAlign w:val="bottom"/>
          </w:tcPr>
          <w:p w14:paraId="31668C9A">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lang w:val="en-US" w:eastAsia="zh-CN"/>
              </w:rPr>
              <w:t>乙</w:t>
            </w:r>
            <w:r>
              <w:rPr>
                <w:rFonts w:hint="eastAsia" w:ascii="宋体" w:hAnsi="宋体" w:eastAsia="宋体" w:cs="宋体"/>
                <w:b/>
                <w:color w:val="auto"/>
                <w:sz w:val="24"/>
                <w:szCs w:val="24"/>
                <w:highlight w:val="none"/>
              </w:rPr>
              <w:t xml:space="preserve">  方</w:t>
            </w:r>
          </w:p>
        </w:tc>
      </w:tr>
      <w:tr w14:paraId="5FB69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076FFC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采购人</w:t>
            </w:r>
            <w:r>
              <w:rPr>
                <w:rFonts w:hint="eastAsia" w:ascii="宋体" w:hAnsi="宋体" w:eastAsia="宋体" w:cs="宋体"/>
                <w:color w:val="auto"/>
                <w:sz w:val="24"/>
                <w:szCs w:val="24"/>
                <w:highlight w:val="none"/>
              </w:rPr>
              <w:t>（公章）</w:t>
            </w:r>
          </w:p>
        </w:tc>
        <w:tc>
          <w:tcPr>
            <w:tcW w:w="4345" w:type="dxa"/>
            <w:tcBorders>
              <w:tl2br w:val="nil"/>
              <w:tr2bl w:val="nil"/>
            </w:tcBorders>
            <w:noWrap w:val="0"/>
            <w:vAlign w:val="center"/>
          </w:tcPr>
          <w:p w14:paraId="4B7637C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成交供应商</w:t>
            </w:r>
            <w:r>
              <w:rPr>
                <w:rFonts w:hint="eastAsia" w:ascii="宋体" w:hAnsi="宋体" w:eastAsia="宋体" w:cs="宋体"/>
                <w:color w:val="auto"/>
                <w:sz w:val="24"/>
                <w:szCs w:val="24"/>
                <w:highlight w:val="none"/>
              </w:rPr>
              <w:t>（公章）</w:t>
            </w:r>
          </w:p>
        </w:tc>
      </w:tr>
      <w:tr w14:paraId="68E97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7C67F24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c>
          <w:tcPr>
            <w:tcW w:w="4345" w:type="dxa"/>
            <w:tcBorders>
              <w:tl2br w:val="nil"/>
              <w:tr2bl w:val="nil"/>
            </w:tcBorders>
            <w:noWrap w:val="0"/>
            <w:vAlign w:val="center"/>
          </w:tcPr>
          <w:p w14:paraId="0D0923D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tc>
      </w:tr>
      <w:tr w14:paraId="212F7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7A18782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4345" w:type="dxa"/>
            <w:tcBorders>
              <w:tl2br w:val="nil"/>
              <w:tr2bl w:val="nil"/>
            </w:tcBorders>
            <w:noWrap w:val="0"/>
            <w:vAlign w:val="center"/>
          </w:tcPr>
          <w:p w14:paraId="27EEA4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14:paraId="1FC51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7525C63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4345" w:type="dxa"/>
            <w:tcBorders>
              <w:tl2br w:val="nil"/>
              <w:tr2bl w:val="nil"/>
            </w:tcBorders>
            <w:noWrap w:val="0"/>
            <w:vAlign w:val="center"/>
          </w:tcPr>
          <w:p w14:paraId="60A1C7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14:paraId="44598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15B6933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c>
          <w:tcPr>
            <w:tcW w:w="4345" w:type="dxa"/>
            <w:tcBorders>
              <w:tl2br w:val="nil"/>
              <w:tr2bl w:val="nil"/>
            </w:tcBorders>
            <w:noWrap w:val="0"/>
            <w:vAlign w:val="center"/>
          </w:tcPr>
          <w:p w14:paraId="00956AF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r>
      <w:tr w14:paraId="48A5C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2057BCB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c>
          <w:tcPr>
            <w:tcW w:w="4345" w:type="dxa"/>
            <w:tcBorders>
              <w:tl2br w:val="nil"/>
              <w:tr2bl w:val="nil"/>
            </w:tcBorders>
            <w:noWrap w:val="0"/>
            <w:vAlign w:val="center"/>
          </w:tcPr>
          <w:p w14:paraId="30F5BAB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电话：</w:t>
            </w:r>
          </w:p>
        </w:tc>
      </w:tr>
      <w:tr w14:paraId="304DA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2EE0D7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4345" w:type="dxa"/>
            <w:tcBorders>
              <w:tl2br w:val="nil"/>
              <w:tr2bl w:val="nil"/>
            </w:tcBorders>
            <w:noWrap w:val="0"/>
            <w:vAlign w:val="center"/>
          </w:tcPr>
          <w:p w14:paraId="0A9B8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14:paraId="5D0E0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299EAA59">
            <w:pPr>
              <w:spacing w:line="360" w:lineRule="auto"/>
              <w:rPr>
                <w:rFonts w:hint="eastAsia" w:ascii="宋体" w:hAnsi="宋体" w:eastAsia="宋体" w:cs="宋体"/>
                <w:color w:val="auto"/>
                <w:sz w:val="24"/>
                <w:szCs w:val="24"/>
                <w:highlight w:val="none"/>
              </w:rPr>
            </w:pPr>
          </w:p>
        </w:tc>
        <w:tc>
          <w:tcPr>
            <w:tcW w:w="4345" w:type="dxa"/>
            <w:tcBorders>
              <w:tl2br w:val="nil"/>
              <w:tr2bl w:val="nil"/>
            </w:tcBorders>
            <w:noWrap w:val="0"/>
            <w:vAlign w:val="center"/>
          </w:tcPr>
          <w:p w14:paraId="08364E5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r>
      <w:tr w14:paraId="5DF04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63F7DFE0">
            <w:pPr>
              <w:spacing w:line="360" w:lineRule="auto"/>
              <w:rPr>
                <w:rFonts w:hint="eastAsia" w:ascii="宋体" w:hAnsi="宋体" w:eastAsia="宋体" w:cs="宋体"/>
                <w:color w:val="auto"/>
                <w:sz w:val="24"/>
                <w:szCs w:val="24"/>
                <w:highlight w:val="none"/>
              </w:rPr>
            </w:pPr>
          </w:p>
        </w:tc>
        <w:tc>
          <w:tcPr>
            <w:tcW w:w="4345" w:type="dxa"/>
            <w:tcBorders>
              <w:tl2br w:val="nil"/>
              <w:tr2bl w:val="nil"/>
            </w:tcBorders>
            <w:noWrap w:val="0"/>
            <w:vAlign w:val="center"/>
          </w:tcPr>
          <w:p w14:paraId="302D230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r>
      <w:tr w14:paraId="54889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4362" w:type="dxa"/>
            <w:tcBorders>
              <w:tl2br w:val="nil"/>
              <w:tr2bl w:val="nil"/>
            </w:tcBorders>
            <w:noWrap w:val="0"/>
            <w:vAlign w:val="center"/>
          </w:tcPr>
          <w:p w14:paraId="2BB599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日</w:t>
            </w:r>
          </w:p>
        </w:tc>
        <w:tc>
          <w:tcPr>
            <w:tcW w:w="4345" w:type="dxa"/>
            <w:tcBorders>
              <w:tl2br w:val="nil"/>
              <w:tr2bl w:val="nil"/>
            </w:tcBorders>
            <w:noWrap w:val="0"/>
            <w:vAlign w:val="center"/>
          </w:tcPr>
          <w:p w14:paraId="4E7A11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日期：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年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 月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日</w:t>
            </w:r>
          </w:p>
        </w:tc>
      </w:tr>
    </w:tbl>
    <w:p w14:paraId="620C4D8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KSOF8235D1FC">
    <w:panose1 w:val="020B0703020204020201"/>
    <w:charset w:val="86"/>
    <w:family w:val="auto"/>
    <w:pitch w:val="default"/>
    <w:sig w:usb0="00000001" w:usb1="00000000" w:usb2="00000000" w:usb3="00000000" w:csb0="00040001" w:csb1="00000000"/>
  </w:font>
  <w:font w:name="Segoe UI">
    <w:panose1 w:val="020B0502040204020203"/>
    <w:charset w:val="00"/>
    <w:family w:val="auto"/>
    <w:pitch w:val="default"/>
    <w:sig w:usb0="E4002EFF" w:usb1="C000E47F"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12444714"/>
    <w:rsid w:val="12800AA8"/>
    <w:rsid w:val="155618F4"/>
    <w:rsid w:val="17BE4BAA"/>
    <w:rsid w:val="192D2EE4"/>
    <w:rsid w:val="1F8709FA"/>
    <w:rsid w:val="271D7FA2"/>
    <w:rsid w:val="2B6A3117"/>
    <w:rsid w:val="39173F23"/>
    <w:rsid w:val="3A0564C1"/>
    <w:rsid w:val="3B7B608D"/>
    <w:rsid w:val="41511340"/>
    <w:rsid w:val="41D41224"/>
    <w:rsid w:val="44C8323B"/>
    <w:rsid w:val="47835CCA"/>
    <w:rsid w:val="47E91B10"/>
    <w:rsid w:val="491F6E4F"/>
    <w:rsid w:val="518931E5"/>
    <w:rsid w:val="528865A1"/>
    <w:rsid w:val="54667951"/>
    <w:rsid w:val="54BD185D"/>
    <w:rsid w:val="54F64E7F"/>
    <w:rsid w:val="57681D54"/>
    <w:rsid w:val="5E2F1773"/>
    <w:rsid w:val="6295498D"/>
    <w:rsid w:val="62B9496B"/>
    <w:rsid w:val="646A35E7"/>
    <w:rsid w:val="66337D8F"/>
    <w:rsid w:val="66386B38"/>
    <w:rsid w:val="670005AB"/>
    <w:rsid w:val="68472F67"/>
    <w:rsid w:val="69C362DB"/>
    <w:rsid w:val="6C367F3C"/>
    <w:rsid w:val="6D5071B3"/>
    <w:rsid w:val="71A94AA3"/>
    <w:rsid w:val="781A1E79"/>
    <w:rsid w:val="78965640"/>
    <w:rsid w:val="79EA1A55"/>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13"/>
    <w:qFormat/>
    <w:uiPriority w:val="0"/>
    <w:pPr>
      <w:spacing w:line="360" w:lineRule="auto"/>
      <w:jc w:val="center"/>
      <w:outlineLvl w:val="0"/>
    </w:pPr>
    <w:rPr>
      <w:rFonts w:ascii="方正小标宋_GBK" w:hAnsi="方正小标宋_GBK" w:eastAsia="宋体"/>
      <w:b/>
      <w:sz w:val="32"/>
      <w:szCs w:val="44"/>
    </w:rPr>
  </w:style>
  <w:style w:type="paragraph" w:styleId="4">
    <w:name w:val="heading 2"/>
    <w:basedOn w:val="1"/>
    <w:next w:val="1"/>
    <w:link w:val="14"/>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5">
    <w:name w:val="heading 3"/>
    <w:basedOn w:val="1"/>
    <w:next w:val="1"/>
    <w:link w:val="15"/>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6">
    <w:name w:val="Normal Indent"/>
    <w:basedOn w:val="1"/>
    <w:qFormat/>
    <w:uiPriority w:val="0"/>
    <w:pPr>
      <w:ind w:firstLine="420" w:firstLineChars="200"/>
    </w:pPr>
  </w:style>
  <w:style w:type="paragraph" w:styleId="7">
    <w:name w:val="Body Text"/>
    <w:basedOn w:val="1"/>
    <w:next w:val="1"/>
    <w:qFormat/>
    <w:uiPriority w:val="0"/>
    <w:pPr>
      <w:spacing w:after="120" w:afterLines="0" w:afterAutospacing="0"/>
    </w:pPr>
  </w:style>
  <w:style w:type="paragraph" w:styleId="8">
    <w:name w:val="Body Text Indent"/>
    <w:basedOn w:val="1"/>
    <w:qFormat/>
    <w:uiPriority w:val="0"/>
    <w:pPr>
      <w:spacing w:after="120" w:afterLines="0" w:afterAutospacing="0"/>
      <w:ind w:left="420" w:leftChars="200"/>
    </w:pPr>
  </w:style>
  <w:style w:type="paragraph" w:styleId="9">
    <w:name w:val="Body Text First Indent"/>
    <w:basedOn w:val="7"/>
    <w:qFormat/>
    <w:uiPriority w:val="0"/>
    <w:pPr>
      <w:ind w:firstLine="420" w:firstLineChars="100"/>
    </w:pPr>
  </w:style>
  <w:style w:type="paragraph" w:styleId="10">
    <w:name w:val="Body Text First Indent 2"/>
    <w:basedOn w:val="8"/>
    <w:qFormat/>
    <w:uiPriority w:val="0"/>
    <w:pPr>
      <w:ind w:firstLine="420" w:firstLineChars="200"/>
    </w:pPr>
  </w:style>
  <w:style w:type="character" w:customStyle="1" w:styleId="13">
    <w:name w:val="标题 1 Char"/>
    <w:link w:val="3"/>
    <w:qFormat/>
    <w:uiPriority w:val="0"/>
    <w:rPr>
      <w:rFonts w:ascii="方正小标宋_GBK" w:hAnsi="方正小标宋_GBK" w:eastAsia="宋体"/>
      <w:b/>
      <w:kern w:val="2"/>
      <w:sz w:val="32"/>
    </w:rPr>
  </w:style>
  <w:style w:type="character" w:customStyle="1" w:styleId="14">
    <w:name w:val="标题 2 Char"/>
    <w:link w:val="4"/>
    <w:qFormat/>
    <w:uiPriority w:val="9"/>
    <w:rPr>
      <w:rFonts w:ascii="楷体" w:hAnsi="楷体" w:eastAsia="宋体" w:cs="Times New Roman"/>
      <w:b/>
      <w:bCs/>
      <w:kern w:val="2"/>
      <w:sz w:val="24"/>
      <w:szCs w:val="32"/>
      <w:lang w:val="zh-CN" w:eastAsia="zh-CN" w:bidi="zh-CN"/>
    </w:rPr>
  </w:style>
  <w:style w:type="character" w:customStyle="1" w:styleId="15">
    <w:name w:val="标题 3 Char"/>
    <w:link w:val="5"/>
    <w:qFormat/>
    <w:uiPriority w:val="0"/>
    <w:rPr>
      <w:rFonts w:ascii="Calibri" w:hAnsi="Calibri" w:eastAsia="宋体" w:cs="Times New Roman"/>
      <w:b/>
      <w:bCs/>
      <w:color w:val="000000"/>
      <w:kern w:val="2"/>
      <w:sz w:val="28"/>
      <w:szCs w:val="24"/>
      <w:shd w:val="clear" w:color="auto" w:fill="auto"/>
      <w:lang w:eastAsia="en-US" w:bidi="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Administrator</cp:lastModifiedBy>
  <dcterms:modified xsi:type="dcterms:W3CDTF">2026-05-27T03:15:04Z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