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版本号：SXWZ2026ZB-SXRM-15120260805001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两院区2026年度医疗设备检定、校准技术服务采购项目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SXWZ2026ZB-SXRM-151</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两院区2026年度医疗设备检定、校准技术服务采购项目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SXWZ2026ZB-SXRM-151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两院区2026年度医疗设备检定、校准技术服务采购项目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完成全院医疗设备的检定/校准工作。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1、营业执照：提供合格有效的法人或其他组织的营业执照等证明文件，自然人参与的提供其身份证复印件加盖公章。</w:t>
      </w:r>
    </w:p>
    <w:p>
      <w:pPr>
        <w:pStyle w:val="null3"/>
      </w:pPr>
      <w:r>
        <w:rPr>
          <w:rFonts w:ascii="仿宋_GB2312" w:hAnsi="仿宋_GB2312" w:cs="仿宋_GB2312" w:eastAsia="仿宋_GB2312"/>
        </w:rPr>
        <w:t>2、财务状况证明：提供2025年度经第三方审计的审计报告（至少包含“四表一注”，即资产负债表、利润表、现金流量表、所有者权益变动表（无所有者权益表的提供书面说明）及其附注，成立时间距离投标文件递交截止时间不足一年的出具成立后任意时段的资产负债表），或出具投标文件递交截止时间前六个月内基本存款账户开户银行出具的资信证明及基本户证明材料（以上两种形式的证明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社会保障资金的证明：提供投标文件递交截止时间前1年内任意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4、税收缴纳证明：提供投标文件递交截止时间前1年内任意一个月的纳税证明或完税证明，纳税证明或完税证明上应有代收机构或税务机关的公章或业务专用章。依法免税的投标人应提供相关文件证明。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5、专业技术声明：提供具有履行本合同所必需的设备和专业技术能力的声明</w:t>
      </w:r>
    </w:p>
    <w:p>
      <w:pPr>
        <w:pStyle w:val="null3"/>
      </w:pPr>
      <w:r>
        <w:rPr>
          <w:rFonts w:ascii="仿宋_GB2312" w:hAnsi="仿宋_GB2312" w:cs="仿宋_GB2312" w:eastAsia="仿宋_GB2312"/>
        </w:rPr>
        <w:t>6、无违法记录声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7、授权书：非法定代表人参加投标的，须提供法定代表人授权委托书及被授权人身份证复印件加盖公章；法定代表人直接参加投标的，须出具法定代表人身份证，并与营业执照或事业法人证书上信息一致。</w:t>
      </w:r>
    </w:p>
    <w:p>
      <w:pPr>
        <w:pStyle w:val="null3"/>
      </w:pPr>
      <w:r>
        <w:rPr>
          <w:rFonts w:ascii="仿宋_GB2312" w:hAnsi="仿宋_GB2312" w:cs="仿宋_GB2312" w:eastAsia="仿宋_GB2312"/>
        </w:rPr>
        <w:t>8、投标人资质：具备中华人民共和国市场监督管理总局颁发的法定计量检定机构计量授权证书（含陕西省市场监督管理局依法设置或依法授权的法定计量检定机构），授权范围覆盖陕西全省；</w:t>
      </w:r>
    </w:p>
    <w:p>
      <w:pPr>
        <w:pStyle w:val="null3"/>
      </w:pPr>
      <w:r>
        <w:rPr>
          <w:rFonts w:ascii="仿宋_GB2312" w:hAnsi="仿宋_GB2312" w:cs="仿宋_GB2312" w:eastAsia="仿宋_GB2312"/>
        </w:rPr>
        <w:t>9、控股关系声明：单位负责人为同一人或存在直接控股、管理关系的不同单位，不得参加同一合同项下的政府采购活动。</w:t>
      </w:r>
    </w:p>
    <w:p>
      <w:pPr>
        <w:pStyle w:val="null3"/>
      </w:pPr>
      <w:r>
        <w:rPr>
          <w:rFonts w:ascii="仿宋_GB2312" w:hAnsi="仿宋_GB2312" w:cs="仿宋_GB2312" w:eastAsia="仿宋_GB2312"/>
        </w:rPr>
        <w:t>10、是否接受联合体投标：本项目不接受联合体投标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029-85251331转2323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开户银行：招商银行西安枫林绿洲支行（转账事由填写：省人民151保证金）</w:t>
            </w:r>
          </w:p>
          <w:p>
            <w:pPr>
              <w:pStyle w:val="null3"/>
            </w:pPr>
            <w:r>
              <w:rPr>
                <w:rFonts w:ascii="仿宋_GB2312" w:hAnsi="仿宋_GB2312" w:cs="仿宋_GB2312" w:eastAsia="仿宋_GB2312"/>
              </w:rPr>
              <w:t>银行账号：1299 0649 2210 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代理服务费收费标准：参照国家计委颁发的《招标代理服务收费管理暂行办法》（计价格[2002]1980号）和国家发展改革委办公厅颁发的《关于招标代理服务收费有关问题的通知》（发改办价格[2003] 857号）的收费标准下浮43%，向采购代理机构一次付清代理服务费。 中标单位按以下账户缴纳服务费（对公转账）： 户名:陕西万泽招标有限公司 账号:2110 1158 0000 0154 89 开户行:西安银行朝阳门支行 转账备注：省人民-151-服务费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 供应商提出验收申请之日起10日内组织验收。 8）验收组织的其他事项：/ 9）技术履约验收内容：详见“技术参数与性能指标”。 10）商务履约验收内容：详见采购文件“商务要求”。 11）履约验收标准：以采购文件及合同约定为准。验收依据:合同文本，招标文件，招标响应文件，供应商所出具的检验报告满足国家或行业规范执行标准。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联系电话：029-88319689-8003</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完成全院医疗设备的检定/校准工作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完成全院医疗设备的检定、校准工作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标的名称：完成全院医疗设备的检定、校准工作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4"/>
                <w:b/>
                <w:color w:val="000000"/>
              </w:rPr>
              <w:t>一、服务项目</w:t>
            </w:r>
          </w:p>
          <w:p>
            <w:pPr>
              <w:pStyle w:val="null3"/>
              <w:ind w:firstLine="480"/>
              <w:jc w:val="both"/>
            </w:pPr>
            <w:r>
              <w:rPr>
                <w:rFonts w:ascii="仿宋_GB2312" w:hAnsi="仿宋_GB2312" w:cs="仿宋_GB2312" w:eastAsia="仿宋_GB2312"/>
                <w:sz w:val="24"/>
                <w:color w:val="000000"/>
              </w:rPr>
              <w:t>1.强检医用计量器具登记</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协助服务方，以国家市场监督管理局的要求为标准完成全院强检医疗设备在中国电子质量监督（</w:t>
            </w:r>
            <w:r>
              <w:rPr>
                <w:rFonts w:ascii="仿宋_GB2312" w:hAnsi="仿宋_GB2312" w:cs="仿宋_GB2312" w:eastAsia="仿宋_GB2312"/>
                <w:sz w:val="24"/>
                <w:color w:val="000000"/>
              </w:rPr>
              <w:t>e-CQS）系统上的登记造册，要求在合同签订后10日内完成。</w:t>
            </w:r>
          </w:p>
          <w:p>
            <w:pPr>
              <w:pStyle w:val="null3"/>
              <w:ind w:firstLine="480"/>
              <w:jc w:val="both"/>
            </w:pPr>
            <w:r>
              <w:rPr>
                <w:rFonts w:ascii="仿宋_GB2312" w:hAnsi="仿宋_GB2312" w:cs="仿宋_GB2312" w:eastAsia="仿宋_GB2312"/>
                <w:sz w:val="24"/>
                <w:color w:val="000000"/>
              </w:rPr>
              <w:t>2.强检设备计量检定</w:t>
            </w:r>
          </w:p>
          <w:p>
            <w:pPr>
              <w:pStyle w:val="null3"/>
              <w:ind w:firstLine="480"/>
              <w:jc w:val="both"/>
            </w:pPr>
            <w:r>
              <w:rPr>
                <w:rFonts w:ascii="仿宋_GB2312" w:hAnsi="仿宋_GB2312" w:cs="仿宋_GB2312" w:eastAsia="仿宋_GB2312"/>
                <w:sz w:val="24"/>
                <w:color w:val="000000"/>
              </w:rPr>
              <w:t>根据强检系统分配情况，协调联系相关检定单位，按年检时限对全院强检医用设备进行计量检定</w:t>
            </w:r>
            <w:r>
              <w:rPr>
                <w:rFonts w:ascii="仿宋_GB2312" w:hAnsi="仿宋_GB2312" w:cs="仿宋_GB2312" w:eastAsia="仿宋_GB2312"/>
                <w:sz w:val="24"/>
                <w:color w:val="000000"/>
              </w:rPr>
              <w:t>, 要求在登记造册后10日内完成。内容清单如下：</w:t>
            </w:r>
          </w:p>
          <w:tbl>
            <w:tblPr>
              <w:tblBorders>
                <w:top w:val="none" w:color="000000" w:sz="4"/>
                <w:left w:val="none" w:color="000000" w:sz="4"/>
                <w:bottom w:val="none" w:color="000000" w:sz="4"/>
                <w:right w:val="none" w:color="000000" w:sz="4"/>
                <w:insideH w:val="none"/>
                <w:insideV w:val="none"/>
              </w:tblBorders>
            </w:tblPr>
            <w:tblGrid>
              <w:gridCol w:w="427"/>
              <w:gridCol w:w="1078"/>
              <w:gridCol w:w="1047"/>
            </w:tblGrid>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数量（台）</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多参数监护仪</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998</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心电图机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电子血压计</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215</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CT</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脑电图机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DR、数字胃肠</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DSA</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水银血压计</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266</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验光仪</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镜片箱</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眼压计</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听力计</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活度计</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bl>
          <w:p>
            <w:pPr>
              <w:pStyle w:val="null3"/>
              <w:ind w:firstLine="480"/>
              <w:jc w:val="both"/>
            </w:pPr>
            <w:r>
              <w:rPr>
                <w:rFonts w:ascii="仿宋_GB2312" w:hAnsi="仿宋_GB2312" w:cs="仿宋_GB2312" w:eastAsia="仿宋_GB2312"/>
                <w:sz w:val="24"/>
                <w:color w:val="000000"/>
              </w:rPr>
              <w:t>3：非强检设备计量检定/校准。</w:t>
            </w:r>
          </w:p>
          <w:p>
            <w:pPr>
              <w:pStyle w:val="null3"/>
              <w:ind w:firstLine="480"/>
              <w:jc w:val="both"/>
            </w:pPr>
            <w:r>
              <w:rPr>
                <w:rFonts w:ascii="仿宋_GB2312" w:hAnsi="仿宋_GB2312" w:cs="仿宋_GB2312" w:eastAsia="仿宋_GB2312"/>
                <w:sz w:val="24"/>
                <w:color w:val="000000"/>
              </w:rPr>
              <w:t>服务方应按时对医院提供的需要计量检定</w:t>
            </w:r>
            <w:r>
              <w:rPr>
                <w:rFonts w:ascii="仿宋_GB2312" w:hAnsi="仿宋_GB2312" w:cs="仿宋_GB2312" w:eastAsia="仿宋_GB2312"/>
                <w:sz w:val="24"/>
                <w:color w:val="000000"/>
              </w:rPr>
              <w:t>/校准的医疗设备按校准规范进行计量检定/校准。要求在完成强检计量器具检定后10天内完成。检定/校准项目台件数如下：</w:t>
            </w:r>
          </w:p>
          <w:tbl>
            <w:tblPr>
              <w:tblBorders>
                <w:top w:val="none" w:color="000000" w:sz="4"/>
                <w:left w:val="none" w:color="000000" w:sz="4"/>
                <w:bottom w:val="none" w:color="000000" w:sz="4"/>
                <w:right w:val="none" w:color="000000" w:sz="4"/>
                <w:insideH w:val="none"/>
                <w:insideV w:val="none"/>
              </w:tblBorders>
            </w:tblPr>
            <w:tblGrid>
              <w:gridCol w:w="390"/>
              <w:gridCol w:w="1201"/>
              <w:gridCol w:w="961"/>
            </w:tblGrid>
            <w:tr>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9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数量（台、通道）</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输液泵、注泵泵</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2159</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血液透析机</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呼吸机、麻醉机</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B超</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高频电刀</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婴儿培养箱</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温湿度计</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核磁共振</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除颤仪</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X、Y剂量仪</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表面污染测量仪</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多功能剂量仪</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电气安全分析仪</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多通道输液设备分析仪</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呼吸质控制仪</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生命体征模拟仪</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高频电刀质量分析仪</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无创血压模拟仪</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放射治疗用电离室剂量计</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气体报警器</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outlineLvl w:val="1"/>
            </w:pPr>
            <w:r>
              <w:rPr>
                <w:rFonts w:ascii="仿宋_GB2312" w:hAnsi="仿宋_GB2312" w:cs="仿宋_GB2312" w:eastAsia="仿宋_GB2312"/>
                <w:sz w:val="24"/>
                <w:b/>
                <w:color w:val="000000"/>
              </w:rPr>
              <w:t>二、技术服务要求</w:t>
            </w:r>
          </w:p>
          <w:p>
            <w:pPr>
              <w:pStyle w:val="null3"/>
              <w:ind w:firstLine="480"/>
              <w:jc w:val="both"/>
            </w:pPr>
            <w:r>
              <w:rPr>
                <w:rFonts w:ascii="仿宋_GB2312" w:hAnsi="仿宋_GB2312" w:cs="仿宋_GB2312" w:eastAsia="仿宋_GB2312"/>
                <w:sz w:val="24"/>
                <w:color w:val="000000"/>
              </w:rPr>
              <w:t>1.按照计量法、计量检定规程和计量校准规范开展工作，并提供符合主管部门要求的结果报告。</w:t>
            </w:r>
          </w:p>
          <w:p>
            <w:pPr>
              <w:pStyle w:val="null3"/>
              <w:ind w:firstLine="480"/>
              <w:jc w:val="both"/>
            </w:pPr>
            <w:r>
              <w:rPr>
                <w:rFonts w:ascii="仿宋_GB2312" w:hAnsi="仿宋_GB2312" w:cs="仿宋_GB2312" w:eastAsia="仿宋_GB2312"/>
                <w:sz w:val="24"/>
                <w:color w:val="000000"/>
              </w:rPr>
              <w:t>2.医院提供现场工作条件，并统筹协调临床科室检测时间。服务方制定技术方案，提供检定、校准仪器设备的基标准器，并对所检定、校准的仪器负责。</w:t>
            </w:r>
          </w:p>
          <w:p>
            <w:pPr>
              <w:pStyle w:val="null3"/>
              <w:ind w:firstLine="480"/>
              <w:jc w:val="both"/>
            </w:pPr>
            <w:r>
              <w:rPr>
                <w:rFonts w:ascii="仿宋_GB2312" w:hAnsi="仿宋_GB2312" w:cs="仿宋_GB2312" w:eastAsia="仿宋_GB2312"/>
                <w:sz w:val="24"/>
                <w:color w:val="000000"/>
              </w:rPr>
              <w:t>3.计量检定校准工作不得对外进行分包，如需分包，须征得医院同意，对检测过程中不符合技术规范要求的计量仪器，医院通过维修后再委托服务方重新检测，服务方不重复收费。</w:t>
            </w:r>
          </w:p>
          <w:p>
            <w:pPr>
              <w:pStyle w:val="null3"/>
              <w:ind w:firstLine="480"/>
              <w:jc w:val="both"/>
            </w:pPr>
            <w:r>
              <w:rPr>
                <w:rFonts w:ascii="仿宋_GB2312" w:hAnsi="仿宋_GB2312" w:cs="仿宋_GB2312" w:eastAsia="仿宋_GB2312"/>
                <w:sz w:val="24"/>
                <w:color w:val="000000"/>
              </w:rPr>
              <w:t>4.对于非强检设备计量检定/校准清单外的台件数，依据分项报价表协商执行。</w:t>
            </w:r>
          </w:p>
          <w:p>
            <w:pPr>
              <w:pStyle w:val="null3"/>
              <w:ind w:firstLine="480"/>
              <w:jc w:val="both"/>
            </w:pPr>
            <w:r>
              <w:rPr>
                <w:rFonts w:ascii="仿宋_GB2312" w:hAnsi="仿宋_GB2312" w:cs="仿宋_GB2312" w:eastAsia="仿宋_GB2312"/>
                <w:sz w:val="24"/>
                <w:color w:val="000000"/>
              </w:rPr>
              <w:t>5.本采购包含三项服务内容，任何一项服务未达到目标要求，均视为服务单位违约。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outlineLvl w:val="1"/>
            </w:pPr>
            <w:r>
              <w:rPr>
                <w:rFonts w:ascii="仿宋_GB2312" w:hAnsi="仿宋_GB2312" w:cs="仿宋_GB2312" w:eastAsia="仿宋_GB2312"/>
                <w:sz w:val="24"/>
                <w:b/>
                <w:color w:val="000000"/>
              </w:rPr>
              <w:t>三、质量要求</w:t>
            </w:r>
          </w:p>
          <w:p>
            <w:pPr>
              <w:pStyle w:val="null3"/>
              <w:ind w:firstLine="480"/>
              <w:jc w:val="both"/>
            </w:pPr>
            <w:r>
              <w:rPr>
                <w:rFonts w:ascii="仿宋_GB2312" w:hAnsi="仿宋_GB2312" w:cs="仿宋_GB2312" w:eastAsia="仿宋_GB2312"/>
                <w:sz w:val="24"/>
                <w:color w:val="000000"/>
              </w:rPr>
              <w:t>检定</w:t>
            </w:r>
            <w:r>
              <w:rPr>
                <w:rFonts w:ascii="仿宋_GB2312" w:hAnsi="仿宋_GB2312" w:cs="仿宋_GB2312" w:eastAsia="仿宋_GB2312"/>
                <w:sz w:val="24"/>
                <w:color w:val="000000"/>
              </w:rPr>
              <w:t>/校准工作和服务质量应满足实验室质量体系文件的要求，设备计量检测对应国家计量技术规程规范中的要求。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验收标准以国家相应的标准、规范等为依据，按照招标文件、澄清文件、投标文件及合同约定执行。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其他，一年服务期满，验收合格后，达到付款条件起45个工作日内，支付合同总金额的100.0%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甲乙双方应按《中华人民共和国民法典》的规定履行职责，乙方应在规定时间内完成检定/校准工作并提供所有设备的计量检定/校准证书，每逾期壹日应向甲方支付合同总价款的百分之一/日的违约金。逾期超过10日，甲方有权解除合同，合同自书面解除通知到达乙方之日起生效，乙方则应按合同最高限价的30%向甲方支付违约金。 （2）争议解决：甲乙双方协商解决或向甲方所在地有管辖权的法院诉讼解决。</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投标人需要在线提交所有通过电子化交易平台实施的政府采购项目的投标文件，同时，线下提交投标 文件正本 壹 份、副本 贰 份。若电子投标文件 与纸质投标文件不一致的，以线上提交的电子投标文件为准。 1.线下提交投标文件地点：西安市高新区唐延路旺座现代城C座25楼2502室 2.联系电话：029-88319689转8003/8005；邮箱：sxwzzb04@163.com 3.保证金汇款时请备注项目编号（例如备注为：省人民-151） 4.供应商登记免费领取采购文件的，如不参与项目投标，应在递交投标（或响应）文件截止时间一日前以书面形式告知采购代理机构（自拟弃标函，发送至以上邮箱）。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提供合格有效的法人或其他组织的营业执照等证明文件，自然人参与的提供其身份证复印件加盖公章。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第三方审计的审计报告（至少包含“四表一注”，即资产负债表、利润表、现金流量表、所有者权益变动表（无所有者权益表的提供书面说明）及其附注，成立时间距离投标文件递交截止时间不足一年的出具成立后任意时段的资产负债表），或出具投标文件递交截止时间前六个月内基本存款账户开户银行出具的资信证明及基本户证明材料（以上两种形式的证明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社会保障资金的证明</w:t>
            </w:r>
          </w:p>
        </w:tc>
        <w:tc>
          <w:tcPr>
            <w:tcW w:type="dxa" w:w="3322"/>
          </w:tcPr>
          <w:p>
            <w:pPr>
              <w:pStyle w:val="null3"/>
            </w:pPr>
            <w:r>
              <w:rPr>
                <w:rFonts w:ascii="仿宋_GB2312" w:hAnsi="仿宋_GB2312" w:cs="仿宋_GB2312" w:eastAsia="仿宋_GB2312"/>
              </w:rPr>
              <w:t>提供投标文件递交截止时间前1年内任意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提供投标文件递交截止时间前1年内任意一个月的纳税证明或完税证明，纳税证明或完税证明上应有代收机构或税务机关的公章或业务专用章。依法免税的投标人应提供相关文件证明。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非法定代表人参加投标的，须提供法定代表人授权委托书及被授权人身份证复印件加盖公章；法定代表人直接参加投标的，须出具法定代表人身份证，并与营业执照或事业法人证书上信息一致。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具备中华人民共和国市场监督管理总局颁发的法定计量检定机构计量授权证书（含陕西省市场监督管理局依法设置或依法授权的法定计量检定机构），授权范围覆盖陕西全省；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（1）投标文件封面 （2）投标函 （3）法定代表人（主要负责人）授权委托书/身份证明</w:t>
            </w:r>
          </w:p>
        </w:tc>
        <w:tc>
          <w:tcPr>
            <w:tcW w:type="dxa" w:w="1661"/>
          </w:tcPr>
          <w:p>
            <w:pPr>
              <w:pStyle w:val="null3"/>
            </w:pPr>
            <w:r>
              <w:rPr>
                <w:rFonts w:ascii="仿宋_GB2312" w:hAnsi="仿宋_GB2312" w:cs="仿宋_GB2312" w:eastAsia="仿宋_GB2312"/>
              </w:rPr>
              <w:t>供应商应提交的相关资格证明材料.docx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服务期是否满足采购文件要求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投标有效期是否满足采购文件要求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投标文件签字、盖章是否满足采购文件要求</w:t>
            </w:r>
          </w:p>
        </w:tc>
        <w:tc>
          <w:tcPr>
            <w:tcW w:type="dxa" w:w="1661"/>
          </w:tcPr>
          <w:p>
            <w:pPr>
              <w:pStyle w:val="null3"/>
            </w:pPr>
            <w:r>
              <w:rPr>
                <w:rFonts w:ascii="仿宋_GB2312" w:hAnsi="仿宋_GB2312" w:cs="仿宋_GB2312" w:eastAsia="仿宋_GB2312"/>
              </w:rPr>
              <w:t>开标一览表 业绩一览表.docx 服务内容及服务要求偏离表.docx 中小企业声明函 服务承诺.docx 供应商认为有必要提供的其他资料.docx 本项目拟投入人员汇总表.docx 供应商应提交的相关资格证明材料.docx 投标函 残疾人福利性单位声明函 标的清单 项目覆盖率.docx 投标文件封面 商务偏离表.docx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供应商针对本项目制定总体方案，包含但不限于：①项目需求理解；②组织保障措施；③提供满足采购需求的时间进度安排计划，要求时间进度安排详细完善、科学、合理。方案内容全面详细、阐述条理清晰详尽、符合本项目采购需求，能有效保障本项目实施的得6分；以上三项内容，每缺少一项扣2分； 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供应商针对本项目制定具体的实施方案，包含但不限于：①强检医用计量器具登记实施方案；②强检设备计量检定实施方案；③非强检设备计量检定/校准实施方案。 ④提供满足项目实施需求的检测设备。方案内容全面详细、阐述条理清晰详尽、符合本项目采购需求，能有效保障本项目实施的得8分；以上四项内容每缺少一项扣2分； 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供应商针对本项目制定的应急预案，包含但不限于：①对紧急或突发业务的应急保障措施；②应急响应时间；③出现紧急情况的应急人员安排。 方案内容全面详细、阐述条理清晰详尽、符合本项目采购需求，能有效保障本项目实施的得9分；以上三项内容每缺少一项扣3分； 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供应商针对本项目制定的质量保证方案，包含但不限于：①明确清晰的质量保证措施；②质量监督检查制度；③信息反馈内控制度；④成果资料管理及移交制度。 方案内容全面详细、阐述条理清晰详尽、符合本项目采购需求，能有效保障本项目实施的得8分；以上四项内容每缺少一项扣2分； 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供应商针对本项目制定的人员配置方案，包含但不限于：①人员组织架构；②工作职责划分；③人员管理制度。 方案内容全面详细、阐述条理清晰详尽、符合本项目采购需求，能有效保障本项目实施的得9分；以上三项内容每缺少一项扣3分； 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本项目拟投入人员汇总表.docx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项目（检定/校准）覆盖率</w:t>
            </w:r>
          </w:p>
        </w:tc>
        <w:tc>
          <w:tcPr>
            <w:tcW w:type="dxa" w:w="2492"/>
          </w:tcPr>
          <w:p>
            <w:pPr>
              <w:pStyle w:val="null3"/>
            </w:pPr>
            <w:r>
              <w:rPr>
                <w:rFonts w:ascii="仿宋_GB2312" w:hAnsi="仿宋_GB2312" w:cs="仿宋_GB2312" w:eastAsia="仿宋_GB2312"/>
              </w:rPr>
              <w:t>以本项目全部设备名称种类清单（强检13项+非强检20项，合计33项）为分母；以投标人承诺能完成检定/校准（含e-CQS登记）的设备名称种类数量为分子，计算覆盖率。评分标准：1、项目设备种类覆盖率为90%以上，得15分； 2、项目设备种类覆盖率为80%-90%（含），得10分； 3、项目设备种类覆盖率为70%-80%（含），得5分；4、项目设备种类覆盖率为70%（含）以下，得0分。 备注：在投标文件中附覆盖能力声明函及能力证明材料，证明材料不全不得分。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项目覆盖率.docx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拟派项目团队人员具有二级及以上注册计量师资格（在投标供应商本单位注册），每有1人得1分，最高得5分。备注：提供相关证书复印件。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包含但不限于：①接受采购人考核、监督及管理承诺；②承诺提供检定/校准报告；③不随意进行人员更换；④突发应急情况人员补充的承诺。⑤强检医用计量器具登记、强检设备计量检定、非强检设备计量检定/校准符合采购需求时间限制承诺。须有以上5项独立符合要求并加盖公章的服务承诺书。每提供１项的得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供应商具有（2022年8月1日至今）的类似项目业绩（时间以合同签订日期为准），提供1份得2分，满分10分。 备注：以上证明材料须提供合同复印件并加盖供应商单位公章，否则不得分。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2、满足招标文件实质性要求且投标报价最低的投标供应商的价格为评标基准价，其价格分为满分20分。 3、投标报价得分=（评标基准价/有效投标报价）×20。 4、投标报价不完整的，不进入评标基准价的计算，本项得0分。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详见附件：项目覆盖率.docx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