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C90676">
      <w:pPr>
        <w:pStyle w:val="5"/>
        <w:jc w:val="center"/>
        <w:outlineLvl w:val="1"/>
      </w:pPr>
      <w:bookmarkStart w:id="0" w:name="_GoBack"/>
      <w:bookmarkEnd w:id="0"/>
      <w:r>
        <w:rPr>
          <w:rFonts w:ascii="仿宋_GB2312" w:hAnsi="仿宋_GB2312" w:eastAsia="仿宋_GB2312" w:cs="仿宋_GB2312"/>
          <w:b/>
          <w:sz w:val="36"/>
        </w:rPr>
        <w:t>拟签订采购合同文本</w:t>
      </w:r>
    </w:p>
    <w:p w14:paraId="53634A0D">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 xml:space="preserve">甲方：                 </w:t>
      </w:r>
    </w:p>
    <w:p w14:paraId="03B493CB">
      <w:pPr>
        <w:spacing w:line="400" w:lineRule="exact"/>
        <w:ind w:firstLine="480" w:firstLineChars="200"/>
        <w:rPr>
          <w:rFonts w:hint="eastAsia" w:ascii="仿宋" w:hAnsi="仿宋" w:eastAsia="仿宋" w:cs="仿宋"/>
          <w:color w:val="000000"/>
          <w:sz w:val="24"/>
          <w:szCs w:val="24"/>
        </w:rPr>
      </w:pPr>
    </w:p>
    <w:p w14:paraId="2B1D2F38">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 xml:space="preserve">乙方： </w:t>
      </w:r>
    </w:p>
    <w:p w14:paraId="57E581CC">
      <w:pPr>
        <w:spacing w:line="400" w:lineRule="exact"/>
        <w:ind w:firstLine="480" w:firstLineChars="200"/>
        <w:rPr>
          <w:rFonts w:hint="eastAsia" w:ascii="仿宋" w:hAnsi="仿宋" w:eastAsia="仿宋" w:cs="仿宋"/>
          <w:color w:val="000000"/>
          <w:sz w:val="24"/>
          <w:szCs w:val="24"/>
        </w:rPr>
      </w:pPr>
    </w:p>
    <w:p w14:paraId="4C5C2A30">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甲乙双方基于公平、公正、平等的原则，依据《中华人民共和国民法典》之相关规定，现经甲、乙双方友好协商，就甲方购买乙方产品事宜，达成以下合同条款：</w:t>
      </w:r>
    </w:p>
    <w:p w14:paraId="71DA8554">
      <w:pPr>
        <w:spacing w:line="400" w:lineRule="exact"/>
        <w:rPr>
          <w:rFonts w:hint="eastAsia" w:ascii="仿宋" w:hAnsi="仿宋" w:eastAsia="仿宋" w:cs="仿宋"/>
          <w:b/>
          <w:color w:val="000000"/>
          <w:sz w:val="24"/>
          <w:szCs w:val="24"/>
        </w:rPr>
      </w:pPr>
    </w:p>
    <w:p w14:paraId="3E9FC712">
      <w:pPr>
        <w:spacing w:line="400" w:lineRule="exact"/>
        <w:rPr>
          <w:rFonts w:hint="eastAsia" w:ascii="仿宋" w:hAnsi="仿宋" w:eastAsia="仿宋" w:cs="仿宋"/>
          <w:b/>
          <w:color w:val="000000"/>
          <w:sz w:val="24"/>
          <w:szCs w:val="24"/>
        </w:rPr>
      </w:pPr>
      <w:r>
        <w:rPr>
          <w:rFonts w:hint="eastAsia" w:ascii="仿宋" w:hAnsi="仿宋" w:eastAsia="仿宋" w:cs="仿宋"/>
          <w:b/>
          <w:color w:val="000000"/>
          <w:sz w:val="24"/>
          <w:szCs w:val="24"/>
        </w:rPr>
        <w:t>第一条：合同内容：</w:t>
      </w:r>
    </w:p>
    <w:tbl>
      <w:tblPr>
        <w:tblStyle w:val="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1698"/>
        <w:gridCol w:w="1232"/>
        <w:gridCol w:w="850"/>
        <w:gridCol w:w="1559"/>
        <w:gridCol w:w="1707"/>
      </w:tblGrid>
      <w:tr w14:paraId="330A5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64" w:type="pct"/>
            <w:noWrap w:val="0"/>
            <w:vAlign w:val="center"/>
          </w:tcPr>
          <w:p w14:paraId="2129F077">
            <w:pPr>
              <w:spacing w:line="4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产品名称</w:t>
            </w:r>
          </w:p>
        </w:tc>
        <w:tc>
          <w:tcPr>
            <w:tcW w:w="997" w:type="pct"/>
            <w:noWrap w:val="0"/>
            <w:vAlign w:val="center"/>
          </w:tcPr>
          <w:p w14:paraId="043E3A8A">
            <w:pPr>
              <w:spacing w:line="4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品牌</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型号</w:t>
            </w:r>
          </w:p>
        </w:tc>
        <w:tc>
          <w:tcPr>
            <w:tcW w:w="723" w:type="pct"/>
            <w:noWrap w:val="0"/>
            <w:vAlign w:val="center"/>
          </w:tcPr>
          <w:p w14:paraId="2BB816C4">
            <w:pPr>
              <w:spacing w:line="4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单位</w:t>
            </w:r>
          </w:p>
        </w:tc>
        <w:tc>
          <w:tcPr>
            <w:tcW w:w="499" w:type="pct"/>
            <w:noWrap w:val="0"/>
            <w:vAlign w:val="center"/>
          </w:tcPr>
          <w:p w14:paraId="3A027DD9">
            <w:pPr>
              <w:spacing w:line="4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数量</w:t>
            </w:r>
          </w:p>
        </w:tc>
        <w:tc>
          <w:tcPr>
            <w:tcW w:w="915" w:type="pct"/>
            <w:noWrap w:val="0"/>
            <w:vAlign w:val="center"/>
          </w:tcPr>
          <w:p w14:paraId="6DE1F999">
            <w:pPr>
              <w:spacing w:line="4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单价</w:t>
            </w:r>
          </w:p>
          <w:p w14:paraId="24ECCF28">
            <w:pPr>
              <w:spacing w:line="4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（人民币）</w:t>
            </w:r>
          </w:p>
        </w:tc>
        <w:tc>
          <w:tcPr>
            <w:tcW w:w="1000" w:type="pct"/>
            <w:noWrap w:val="0"/>
            <w:vAlign w:val="center"/>
          </w:tcPr>
          <w:p w14:paraId="7BE3D108">
            <w:pPr>
              <w:spacing w:line="4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总价</w:t>
            </w:r>
          </w:p>
          <w:p w14:paraId="63976C7A">
            <w:pPr>
              <w:spacing w:line="4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（人民币）</w:t>
            </w:r>
          </w:p>
        </w:tc>
      </w:tr>
      <w:tr w14:paraId="76193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64" w:type="pct"/>
            <w:noWrap w:val="0"/>
            <w:vAlign w:val="top"/>
          </w:tcPr>
          <w:p w14:paraId="455FE4CC">
            <w:pPr>
              <w:spacing w:line="400" w:lineRule="exact"/>
              <w:rPr>
                <w:rFonts w:ascii="仿宋" w:hAnsi="仿宋" w:eastAsia="仿宋" w:cs="仿宋"/>
                <w:color w:val="000000"/>
                <w:sz w:val="24"/>
                <w:szCs w:val="24"/>
              </w:rPr>
            </w:pPr>
          </w:p>
        </w:tc>
        <w:tc>
          <w:tcPr>
            <w:tcW w:w="997" w:type="pct"/>
            <w:noWrap w:val="0"/>
            <w:vAlign w:val="top"/>
          </w:tcPr>
          <w:p w14:paraId="4EE56F8C">
            <w:pPr>
              <w:spacing w:line="400" w:lineRule="exact"/>
              <w:jc w:val="left"/>
              <w:rPr>
                <w:rFonts w:ascii="仿宋" w:hAnsi="仿宋" w:eastAsia="仿宋" w:cs="仿宋"/>
                <w:color w:val="000000"/>
                <w:sz w:val="24"/>
                <w:szCs w:val="24"/>
              </w:rPr>
            </w:pPr>
          </w:p>
        </w:tc>
        <w:tc>
          <w:tcPr>
            <w:tcW w:w="723" w:type="pct"/>
            <w:noWrap w:val="0"/>
            <w:vAlign w:val="top"/>
          </w:tcPr>
          <w:p w14:paraId="48E68246">
            <w:pPr>
              <w:spacing w:line="400" w:lineRule="exact"/>
              <w:rPr>
                <w:rFonts w:ascii="仿宋" w:hAnsi="仿宋" w:eastAsia="仿宋" w:cs="仿宋"/>
                <w:color w:val="000000"/>
                <w:sz w:val="24"/>
                <w:szCs w:val="24"/>
              </w:rPr>
            </w:pPr>
          </w:p>
        </w:tc>
        <w:tc>
          <w:tcPr>
            <w:tcW w:w="499" w:type="pct"/>
            <w:noWrap w:val="0"/>
            <w:vAlign w:val="top"/>
          </w:tcPr>
          <w:p w14:paraId="2F5FB408">
            <w:pPr>
              <w:spacing w:line="400" w:lineRule="exact"/>
              <w:rPr>
                <w:rFonts w:ascii="仿宋" w:hAnsi="仿宋" w:eastAsia="仿宋" w:cs="仿宋"/>
                <w:color w:val="000000"/>
                <w:sz w:val="24"/>
                <w:szCs w:val="24"/>
              </w:rPr>
            </w:pPr>
          </w:p>
        </w:tc>
        <w:tc>
          <w:tcPr>
            <w:tcW w:w="915" w:type="pct"/>
            <w:noWrap w:val="0"/>
            <w:vAlign w:val="center"/>
          </w:tcPr>
          <w:p w14:paraId="64EEA256">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w:t>
            </w:r>
          </w:p>
        </w:tc>
        <w:tc>
          <w:tcPr>
            <w:tcW w:w="1000" w:type="pct"/>
            <w:noWrap w:val="0"/>
            <w:vAlign w:val="center"/>
          </w:tcPr>
          <w:p w14:paraId="09DE259E">
            <w:pPr>
              <w:spacing w:line="400" w:lineRule="exact"/>
              <w:ind w:right="960"/>
              <w:rPr>
                <w:rFonts w:ascii="仿宋" w:hAnsi="仿宋" w:eastAsia="仿宋" w:cs="仿宋"/>
                <w:color w:val="000000"/>
                <w:sz w:val="24"/>
                <w:szCs w:val="24"/>
              </w:rPr>
            </w:pPr>
            <w:r>
              <w:rPr>
                <w:rFonts w:hint="eastAsia" w:ascii="仿宋" w:hAnsi="仿宋" w:eastAsia="仿宋" w:cs="仿宋"/>
                <w:color w:val="000000"/>
                <w:sz w:val="24"/>
                <w:szCs w:val="24"/>
              </w:rPr>
              <w:t>￥</w:t>
            </w:r>
          </w:p>
        </w:tc>
      </w:tr>
      <w:tr w14:paraId="11A7B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5000" w:type="pct"/>
            <w:gridSpan w:val="6"/>
            <w:noWrap w:val="0"/>
            <w:vAlign w:val="top"/>
          </w:tcPr>
          <w:p w14:paraId="4E265659">
            <w:pPr>
              <w:spacing w:line="400" w:lineRule="exact"/>
              <w:rPr>
                <w:rFonts w:ascii="仿宋" w:hAnsi="仿宋" w:eastAsia="仿宋" w:cs="仿宋"/>
                <w:sz w:val="24"/>
                <w:szCs w:val="24"/>
              </w:rPr>
            </w:pPr>
            <w:r>
              <w:rPr>
                <w:rFonts w:hint="eastAsia" w:ascii="仿宋" w:hAnsi="仿宋" w:eastAsia="仿宋" w:cs="仿宋"/>
                <w:color w:val="000000"/>
                <w:sz w:val="24"/>
                <w:szCs w:val="24"/>
              </w:rPr>
              <w:t xml:space="preserve">合计（大写）：人民币          元整；                （小写）：￥                                                                                  </w:t>
            </w:r>
          </w:p>
        </w:tc>
      </w:tr>
    </w:tbl>
    <w:p w14:paraId="18128665">
      <w:pPr>
        <w:spacing w:line="400" w:lineRule="exact"/>
        <w:rPr>
          <w:rFonts w:hint="eastAsia" w:ascii="仿宋" w:hAnsi="仿宋" w:eastAsia="仿宋" w:cs="仿宋"/>
          <w:b/>
          <w:color w:val="000000"/>
          <w:sz w:val="24"/>
          <w:szCs w:val="24"/>
        </w:rPr>
      </w:pPr>
    </w:p>
    <w:p w14:paraId="6F13289E">
      <w:pPr>
        <w:spacing w:line="400" w:lineRule="exact"/>
        <w:rPr>
          <w:rFonts w:hint="eastAsia" w:ascii="仿宋" w:hAnsi="仿宋" w:eastAsia="仿宋" w:cs="仿宋"/>
          <w:b/>
          <w:color w:val="000000"/>
          <w:sz w:val="24"/>
          <w:szCs w:val="24"/>
        </w:rPr>
      </w:pPr>
      <w:r>
        <w:rPr>
          <w:rFonts w:hint="eastAsia" w:ascii="仿宋" w:hAnsi="仿宋" w:eastAsia="仿宋" w:cs="仿宋"/>
          <w:b/>
          <w:color w:val="000000"/>
          <w:sz w:val="24"/>
          <w:szCs w:val="24"/>
        </w:rPr>
        <w:t>第二条：合同价款：</w:t>
      </w:r>
    </w:p>
    <w:p w14:paraId="273CB42A">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1、合同总金额：人民币          元整。</w:t>
      </w:r>
    </w:p>
    <w:p w14:paraId="6E101C84">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2、合同总金额包含产品软件</w:t>
      </w:r>
      <w:r>
        <w:rPr>
          <w:rFonts w:hint="eastAsia" w:ascii="仿宋" w:hAnsi="仿宋" w:eastAsia="仿宋" w:cs="仿宋"/>
          <w:color w:val="000000"/>
          <w:sz w:val="24"/>
          <w:szCs w:val="24"/>
          <w:lang w:val="en-US" w:eastAsia="zh-CN"/>
        </w:rPr>
        <w:t>费</w:t>
      </w:r>
      <w:r>
        <w:rPr>
          <w:rFonts w:hint="eastAsia" w:ascii="仿宋" w:hAnsi="仿宋" w:eastAsia="仿宋" w:cs="仿宋"/>
          <w:color w:val="000000"/>
          <w:sz w:val="24"/>
          <w:szCs w:val="24"/>
        </w:rPr>
        <w:t>、开发费、安装调试费、人工费、专用工具的费用、培训费、税金及其它不可预见费用。</w:t>
      </w:r>
    </w:p>
    <w:p w14:paraId="5374F615">
      <w:pPr>
        <w:spacing w:line="400" w:lineRule="exact"/>
        <w:rPr>
          <w:rFonts w:hint="eastAsia" w:ascii="仿宋" w:hAnsi="仿宋" w:eastAsia="仿宋" w:cs="仿宋"/>
          <w:b/>
          <w:color w:val="000000"/>
          <w:sz w:val="24"/>
          <w:szCs w:val="24"/>
        </w:rPr>
      </w:pPr>
    </w:p>
    <w:p w14:paraId="61F7B16F">
      <w:pPr>
        <w:spacing w:line="400" w:lineRule="exact"/>
        <w:rPr>
          <w:rFonts w:hint="eastAsia" w:ascii="仿宋" w:hAnsi="仿宋" w:eastAsia="仿宋" w:cs="仿宋"/>
          <w:b/>
          <w:color w:val="000000"/>
          <w:sz w:val="24"/>
          <w:szCs w:val="24"/>
        </w:rPr>
      </w:pPr>
      <w:r>
        <w:rPr>
          <w:rFonts w:hint="eastAsia" w:ascii="仿宋" w:hAnsi="仿宋" w:eastAsia="仿宋" w:cs="仿宋"/>
          <w:b/>
          <w:color w:val="000000"/>
          <w:sz w:val="24"/>
          <w:szCs w:val="24"/>
        </w:rPr>
        <w:t>第三条：服务地点：</w:t>
      </w:r>
    </w:p>
    <w:p w14:paraId="6057A442">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lang w:val="en-US" w:eastAsia="zh-CN"/>
        </w:rPr>
        <w:t>采购人</w:t>
      </w:r>
      <w:r>
        <w:rPr>
          <w:rFonts w:hint="eastAsia" w:ascii="仿宋" w:hAnsi="仿宋" w:eastAsia="仿宋" w:cs="仿宋"/>
          <w:color w:val="000000"/>
          <w:sz w:val="24"/>
          <w:szCs w:val="24"/>
        </w:rPr>
        <w:t>指定地点</w:t>
      </w:r>
    </w:p>
    <w:p w14:paraId="6AFA0619">
      <w:pPr>
        <w:spacing w:line="400" w:lineRule="exact"/>
        <w:rPr>
          <w:rFonts w:hint="eastAsia" w:ascii="仿宋" w:hAnsi="仿宋" w:eastAsia="仿宋" w:cs="仿宋"/>
          <w:b/>
          <w:color w:val="000000"/>
          <w:sz w:val="24"/>
          <w:szCs w:val="24"/>
        </w:rPr>
      </w:pPr>
    </w:p>
    <w:p w14:paraId="0A7BCD04">
      <w:pPr>
        <w:spacing w:line="400" w:lineRule="exact"/>
        <w:rPr>
          <w:rFonts w:hint="eastAsia" w:ascii="仿宋" w:hAnsi="仿宋" w:eastAsia="仿宋" w:cs="仿宋"/>
          <w:b/>
          <w:color w:val="000000"/>
          <w:sz w:val="24"/>
          <w:szCs w:val="24"/>
        </w:rPr>
      </w:pPr>
      <w:r>
        <w:rPr>
          <w:rFonts w:hint="eastAsia" w:ascii="仿宋" w:hAnsi="仿宋" w:eastAsia="仿宋" w:cs="仿宋"/>
          <w:b/>
          <w:color w:val="000000"/>
          <w:sz w:val="24"/>
          <w:szCs w:val="24"/>
        </w:rPr>
        <w:t>第四条：</w:t>
      </w:r>
      <w:r>
        <w:rPr>
          <w:rFonts w:hint="eastAsia" w:ascii="仿宋" w:hAnsi="仿宋" w:eastAsia="仿宋" w:cs="仿宋"/>
          <w:b/>
          <w:color w:val="000000"/>
          <w:sz w:val="24"/>
          <w:szCs w:val="24"/>
          <w:lang w:val="en-US" w:eastAsia="zh-CN"/>
        </w:rPr>
        <w:t>交货期</w:t>
      </w:r>
      <w:r>
        <w:rPr>
          <w:rFonts w:hint="eastAsia" w:ascii="仿宋" w:hAnsi="仿宋" w:eastAsia="仿宋" w:cs="仿宋"/>
          <w:b/>
          <w:color w:val="000000"/>
          <w:sz w:val="24"/>
          <w:szCs w:val="24"/>
        </w:rPr>
        <w:t>、质保期：</w:t>
      </w:r>
    </w:p>
    <w:p w14:paraId="000C33F2">
      <w:pPr>
        <w:pStyle w:val="2"/>
        <w:spacing w:line="400" w:lineRule="exact"/>
        <w:ind w:firstLine="0"/>
        <w:rPr>
          <w:rFonts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交货期</w:t>
      </w:r>
      <w:r>
        <w:rPr>
          <w:rFonts w:hint="eastAsia" w:ascii="仿宋" w:hAnsi="仿宋" w:eastAsia="仿宋" w:cs="仿宋"/>
          <w:color w:val="000000"/>
          <w:sz w:val="24"/>
          <w:szCs w:val="24"/>
        </w:rPr>
        <w:t>：本项目交付周期为 120个日历日，在项目签约后，以甲方通知入场为起始日，120个日历日内完成；因甲方项目需求变化或第三方接口配合度等因素导致延期，本项目交付日期正常顺延。</w:t>
      </w:r>
    </w:p>
    <w:p w14:paraId="1D64E73B">
      <w:pPr>
        <w:pStyle w:val="2"/>
        <w:spacing w:line="400" w:lineRule="exact"/>
        <w:ind w:firstLine="0"/>
        <w:rPr>
          <w:rFonts w:ascii="仿宋" w:hAnsi="仿宋" w:eastAsia="仿宋" w:cs="仿宋"/>
          <w:color w:val="000000"/>
          <w:sz w:val="24"/>
          <w:szCs w:val="24"/>
        </w:rPr>
      </w:pPr>
      <w:r>
        <w:rPr>
          <w:rFonts w:hint="eastAsia" w:ascii="仿宋" w:hAnsi="仿宋" w:eastAsia="仿宋" w:cs="仿宋"/>
          <w:color w:val="000000"/>
          <w:sz w:val="24"/>
          <w:szCs w:val="24"/>
        </w:rPr>
        <w:t>2、质保期：自验收合格之日起，提供为期36个月的免费质保服务。质保服务期内免费提供需要更换升级的软硬件，免维修人工及相关费用。</w:t>
      </w:r>
    </w:p>
    <w:p w14:paraId="7D53A37C">
      <w:pPr>
        <w:spacing w:line="400" w:lineRule="exact"/>
        <w:rPr>
          <w:rFonts w:hint="eastAsia" w:ascii="仿宋" w:hAnsi="仿宋" w:eastAsia="仿宋" w:cs="仿宋"/>
          <w:b/>
          <w:color w:val="000000"/>
          <w:sz w:val="24"/>
          <w:szCs w:val="24"/>
        </w:rPr>
      </w:pPr>
    </w:p>
    <w:p w14:paraId="359C52FA">
      <w:pPr>
        <w:spacing w:line="400" w:lineRule="exact"/>
        <w:rPr>
          <w:rFonts w:hint="eastAsia" w:ascii="仿宋" w:hAnsi="仿宋" w:eastAsia="仿宋" w:cs="仿宋"/>
          <w:b/>
          <w:color w:val="000000"/>
          <w:sz w:val="24"/>
          <w:szCs w:val="24"/>
        </w:rPr>
      </w:pPr>
      <w:r>
        <w:rPr>
          <w:rFonts w:hint="eastAsia" w:ascii="仿宋" w:hAnsi="仿宋" w:eastAsia="仿宋" w:cs="仿宋"/>
          <w:b/>
          <w:color w:val="000000"/>
          <w:sz w:val="24"/>
          <w:szCs w:val="24"/>
        </w:rPr>
        <w:t>第五条：项目实施要求：</w:t>
      </w:r>
    </w:p>
    <w:p w14:paraId="76F4DCBD">
      <w:pPr>
        <w:spacing w:line="400" w:lineRule="exact"/>
        <w:rPr>
          <w:rFonts w:ascii="仿宋" w:hAnsi="仿宋" w:eastAsia="仿宋" w:cs="仿宋"/>
          <w:b/>
          <w:color w:val="000000"/>
          <w:sz w:val="24"/>
          <w:szCs w:val="24"/>
        </w:rPr>
      </w:pPr>
      <w:r>
        <w:rPr>
          <w:rFonts w:hint="eastAsia" w:ascii="仿宋" w:hAnsi="仿宋" w:eastAsia="仿宋" w:cs="仿宋"/>
          <w:color w:val="000000"/>
          <w:sz w:val="24"/>
          <w:szCs w:val="24"/>
        </w:rPr>
        <w:t>全病程管理（乳腺专病）系统采购项目，详见</w:t>
      </w:r>
      <w:r>
        <w:rPr>
          <w:rFonts w:hint="eastAsia" w:ascii="仿宋" w:hAnsi="仿宋" w:eastAsia="仿宋" w:cs="仿宋"/>
          <w:color w:val="000000"/>
          <w:sz w:val="24"/>
          <w:szCs w:val="24"/>
          <w:lang w:val="en-US" w:eastAsia="zh-CN"/>
        </w:rPr>
        <w:t>采购人</w:t>
      </w:r>
      <w:r>
        <w:rPr>
          <w:rFonts w:hint="eastAsia" w:ascii="仿宋" w:hAnsi="仿宋" w:eastAsia="仿宋" w:cs="仿宋"/>
          <w:color w:val="000000"/>
          <w:sz w:val="24"/>
          <w:szCs w:val="24"/>
        </w:rPr>
        <w:t>服务要求。</w:t>
      </w:r>
    </w:p>
    <w:p w14:paraId="1263DFD1">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第六条：结算方式：</w:t>
      </w:r>
    </w:p>
    <w:p w14:paraId="48EE156D">
      <w:pPr>
        <w:spacing w:line="400" w:lineRule="exact"/>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本项目验收合格无质量问题，根据合同约定付款</w:t>
      </w:r>
      <w:r>
        <w:rPr>
          <w:rFonts w:hint="eastAsia" w:ascii="仿宋" w:hAnsi="仿宋" w:eastAsia="仿宋" w:cs="仿宋"/>
          <w:color w:val="000000"/>
          <w:sz w:val="24"/>
          <w:szCs w:val="24"/>
          <w:lang w:eastAsia="zh-CN"/>
        </w:rPr>
        <w:t>。</w:t>
      </w:r>
    </w:p>
    <w:p w14:paraId="55EE7E63">
      <w:pPr>
        <w:spacing w:line="400" w:lineRule="exact"/>
        <w:rPr>
          <w:rFonts w:hint="eastAsia" w:ascii="仿宋" w:hAnsi="仿宋" w:eastAsia="仿宋" w:cs="仿宋"/>
          <w:b/>
          <w:color w:val="000000"/>
          <w:sz w:val="24"/>
          <w:szCs w:val="24"/>
        </w:rPr>
      </w:pPr>
    </w:p>
    <w:p w14:paraId="10545E02">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第七条：违约责任：</w:t>
      </w:r>
    </w:p>
    <w:p w14:paraId="5C0F5556">
      <w:pPr>
        <w:numPr>
          <w:ilvl w:val="0"/>
          <w:numId w:val="1"/>
        </w:numPr>
        <w:spacing w:line="400" w:lineRule="exact"/>
        <w:rPr>
          <w:rFonts w:ascii="仿宋" w:hAnsi="仿宋" w:eastAsia="仿宋"/>
          <w:sz w:val="24"/>
          <w:szCs w:val="24"/>
        </w:rPr>
      </w:pPr>
      <w:r>
        <w:rPr>
          <w:rFonts w:hint="eastAsia" w:ascii="仿宋" w:hAnsi="仿宋" w:eastAsia="仿宋" w:cs="仿宋"/>
          <w:color w:val="000000"/>
          <w:sz w:val="24"/>
          <w:szCs w:val="24"/>
        </w:rPr>
        <w:t>乙方如果逾期供货，甲方有权每日按照合同总金额的0.5‰收取乙方违约金。当以上情况持续60天以上时，甲方有权终止合同，乙方应将全部服务档案移交甲方，并在合同终止一个月内，配合甲方做好交接工作，并有权对由此引起的损失要求乙方予以赔偿。如交付的产品数量、品种、规格、质量不符合国家标准和合同约定的由乙方负责包修、包换、退货，并承担由此给甲方造成的所有经济损失。</w:t>
      </w:r>
    </w:p>
    <w:p w14:paraId="0831CBF8">
      <w:pPr>
        <w:numPr>
          <w:ilvl w:val="0"/>
          <w:numId w:val="1"/>
        </w:num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甲方如果逾期付款，乙方有权每日按照合同金额的0.5‰收取甲方违约金。当以上情况持续60天以上时，乙方有权终止合同。由此引起的损失要求甲方予以赔偿。</w:t>
      </w:r>
    </w:p>
    <w:p w14:paraId="32DC0A03">
      <w:pPr>
        <w:spacing w:line="400" w:lineRule="exact"/>
        <w:rPr>
          <w:rFonts w:hint="eastAsia" w:ascii="仿宋" w:hAnsi="仿宋" w:eastAsia="仿宋" w:cs="仿宋"/>
          <w:b/>
          <w:color w:val="000000"/>
          <w:sz w:val="24"/>
          <w:szCs w:val="24"/>
        </w:rPr>
      </w:pPr>
    </w:p>
    <w:p w14:paraId="78E9A002">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第八条：知识产权：</w:t>
      </w:r>
    </w:p>
    <w:p w14:paraId="30CBE73D">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 xml:space="preserve">1、中标人保证用户使用其服务及成果时不受第三方关于侵犯专利权、著作权等知识产权的指控。任何第三方如果提出侵权指控，中标人须与第三方交涉并承担可能发生的一切法律责任和费用。 </w:t>
      </w:r>
    </w:p>
    <w:p w14:paraId="7B64CA21">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、在本项目的实施过程中，如果根据设计需要购置其他软件产品或组件，包括</w:t>
      </w:r>
      <w:r>
        <w:rPr>
          <w:rFonts w:hint="eastAsia" w:ascii="仿宋" w:hAnsi="仿宋" w:eastAsia="仿宋" w:cs="仿宋"/>
          <w:color w:val="000000"/>
          <w:sz w:val="24"/>
          <w:szCs w:val="24"/>
          <w:lang w:val="en-US" w:eastAsia="zh-CN"/>
        </w:rPr>
        <w:t>供应商</w:t>
      </w:r>
      <w:r>
        <w:rPr>
          <w:rFonts w:hint="eastAsia" w:ascii="仿宋" w:hAnsi="仿宋" w:eastAsia="仿宋" w:cs="仿宋"/>
          <w:color w:val="000000"/>
          <w:sz w:val="24"/>
          <w:szCs w:val="24"/>
        </w:rPr>
        <w:t>自主知识产权的产品，都必须向</w:t>
      </w:r>
      <w:r>
        <w:rPr>
          <w:rFonts w:hint="eastAsia" w:ascii="仿宋" w:hAnsi="仿宋" w:eastAsia="仿宋" w:cs="仿宋"/>
          <w:color w:val="000000"/>
          <w:sz w:val="24"/>
          <w:szCs w:val="24"/>
          <w:lang w:val="en-US" w:eastAsia="zh-CN"/>
        </w:rPr>
        <w:t>供应商</w:t>
      </w:r>
      <w:r>
        <w:rPr>
          <w:rFonts w:hint="eastAsia" w:ascii="仿宋" w:hAnsi="仿宋" w:eastAsia="仿宋" w:cs="仿宋"/>
          <w:color w:val="000000"/>
          <w:sz w:val="24"/>
          <w:szCs w:val="24"/>
        </w:rPr>
        <w:t>、采购人做出详细说明，并列出软件产品的详细清单，包括产品名称、功能、用途、</w:t>
      </w:r>
      <w:r>
        <w:rPr>
          <w:rFonts w:hint="eastAsia" w:ascii="仿宋" w:hAnsi="仿宋" w:eastAsia="仿宋" w:cs="仿宋"/>
          <w:color w:val="000000"/>
          <w:sz w:val="24"/>
          <w:szCs w:val="24"/>
          <w:lang w:val="en-US" w:eastAsia="zh-CN"/>
        </w:rPr>
        <w:t>供应商</w:t>
      </w:r>
      <w:r>
        <w:rPr>
          <w:rFonts w:hint="eastAsia" w:ascii="仿宋" w:hAnsi="仿宋" w:eastAsia="仿宋" w:cs="仿宋"/>
          <w:color w:val="000000"/>
          <w:sz w:val="24"/>
          <w:szCs w:val="24"/>
        </w:rPr>
        <w:t xml:space="preserve">、用户数、质量保证期等，并承诺对这些产品提供与自行开发软件同样或更高的服务。 </w:t>
      </w:r>
    </w:p>
    <w:p w14:paraId="65BD6EF6">
      <w:pPr>
        <w:spacing w:line="400" w:lineRule="exact"/>
        <w:rPr>
          <w:rFonts w:hint="eastAsia" w:ascii="仿宋" w:hAnsi="仿宋" w:eastAsia="仿宋" w:cs="仿宋"/>
          <w:b/>
          <w:color w:val="000000"/>
          <w:sz w:val="24"/>
          <w:szCs w:val="24"/>
        </w:rPr>
      </w:pPr>
    </w:p>
    <w:p w14:paraId="1F4A824A">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第九条：不可抗力：</w:t>
      </w:r>
    </w:p>
    <w:p w14:paraId="1010CE46">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六十个工作日内提供附有有关该事件的权威机关证明的书面材料，包括陈述迟延履行、部分履行或无法履行本合同义务的理由的说明书，方可免责。</w:t>
      </w:r>
    </w:p>
    <w:p w14:paraId="61EB0A7C">
      <w:pPr>
        <w:spacing w:line="400" w:lineRule="exact"/>
        <w:rPr>
          <w:rFonts w:hint="eastAsia" w:ascii="仿宋" w:hAnsi="仿宋" w:eastAsia="仿宋" w:cs="仿宋"/>
          <w:b/>
          <w:color w:val="000000"/>
          <w:sz w:val="24"/>
          <w:szCs w:val="24"/>
        </w:rPr>
      </w:pPr>
    </w:p>
    <w:p w14:paraId="3A47D256">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第十条：通知：</w:t>
      </w:r>
    </w:p>
    <w:p w14:paraId="5440A7D6">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对方。甲、乙双方在此一致确认接收通知或文件（包括但不限于日后如发生诉讼案件或其他事件时，法院或其他司法机关或政府等部门送达文书均可采用以下信息）等的信息如下：</w:t>
      </w:r>
    </w:p>
    <w:p w14:paraId="2390C226">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甲方：                                      乙方：</w:t>
      </w:r>
    </w:p>
    <w:p w14:paraId="49E348C4">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地址：                                      地址：</w:t>
      </w:r>
    </w:p>
    <w:p w14:paraId="20FCE153">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电话：                                      电话：</w:t>
      </w:r>
    </w:p>
    <w:p w14:paraId="5C9FD34A">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邮编：                                      邮编：</w:t>
      </w:r>
    </w:p>
    <w:p w14:paraId="6877458E">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传真：                                      传真：</w:t>
      </w:r>
    </w:p>
    <w:p w14:paraId="3CDB5B9A">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邮箱：                                      邮箱：</w:t>
      </w:r>
    </w:p>
    <w:p w14:paraId="554DDEBB">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法定代表人：                                法定代表人：</w:t>
      </w:r>
    </w:p>
    <w:p w14:paraId="28F9F0D2">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指定收件人：                                指定收件人：</w:t>
      </w:r>
    </w:p>
    <w:p w14:paraId="171BD74E">
      <w:pPr>
        <w:spacing w:line="400" w:lineRule="exact"/>
        <w:rPr>
          <w:rFonts w:hint="eastAsia" w:ascii="仿宋" w:hAnsi="仿宋" w:eastAsia="仿宋" w:cs="仿宋"/>
          <w:b/>
          <w:color w:val="000000"/>
          <w:sz w:val="24"/>
          <w:szCs w:val="24"/>
        </w:rPr>
      </w:pPr>
    </w:p>
    <w:p w14:paraId="45FB000E">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第十一条：纠纷的解决：</w:t>
      </w:r>
    </w:p>
    <w:p w14:paraId="19C294FA">
      <w:pPr>
        <w:spacing w:line="400" w:lineRule="exact"/>
        <w:rPr>
          <w:rFonts w:ascii="仿宋" w:hAnsi="仿宋" w:eastAsia="仿宋" w:cs="仿宋"/>
          <w:color w:val="000000"/>
          <w:sz w:val="24"/>
          <w:szCs w:val="24"/>
        </w:rPr>
      </w:pPr>
      <w:r>
        <w:rPr>
          <w:rFonts w:hint="eastAsia" w:ascii="仿宋" w:hAnsi="仿宋" w:eastAsia="仿宋" w:cs="仿宋"/>
          <w:bCs/>
          <w:color w:val="000000"/>
          <w:sz w:val="24"/>
          <w:szCs w:val="24"/>
        </w:rPr>
        <w:t>1</w:t>
      </w:r>
      <w:r>
        <w:rPr>
          <w:rFonts w:hint="eastAsia" w:ascii="仿宋" w:hAnsi="仿宋" w:eastAsia="仿宋" w:cs="仿宋"/>
          <w:color w:val="000000"/>
          <w:sz w:val="24"/>
          <w:szCs w:val="24"/>
        </w:rPr>
        <w:t>、争议解决：在合同履行过程中发生争议，双方协商解决。协商不成的，由甲方所在地人民法院裁决。如诉争标的超出甲方所在地人民法院受案范围，则由当地中级人民法院裁决。</w:t>
      </w:r>
    </w:p>
    <w:p w14:paraId="6F74E345">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2、因乙方违约导致甲方权益受损，甲方通过诉讼方式主张权益所支出的合理费用由乙方负担（诉讼费、保全费、律师代理费等必要开支）。</w:t>
      </w:r>
    </w:p>
    <w:p w14:paraId="49B3B2B0">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第十二条：本合同一式六份，甲方、乙方各执三份，均具有同等法律效力。</w:t>
      </w:r>
    </w:p>
    <w:p w14:paraId="1816E130">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第十三条：本合同未尽事宜，由甲、乙双方另行签订补充协议，补充协议作为合同附件与本合同具有同等法律效力。</w:t>
      </w:r>
    </w:p>
    <w:p w14:paraId="07E5D19D">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第十四条：本合同自甲、乙双方正式授权代表签字并加盖公章之日起生效。</w:t>
      </w:r>
    </w:p>
    <w:p w14:paraId="337D8A2A">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第十五条：本合同有效期自生效之日起至合同执行完毕时止。</w:t>
      </w:r>
    </w:p>
    <w:p w14:paraId="7F42D546">
      <w:pPr>
        <w:spacing w:line="400" w:lineRule="exact"/>
        <w:rPr>
          <w:rFonts w:ascii="仿宋" w:hAnsi="仿宋" w:eastAsia="仿宋" w:cs="仿宋"/>
          <w:b/>
          <w:color w:val="000000"/>
          <w:sz w:val="24"/>
          <w:szCs w:val="24"/>
        </w:rPr>
      </w:pPr>
      <w:r>
        <w:rPr>
          <w:rFonts w:hint="eastAsia" w:ascii="仿宋" w:hAnsi="仿宋" w:eastAsia="仿宋" w:cs="仿宋"/>
          <w:b/>
          <w:color w:val="000000"/>
          <w:sz w:val="24"/>
          <w:szCs w:val="24"/>
        </w:rPr>
        <w:t>第十六条：本合同应当按照中华人民共和国的现行法律、法规进行解释。</w:t>
      </w:r>
    </w:p>
    <w:p w14:paraId="63359D05">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（本页以下无正文）</w:t>
      </w:r>
    </w:p>
    <w:p w14:paraId="6FC0929E">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甲方（盖章）：                             乙方（盖章）：</w:t>
      </w:r>
    </w:p>
    <w:p w14:paraId="279ED4C9">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 xml:space="preserve">地址：                                    地址： </w:t>
      </w:r>
    </w:p>
    <w:p w14:paraId="75694B79">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 xml:space="preserve">                                          账号：</w:t>
      </w:r>
    </w:p>
    <w:p w14:paraId="1174078C">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开户：</w:t>
      </w:r>
    </w:p>
    <w:p w14:paraId="1A02550E">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主 管 领 导：                             法定代表人（签章） 经   办  人：                                        委托代理人：</w:t>
      </w:r>
    </w:p>
    <w:p w14:paraId="5314C452">
      <w:pPr>
        <w:spacing w:line="400" w:lineRule="exact"/>
        <w:rPr>
          <w:rFonts w:ascii="仿宋" w:hAnsi="仿宋" w:eastAsia="仿宋" w:cs="仿宋"/>
          <w:color w:val="000000"/>
          <w:sz w:val="24"/>
          <w:szCs w:val="24"/>
        </w:rPr>
      </w:pPr>
      <w:r>
        <w:rPr>
          <w:rFonts w:hint="eastAsia" w:ascii="仿宋" w:hAnsi="仿宋" w:eastAsia="仿宋" w:cs="仿宋"/>
          <w:color w:val="000000"/>
          <w:sz w:val="24"/>
          <w:szCs w:val="24"/>
        </w:rPr>
        <w:t>电话：                                      电话：</w:t>
      </w:r>
    </w:p>
    <w:p w14:paraId="5BDF34A3">
      <w:pPr>
        <w:pStyle w:val="5"/>
      </w:pPr>
      <w:r>
        <w:rPr>
          <w:rFonts w:hint="eastAsia" w:ascii="仿宋" w:hAnsi="仿宋" w:eastAsia="仿宋" w:cs="仿宋"/>
          <w:color w:val="000000"/>
          <w:sz w:val="24"/>
          <w:szCs w:val="24"/>
        </w:rPr>
        <w:t>年     月    日                              年    月     日</w:t>
      </w:r>
    </w:p>
    <w:p w14:paraId="064952F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0018E"/>
    <w:multiLevelType w:val="singleLevel"/>
    <w:tmpl w:val="B800018E"/>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A331E9"/>
    <w:rsid w:val="73A33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2026-04-29T08:33:00Z</dcterms:created>
  <dc:creator>招标四部</dc:creator>
  <cp:lastModifiedBy>招标四部</cp:lastModifiedBy>
  <dcterms:modified xsi:type="dcterms:W3CDTF">2026-04-29T08:33:58Z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E797F200F4344E85946869B5B0436FA5_11</vt:lpwstr>
  </property>
  <property fmtid="{D5CDD505-2E9C-101B-9397-08002B2CF9AE}" pid="4" name="KSOTemplateDocerSaveRecord">
    <vt:lpwstr>eyJoZGlkIjoiMWRmYmRjMDgxNTA5NmRmMzllMzUxMTYyNmRmNzI4MDkiLCJ1c2VySWQiOiIyNDEwNjE3OTEifQ==</vt:lpwstr>
  </property>
</Properties>
</file>