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7E324AC">
      <w:pPr>
        <w:spacing w:line="640" w:lineRule="exact"/>
        <w:jc w:val="center"/>
        <w:rPr>
          <w:rFonts w:hint="eastAsia" w:ascii="宋体" w:hAnsi="宋体" w:cs="宋体"/>
          <w:b/>
          <w:bCs/>
          <w:sz w:val="44"/>
          <w:szCs w:val="44"/>
        </w:rPr>
      </w:pPr>
      <w:bookmarkStart w:id="0" w:name="OLE_LINK2"/>
      <w:r>
        <w:rPr>
          <w:rFonts w:hint="eastAsia" w:ascii="宋体" w:hAnsi="宋体" w:eastAsia="宋体" w:cs="宋体"/>
          <w:b/>
          <w:bCs/>
          <w:sz w:val="44"/>
          <w:szCs w:val="44"/>
          <w:lang w:val="en-US" w:eastAsia="zh-CN"/>
        </w:rPr>
        <w:t>自媒体治理能力提升技术服务项目</w:t>
      </w:r>
      <w:bookmarkEnd w:id="0"/>
      <w:r>
        <w:rPr>
          <w:rFonts w:hint="eastAsia" w:ascii="宋体" w:hAnsi="宋体" w:cs="宋体"/>
          <w:b/>
          <w:bCs/>
          <w:sz w:val="44"/>
          <w:szCs w:val="44"/>
        </w:rPr>
        <w:t>采购需求</w:t>
      </w:r>
    </w:p>
    <w:p w14:paraId="7AA7E94B">
      <w:pPr>
        <w:spacing w:line="640" w:lineRule="exact"/>
        <w:ind w:firstLine="562" w:firstLineChars="200"/>
        <w:rPr>
          <w:rFonts w:hint="eastAsia" w:ascii="仿宋_GB2312" w:hAnsi="仿宋_GB2312" w:eastAsia="仿宋_GB2312" w:cs="仿宋_GB2312"/>
          <w:b/>
          <w:bCs/>
          <w:sz w:val="28"/>
          <w:szCs w:val="28"/>
        </w:rPr>
      </w:pPr>
      <w:r>
        <w:rPr>
          <w:rFonts w:hint="eastAsia" w:ascii="仿宋_GB2312" w:hAnsi="仿宋_GB2312" w:eastAsia="仿宋_GB2312" w:cs="仿宋_GB2312"/>
          <w:b/>
          <w:bCs/>
          <w:sz w:val="28"/>
          <w:szCs w:val="28"/>
        </w:rPr>
        <w:t>一、基本要求</w:t>
      </w:r>
    </w:p>
    <w:p w14:paraId="74796939">
      <w:pPr>
        <w:spacing w:line="240" w:lineRule="auto"/>
        <w:ind w:firstLine="560" w:firstLineChars="200"/>
        <w:rPr>
          <w:rFonts w:hint="eastAsia" w:ascii="仿宋_GB2312" w:hAnsi="Times New Roman" w:eastAsia="仿宋_GB2312" w:cs="Times New Roman"/>
          <w:sz w:val="28"/>
          <w:szCs w:val="28"/>
          <w:lang w:val="en-US" w:eastAsia="zh-CN"/>
        </w:rPr>
      </w:pPr>
      <w:r>
        <w:rPr>
          <w:rFonts w:hint="eastAsia" w:ascii="仿宋_GB2312" w:hAnsi="Times New Roman" w:eastAsia="仿宋_GB2312" w:cs="Times New Roman"/>
          <w:sz w:val="28"/>
          <w:szCs w:val="28"/>
        </w:rPr>
        <w:t>1、功能要求：提升属地自媒体治理能力、提升属地网络信息综合分析能力和网络行政执法能力</w:t>
      </w:r>
      <w:r>
        <w:rPr>
          <w:rFonts w:hint="eastAsia" w:ascii="仿宋_GB2312" w:hAnsi="Times New Roman" w:eastAsia="仿宋_GB2312" w:cs="Times New Roman"/>
          <w:sz w:val="28"/>
          <w:szCs w:val="28"/>
          <w:lang w:eastAsia="zh-CN"/>
        </w:rPr>
        <w:t>。</w:t>
      </w:r>
    </w:p>
    <w:p w14:paraId="6198886C">
      <w:pPr>
        <w:pStyle w:val="4"/>
        <w:adjustRightInd w:val="0"/>
        <w:snapToGrid w:val="0"/>
        <w:spacing w:line="560" w:lineRule="exact"/>
        <w:ind w:firstLine="562" w:firstLineChars="200"/>
        <w:jc w:val="left"/>
        <w:rPr>
          <w:rFonts w:hint="eastAsia" w:ascii="仿宋" w:hAnsi="仿宋" w:eastAsia="仿宋" w:cs="宋体"/>
          <w:sz w:val="28"/>
          <w:szCs w:val="28"/>
        </w:rPr>
      </w:pPr>
      <w:r>
        <w:rPr>
          <w:rFonts w:hint="eastAsia" w:ascii="仿宋" w:hAnsi="仿宋" w:eastAsia="仿宋" w:cs="宋体"/>
          <w:b/>
          <w:bCs/>
          <w:sz w:val="28"/>
          <w:szCs w:val="28"/>
        </w:rPr>
        <w:t>2、采购项目需要落实的政府采购政策</w:t>
      </w:r>
      <w:r>
        <w:rPr>
          <w:rFonts w:hint="eastAsia" w:ascii="仿宋" w:hAnsi="仿宋" w:eastAsia="仿宋" w:cs="宋体"/>
          <w:sz w:val="28"/>
          <w:szCs w:val="28"/>
        </w:rPr>
        <w:t>：</w:t>
      </w:r>
    </w:p>
    <w:p w14:paraId="3DAEEC59">
      <w:pPr>
        <w:spacing w:line="240" w:lineRule="auto"/>
        <w:ind w:firstLine="0" w:firstLineChars="0"/>
        <w:rPr>
          <w:rFonts w:hint="eastAsia" w:ascii="仿宋_GB2312" w:hAnsi="Times New Roman" w:eastAsia="仿宋_GB2312" w:cs="Times New Roman"/>
          <w:sz w:val="28"/>
          <w:szCs w:val="28"/>
          <w:lang w:val="en-US" w:eastAsia="en-US"/>
        </w:rPr>
      </w:pPr>
      <w:r>
        <w:rPr>
          <w:rFonts w:hint="eastAsia" w:ascii="仿宋_GB2312" w:hAnsi="Times New Roman" w:eastAsia="仿宋_GB2312" w:cs="Times New Roman"/>
          <w:sz w:val="28"/>
          <w:szCs w:val="28"/>
        </w:rPr>
        <w:t>（1）《政府采购促进中小企业发展管理办法》的通知--财库〔2020〕46号；（2）财政部司法部关于政府采购支持监狱企业发展有关问题的通知--财库</w:t>
      </w:r>
      <w:r>
        <w:rPr>
          <w:rFonts w:hint="eastAsia" w:ascii="仿宋_GB2312" w:hAnsi="Times New Roman" w:eastAsia="仿宋_GB2312" w:cs="Times New Roman"/>
          <w:color w:val="auto"/>
          <w:sz w:val="28"/>
          <w:szCs w:val="28"/>
        </w:rPr>
        <w:t>[2014]68号；（3）《财政部发展改革委生态环境部市场监管总局关于调整优化节能产品环境标志产品政府采购执行机制的通知》（财库〔2019〕9号）；（4）《节能产品政府采购实施意见》--（财库[2004]185号）；（5）《环境标志产品政府采购实施的意见》--财库[2006]90号；（6）《关于促进残疾人就业政府采购政策的通知》（财库[2017]141号）；（7）《陕西省财政厅关于加快推进我省中小企业政府采购信用融资工作的通知》（陕财办采〔2020〕15号）；（8）《陕西省中小企业政府采购信用融资办法》陕财办采〔2018〕23号；（9）《关于运用政府采购政策支持乡村产业振兴的通知》（财库〔2021〕19号）；（10）《关于进一步加大政府采购支持中小企业力度的通知》（财库〔2022〕19号）；</w:t>
      </w:r>
      <w:r>
        <w:rPr>
          <w:rFonts w:hint="eastAsia" w:ascii="仿宋_GB2312" w:hAnsi="Times New Roman" w:eastAsia="仿宋_GB2312" w:cs="Times New Roman"/>
          <w:sz w:val="28"/>
          <w:szCs w:val="28"/>
        </w:rPr>
        <w:t>（11）《陕西省财政厅关于进一步落实政府采购支持中小企业相关政策的通知》（陕财办采〔2023〕3号）</w:t>
      </w:r>
      <w:r>
        <w:rPr>
          <w:rFonts w:hint="eastAsia" w:ascii="仿宋_GB2312" w:hAnsi="Times New Roman" w:eastAsia="仿宋_GB2312" w:cs="Times New Roman"/>
          <w:sz w:val="28"/>
          <w:szCs w:val="28"/>
          <w:lang w:eastAsia="zh-CN"/>
        </w:rPr>
        <w:t>；</w:t>
      </w:r>
      <w:r>
        <w:rPr>
          <w:rFonts w:hint="eastAsia" w:ascii="仿宋_GB2312" w:hAnsi="Times New Roman" w:eastAsia="仿宋_GB2312" w:cs="Times New Roman"/>
          <w:sz w:val="28"/>
          <w:szCs w:val="28"/>
        </w:rPr>
        <w:t>（1</w:t>
      </w:r>
      <w:r>
        <w:rPr>
          <w:rFonts w:hint="eastAsia" w:ascii="仿宋_GB2312" w:hAnsi="Times New Roman" w:eastAsia="仿宋_GB2312" w:cs="Times New Roman"/>
          <w:sz w:val="28"/>
          <w:szCs w:val="28"/>
          <w:lang w:val="en-US" w:eastAsia="zh-CN"/>
        </w:rPr>
        <w:t>2</w:t>
      </w:r>
      <w:r>
        <w:rPr>
          <w:rFonts w:hint="eastAsia" w:ascii="仿宋_GB2312" w:hAnsi="Times New Roman" w:eastAsia="仿宋_GB2312" w:cs="Times New Roman"/>
          <w:sz w:val="28"/>
          <w:szCs w:val="28"/>
        </w:rPr>
        <w:t>）《陕西省财政厅关于进一步优化政府采购营商环境有关事项的通知》（陕财办采〔2023〕4号）</w:t>
      </w:r>
      <w:r>
        <w:rPr>
          <w:rFonts w:hint="eastAsia" w:ascii="仿宋_GB2312" w:hAnsi="Times New Roman" w:eastAsia="仿宋_GB2312" w:cs="Times New Roman"/>
          <w:sz w:val="28"/>
          <w:szCs w:val="28"/>
          <w:lang w:eastAsia="zh-CN"/>
        </w:rPr>
        <w:t>；（</w:t>
      </w:r>
      <w:r>
        <w:rPr>
          <w:rFonts w:hint="eastAsia" w:ascii="仿宋_GB2312" w:hAnsi="Times New Roman" w:eastAsia="仿宋_GB2312" w:cs="Times New Roman"/>
          <w:sz w:val="28"/>
          <w:szCs w:val="28"/>
          <w:lang w:val="en-US" w:eastAsia="zh-CN"/>
        </w:rPr>
        <w:t>13</w:t>
      </w:r>
      <w:r>
        <w:rPr>
          <w:rFonts w:hint="eastAsia" w:ascii="仿宋_GB2312" w:hAnsi="Times New Roman" w:eastAsia="仿宋_GB2312" w:cs="Times New Roman"/>
          <w:sz w:val="28"/>
          <w:szCs w:val="28"/>
          <w:lang w:eastAsia="zh-CN"/>
        </w:rPr>
        <w:t>）</w:t>
      </w:r>
      <w:r>
        <w:rPr>
          <w:rFonts w:hint="eastAsia" w:ascii="仿宋_GB2312" w:hAnsi="Times New Roman" w:eastAsia="仿宋_GB2312" w:cs="Times New Roman"/>
          <w:sz w:val="28"/>
          <w:szCs w:val="28"/>
        </w:rPr>
        <w:t>陕西省财政厅《关于进一步加强政府绿色采购有关问题的通知》（陕财办采〔2021〕29号）；</w:t>
      </w:r>
      <w:r>
        <w:rPr>
          <w:rFonts w:hint="eastAsia" w:ascii="仿宋_GB2312" w:hAnsi="Times New Roman" w:eastAsia="仿宋_GB2312" w:cs="Times New Roman"/>
          <w:sz w:val="28"/>
          <w:szCs w:val="28"/>
          <w:lang w:eastAsia="zh-CN"/>
        </w:rPr>
        <w:t>（</w:t>
      </w:r>
      <w:r>
        <w:rPr>
          <w:rFonts w:hint="eastAsia" w:ascii="仿宋_GB2312" w:hAnsi="Times New Roman" w:eastAsia="仿宋_GB2312" w:cs="Times New Roman"/>
          <w:sz w:val="28"/>
          <w:szCs w:val="28"/>
          <w:lang w:val="en-US" w:eastAsia="zh-CN"/>
        </w:rPr>
        <w:t>14</w:t>
      </w:r>
      <w:r>
        <w:rPr>
          <w:rFonts w:hint="eastAsia" w:ascii="仿宋_GB2312" w:hAnsi="Times New Roman" w:eastAsia="仿宋_GB2312" w:cs="Times New Roman"/>
          <w:sz w:val="28"/>
          <w:szCs w:val="28"/>
          <w:lang w:eastAsia="zh-CN"/>
        </w:rPr>
        <w:t>）</w:t>
      </w:r>
      <w:r>
        <w:rPr>
          <w:rFonts w:hint="eastAsia" w:ascii="仿宋_GB2312" w:hAnsi="Times New Roman" w:eastAsia="仿宋_GB2312" w:cs="Times New Roman"/>
          <w:sz w:val="28"/>
          <w:szCs w:val="28"/>
        </w:rPr>
        <w:t>其他需要落实的政府采购政策（如有最新颁布的政府采购政策，按最新颁布的政府采购政策执行）</w:t>
      </w:r>
      <w:r>
        <w:rPr>
          <w:rFonts w:hint="eastAsia" w:ascii="仿宋_GB2312" w:hAnsi="Times New Roman" w:eastAsia="仿宋_GB2312" w:cs="Times New Roman"/>
          <w:sz w:val="28"/>
          <w:szCs w:val="28"/>
          <w:lang w:eastAsia="zh-CN"/>
        </w:rPr>
        <w:t>。</w:t>
      </w:r>
    </w:p>
    <w:p w14:paraId="5C44A96E">
      <w:pPr>
        <w:widowControl/>
        <w:wordWrap w:val="0"/>
        <w:spacing w:beforeAutospacing="0" w:afterAutospacing="0" w:line="480" w:lineRule="atLeast"/>
        <w:ind w:firstLine="562" w:firstLineChars="200"/>
        <w:jc w:val="both"/>
        <w:rPr>
          <w:rFonts w:hint="default" w:ascii="仿宋" w:hAnsi="仿宋" w:eastAsia="仿宋" w:cs="宋体"/>
          <w:color w:val="auto"/>
          <w:sz w:val="28"/>
          <w:szCs w:val="28"/>
          <w:lang w:val="en-US"/>
        </w:rPr>
      </w:pPr>
      <w:r>
        <w:rPr>
          <w:rFonts w:hint="eastAsia" w:ascii="仿宋" w:hAnsi="仿宋" w:eastAsia="仿宋" w:cs="宋体"/>
          <w:b/>
          <w:bCs/>
          <w:color w:val="auto"/>
          <w:sz w:val="28"/>
          <w:szCs w:val="28"/>
        </w:rPr>
        <w:t>3、服务期限：</w:t>
      </w:r>
      <w:bookmarkStart w:id="1" w:name="OLE_LINK3"/>
      <w:r>
        <w:rPr>
          <w:rFonts w:hint="eastAsia" w:ascii="仿宋" w:hAnsi="仿宋" w:eastAsia="仿宋" w:cs="宋体"/>
          <w:color w:val="auto"/>
          <w:sz w:val="28"/>
          <w:szCs w:val="28"/>
          <w:lang w:val="en-US" w:eastAsia="zh-CN"/>
        </w:rPr>
        <w:t>自合同签订之日起一年</w:t>
      </w:r>
      <w:bookmarkEnd w:id="1"/>
    </w:p>
    <w:p w14:paraId="2588D530">
      <w:pPr>
        <w:spacing w:line="640" w:lineRule="exact"/>
        <w:ind w:firstLine="562" w:firstLineChars="200"/>
        <w:rPr>
          <w:rFonts w:hint="eastAsia" w:ascii="仿宋" w:hAnsi="仿宋" w:eastAsia="仿宋" w:cs="宋体"/>
          <w:color w:val="auto"/>
          <w:sz w:val="28"/>
          <w:szCs w:val="28"/>
          <w:lang w:val="en-US" w:eastAsia="zh-CN"/>
        </w:rPr>
      </w:pPr>
      <w:r>
        <w:rPr>
          <w:rFonts w:hint="eastAsia" w:ascii="仿宋" w:hAnsi="仿宋" w:eastAsia="仿宋" w:cs="宋体"/>
          <w:b/>
          <w:bCs/>
          <w:color w:val="auto"/>
          <w:sz w:val="28"/>
          <w:szCs w:val="28"/>
        </w:rPr>
        <w:t>4、服务地点：</w:t>
      </w:r>
      <w:r>
        <w:rPr>
          <w:rFonts w:hint="eastAsia" w:ascii="仿宋" w:hAnsi="仿宋" w:eastAsia="仿宋" w:cs="宋体"/>
          <w:color w:val="auto"/>
          <w:sz w:val="28"/>
          <w:szCs w:val="28"/>
        </w:rPr>
        <w:t>渭南市</w:t>
      </w:r>
    </w:p>
    <w:p w14:paraId="22F481BC">
      <w:pPr>
        <w:spacing w:line="640" w:lineRule="exact"/>
        <w:ind w:firstLine="562" w:firstLineChars="200"/>
        <w:rPr>
          <w:rFonts w:hint="eastAsia" w:ascii="仿宋" w:hAnsi="仿宋" w:eastAsia="仿宋" w:cs="宋体"/>
          <w:b/>
          <w:bCs/>
          <w:color w:val="auto"/>
          <w:sz w:val="28"/>
          <w:szCs w:val="28"/>
          <w:lang w:val="en-US" w:eastAsia="zh-CN"/>
        </w:rPr>
      </w:pPr>
      <w:r>
        <w:rPr>
          <w:rFonts w:hint="eastAsia" w:ascii="仿宋" w:hAnsi="仿宋" w:eastAsia="仿宋" w:cs="宋体"/>
          <w:b/>
          <w:bCs/>
          <w:color w:val="auto"/>
          <w:sz w:val="28"/>
          <w:szCs w:val="28"/>
        </w:rPr>
        <w:t>5、是否面向中小企业采购：</w:t>
      </w:r>
      <w:r>
        <w:rPr>
          <w:rFonts w:hint="eastAsia" w:ascii="仿宋" w:hAnsi="仿宋" w:eastAsia="仿宋" w:cs="宋体"/>
          <w:b/>
          <w:bCs/>
          <w:color w:val="auto"/>
          <w:sz w:val="28"/>
          <w:szCs w:val="28"/>
          <w:lang w:val="en-US" w:eastAsia="zh-CN"/>
        </w:rPr>
        <w:t>是</w:t>
      </w:r>
    </w:p>
    <w:p w14:paraId="1977E83C">
      <w:pPr>
        <w:spacing w:line="640" w:lineRule="exact"/>
        <w:ind w:firstLine="562" w:firstLineChars="200"/>
        <w:rPr>
          <w:rFonts w:ascii="仿宋" w:hAnsi="仿宋" w:eastAsia="仿宋" w:cs="仿宋"/>
          <w:b/>
          <w:bCs/>
          <w:sz w:val="28"/>
          <w:szCs w:val="28"/>
        </w:rPr>
      </w:pPr>
      <w:r>
        <w:rPr>
          <w:rFonts w:hint="eastAsia" w:ascii="仿宋" w:hAnsi="仿宋" w:eastAsia="仿宋" w:cs="仿宋"/>
          <w:b/>
          <w:bCs/>
          <w:sz w:val="28"/>
          <w:szCs w:val="28"/>
        </w:rPr>
        <w:t>二、需执行的国家相关标准、行业标准、地方标准或者其他标准、规范标准</w:t>
      </w:r>
    </w:p>
    <w:p w14:paraId="7DA1AB31">
      <w:pPr>
        <w:spacing w:line="560" w:lineRule="exact"/>
        <w:ind w:firstLine="560" w:firstLineChars="200"/>
        <w:outlineLvl w:val="1"/>
        <w:rPr>
          <w:rFonts w:hint="eastAsia" w:ascii="仿宋_GB2312" w:hAnsi="仿宋_GB2312" w:eastAsia="仿宋_GB2312" w:cs="仿宋_GB2312"/>
          <w:color w:val="000000"/>
          <w:sz w:val="28"/>
          <w:szCs w:val="28"/>
          <w:lang w:bidi="ar"/>
        </w:rPr>
      </w:pPr>
      <w:r>
        <w:rPr>
          <w:rFonts w:hint="eastAsia" w:ascii="仿宋_GB2312" w:hAnsi="仿宋_GB2312" w:eastAsia="仿宋_GB2312" w:cs="仿宋_GB2312"/>
          <w:color w:val="000000"/>
          <w:sz w:val="28"/>
          <w:szCs w:val="28"/>
          <w:lang w:bidi="ar"/>
        </w:rPr>
        <w:t>满足国家的相关标准、行业标准或者其他标准、规范，执行所有现行的国家、行业标准、规范、规程中的强制性条款。</w:t>
      </w:r>
    </w:p>
    <w:p w14:paraId="4C86B6BD">
      <w:pPr>
        <w:numPr>
          <w:ilvl w:val="0"/>
          <w:numId w:val="0"/>
        </w:numPr>
        <w:spacing w:line="560" w:lineRule="exact"/>
        <w:ind w:firstLine="280" w:firstLineChars="100"/>
        <w:rPr>
          <w:rFonts w:ascii="仿宋_GB2312" w:hAnsi="仿宋_GB2312" w:eastAsia="仿宋_GB2312" w:cs="仿宋_GB2312"/>
          <w:b/>
          <w:bCs/>
          <w:color w:val="000000"/>
          <w:sz w:val="28"/>
          <w:szCs w:val="28"/>
          <w:lang w:eastAsia="zh-CN"/>
        </w:rPr>
      </w:pPr>
      <w:r>
        <w:rPr>
          <w:rFonts w:ascii="仿宋" w:hAnsi="仿宋" w:eastAsia="仿宋" w:cs="仿宋"/>
          <w:sz w:val="28"/>
          <w:szCs w:val="28"/>
          <w:lang w:eastAsia="zh-CN"/>
        </w:rPr>
        <w:t xml:space="preserve">  </w:t>
      </w:r>
      <w:r>
        <w:rPr>
          <w:rFonts w:hint="eastAsia" w:ascii="仿宋_GB2312" w:hAnsi="仿宋_GB2312" w:eastAsia="仿宋_GB2312" w:cs="仿宋_GB2312"/>
          <w:b/>
          <w:bCs/>
          <w:kern w:val="2"/>
          <w:sz w:val="28"/>
          <w:szCs w:val="28"/>
          <w:lang w:eastAsia="zh-CN" w:bidi="ar-SA"/>
        </w:rPr>
        <w:t>三、</w:t>
      </w:r>
      <w:r>
        <w:rPr>
          <w:rFonts w:hint="eastAsia" w:ascii="仿宋_GB2312" w:hAnsi="黑体" w:eastAsia="仿宋_GB2312" w:cs="宋体"/>
          <w:b/>
          <w:color w:val="000000"/>
          <w:sz w:val="28"/>
          <w:szCs w:val="28"/>
        </w:rPr>
        <w:t>服务指标的具体要求</w:t>
      </w:r>
    </w:p>
    <w:p w14:paraId="21AFCACA">
      <w:pPr>
        <w:pStyle w:val="2"/>
        <w:ind w:firstLine="560" w:firstLineChars="200"/>
        <w:rPr>
          <w:rFonts w:hint="eastAsia" w:ascii="仿宋" w:hAnsi="仿宋" w:eastAsia="仿宋" w:cs="宋体"/>
          <w:sz w:val="28"/>
          <w:szCs w:val="28"/>
          <w:lang w:val="en-US" w:eastAsia="zh-CN"/>
        </w:rPr>
      </w:pPr>
      <w:r>
        <w:rPr>
          <w:rFonts w:hint="eastAsia" w:ascii="仿宋" w:hAnsi="仿宋" w:eastAsia="仿宋" w:cs="宋体"/>
          <w:sz w:val="28"/>
          <w:szCs w:val="28"/>
          <w:lang w:val="en-US" w:eastAsia="zh-CN"/>
        </w:rPr>
        <w:t>1、项目建设内容</w:t>
      </w:r>
    </w:p>
    <w:p w14:paraId="03B7376F">
      <w:pPr>
        <w:spacing w:line="560" w:lineRule="exact"/>
        <w:ind w:firstLine="560" w:firstLineChars="200"/>
        <w:outlineLvl w:val="1"/>
        <w:rPr>
          <w:rFonts w:hint="eastAsia" w:ascii="仿宋_GB2312" w:hAnsi="仿宋_GB2312" w:eastAsia="仿宋_GB2312" w:cs="仿宋_GB2312"/>
          <w:color w:val="000000"/>
          <w:sz w:val="28"/>
          <w:szCs w:val="28"/>
          <w:lang w:bidi="ar"/>
        </w:rPr>
      </w:pPr>
      <w:r>
        <w:rPr>
          <w:rFonts w:hint="eastAsia" w:ascii="仿宋_GB2312" w:hAnsi="仿宋_GB2312" w:eastAsia="仿宋_GB2312" w:cs="仿宋_GB2312"/>
          <w:color w:val="000000"/>
          <w:sz w:val="28"/>
          <w:szCs w:val="28"/>
          <w:lang w:bidi="ar"/>
        </w:rPr>
        <w:t>互联网信息分析服务。</w:t>
      </w:r>
    </w:p>
    <w:p w14:paraId="26D64124">
      <w:pPr>
        <w:spacing w:line="560" w:lineRule="exact"/>
        <w:ind w:firstLine="560" w:firstLineChars="200"/>
        <w:outlineLvl w:val="1"/>
        <w:rPr>
          <w:rFonts w:hint="eastAsia" w:ascii="仿宋_GB2312" w:hAnsi="仿宋_GB2312" w:eastAsia="仿宋_GB2312" w:cs="仿宋_GB2312"/>
          <w:color w:val="000000"/>
          <w:sz w:val="28"/>
          <w:szCs w:val="28"/>
          <w:lang w:bidi="ar"/>
        </w:rPr>
      </w:pPr>
      <w:r>
        <w:rPr>
          <w:rFonts w:hint="eastAsia" w:ascii="仿宋_GB2312" w:hAnsi="仿宋_GB2312" w:eastAsia="仿宋_GB2312" w:cs="仿宋_GB2312"/>
          <w:color w:val="000000"/>
          <w:sz w:val="28"/>
          <w:szCs w:val="28"/>
          <w:lang w:bidi="ar"/>
        </w:rPr>
        <w:t>(1)</w:t>
      </w:r>
      <w:r>
        <w:rPr>
          <w:rFonts w:hint="eastAsia" w:ascii="仿宋_GB2312" w:hAnsi="仿宋_GB2312" w:eastAsia="仿宋_GB2312" w:cs="仿宋_GB2312"/>
          <w:color w:val="000000"/>
          <w:sz w:val="28"/>
          <w:szCs w:val="28"/>
          <w:lang w:bidi="ar"/>
        </w:rPr>
        <w:tab/>
      </w:r>
      <w:r>
        <w:rPr>
          <w:rFonts w:hint="eastAsia" w:ascii="仿宋_GB2312" w:hAnsi="仿宋_GB2312" w:eastAsia="仿宋_GB2312" w:cs="仿宋_GB2312"/>
          <w:color w:val="000000"/>
          <w:sz w:val="28"/>
          <w:szCs w:val="28"/>
          <w:lang w:bidi="ar"/>
        </w:rPr>
        <w:t>属地、涉属地域外互联网信息搜集服务。专项搜集互联网信息内容，及时发现违法违规线索，为网络行政执法提供信息支撑。按计划开展重点属地互联网信息分析与数据台账建设工作。</w:t>
      </w:r>
    </w:p>
    <w:p w14:paraId="048DD52D">
      <w:pPr>
        <w:spacing w:line="560" w:lineRule="exact"/>
        <w:ind w:firstLine="560" w:firstLineChars="200"/>
        <w:outlineLvl w:val="1"/>
        <w:rPr>
          <w:rFonts w:hint="eastAsia" w:ascii="仿宋_GB2312" w:hAnsi="仿宋_GB2312" w:eastAsia="仿宋_GB2312" w:cs="仿宋_GB2312"/>
          <w:color w:val="000000"/>
          <w:sz w:val="28"/>
          <w:szCs w:val="28"/>
          <w:lang w:bidi="ar"/>
        </w:rPr>
      </w:pPr>
      <w:r>
        <w:rPr>
          <w:rFonts w:hint="eastAsia" w:ascii="仿宋_GB2312" w:hAnsi="仿宋_GB2312" w:eastAsia="仿宋_GB2312" w:cs="仿宋_GB2312"/>
          <w:color w:val="000000"/>
          <w:sz w:val="28"/>
          <w:szCs w:val="28"/>
          <w:lang w:bidi="ar"/>
        </w:rPr>
        <w:t>(2)</w:t>
      </w:r>
      <w:r>
        <w:rPr>
          <w:rFonts w:hint="eastAsia" w:ascii="仿宋_GB2312" w:hAnsi="仿宋_GB2312" w:eastAsia="仿宋_GB2312" w:cs="仿宋_GB2312"/>
          <w:color w:val="000000"/>
          <w:sz w:val="28"/>
          <w:szCs w:val="28"/>
          <w:lang w:bidi="ar"/>
        </w:rPr>
        <w:tab/>
      </w:r>
      <w:r>
        <w:rPr>
          <w:rFonts w:hint="eastAsia" w:ascii="仿宋_GB2312" w:hAnsi="仿宋_GB2312" w:eastAsia="仿宋_GB2312" w:cs="仿宋_GB2312"/>
          <w:color w:val="000000"/>
          <w:sz w:val="28"/>
          <w:szCs w:val="28"/>
          <w:lang w:bidi="ar"/>
        </w:rPr>
        <w:t>属地、涉属地域外互联网信息综合分析服务。对重点互联网信息开展综合分析服务，包括对假冒仿冒网络信息主体进行取证，配合开展技术服务工作。</w:t>
      </w:r>
    </w:p>
    <w:p w14:paraId="5037E3AE">
      <w:pPr>
        <w:spacing w:line="560" w:lineRule="exact"/>
        <w:ind w:firstLine="560" w:firstLineChars="200"/>
        <w:outlineLvl w:val="1"/>
        <w:rPr>
          <w:rFonts w:hint="eastAsia" w:ascii="仿宋_GB2312" w:hAnsi="仿宋_GB2312" w:eastAsia="仿宋_GB2312" w:cs="仿宋_GB2312"/>
          <w:color w:val="000000"/>
          <w:sz w:val="28"/>
          <w:szCs w:val="28"/>
          <w:lang w:bidi="ar"/>
        </w:rPr>
      </w:pPr>
      <w:r>
        <w:rPr>
          <w:rFonts w:hint="eastAsia" w:ascii="仿宋_GB2312" w:hAnsi="仿宋_GB2312" w:eastAsia="仿宋_GB2312" w:cs="仿宋_GB2312"/>
          <w:color w:val="000000"/>
          <w:sz w:val="28"/>
          <w:szCs w:val="28"/>
          <w:lang w:bidi="ar"/>
        </w:rPr>
        <w:t>网络信息内容安全分析服务。按工作要求完成内容安全分析任务和计划，编写分析报告。</w:t>
      </w:r>
    </w:p>
    <w:p w14:paraId="0B267D3B">
      <w:pPr>
        <w:spacing w:line="560" w:lineRule="exact"/>
        <w:ind w:firstLine="560" w:firstLineChars="200"/>
        <w:outlineLvl w:val="1"/>
        <w:rPr>
          <w:rFonts w:hint="eastAsia" w:ascii="仿宋_GB2312" w:hAnsi="仿宋_GB2312" w:eastAsia="仿宋_GB2312" w:cs="仿宋_GB2312"/>
          <w:color w:val="000000"/>
          <w:sz w:val="28"/>
          <w:szCs w:val="28"/>
          <w:lang w:bidi="ar"/>
        </w:rPr>
      </w:pPr>
      <w:r>
        <w:rPr>
          <w:rFonts w:hint="eastAsia" w:ascii="仿宋_GB2312" w:hAnsi="仿宋_GB2312" w:eastAsia="仿宋_GB2312" w:cs="仿宋_GB2312"/>
          <w:color w:val="000000"/>
          <w:sz w:val="28"/>
          <w:szCs w:val="28"/>
          <w:lang w:bidi="ar"/>
        </w:rPr>
        <w:t>涉属地互联网内容智能分析服务。根据业务需求进行全方位多层次的分析，包括图文解析、数据呈现、趋势预判等方式，并出具相关报告。</w:t>
      </w:r>
    </w:p>
    <w:p w14:paraId="5E9EECF1">
      <w:pPr>
        <w:spacing w:line="560" w:lineRule="exact"/>
        <w:ind w:firstLine="560" w:firstLineChars="200"/>
        <w:outlineLvl w:val="1"/>
        <w:rPr>
          <w:rFonts w:hint="eastAsia" w:ascii="仿宋_GB2312" w:hAnsi="仿宋_GB2312" w:eastAsia="仿宋_GB2312" w:cs="仿宋_GB2312"/>
          <w:color w:val="000000"/>
          <w:sz w:val="28"/>
          <w:szCs w:val="28"/>
          <w:lang w:bidi="ar"/>
        </w:rPr>
      </w:pPr>
      <w:r>
        <w:rPr>
          <w:rFonts w:hint="eastAsia" w:ascii="仿宋_GB2312" w:hAnsi="仿宋_GB2312" w:eastAsia="仿宋_GB2312" w:cs="仿宋_GB2312"/>
          <w:color w:val="000000"/>
          <w:sz w:val="28"/>
          <w:szCs w:val="28"/>
          <w:lang w:bidi="ar"/>
        </w:rPr>
        <w:t>网络综合治理技术服务。按工作要求为属地网络信息内容生态治理提供技术和数据服务支撑。</w:t>
      </w:r>
    </w:p>
    <w:p w14:paraId="4B759C01">
      <w:pPr>
        <w:spacing w:line="560" w:lineRule="exact"/>
        <w:ind w:firstLine="560" w:firstLineChars="200"/>
        <w:outlineLvl w:val="1"/>
        <w:rPr>
          <w:rFonts w:hint="eastAsia" w:ascii="仿宋_GB2312" w:hAnsi="仿宋_GB2312" w:eastAsia="仿宋_GB2312" w:cs="仿宋_GB2312"/>
          <w:color w:val="000000"/>
          <w:sz w:val="28"/>
          <w:szCs w:val="28"/>
          <w:lang w:bidi="ar"/>
        </w:rPr>
      </w:pPr>
      <w:r>
        <w:rPr>
          <w:rFonts w:hint="eastAsia" w:ascii="仿宋_GB2312" w:hAnsi="仿宋_GB2312" w:eastAsia="仿宋_GB2312" w:cs="仿宋_GB2312"/>
          <w:color w:val="000000"/>
          <w:sz w:val="28"/>
          <w:szCs w:val="28"/>
          <w:lang w:bidi="ar"/>
        </w:rPr>
        <w:t>网络行政执法技术服务。依据《网信部门行政执法程序规定》，完成属地网络案件执法取证的证据分析、搜集、整理、固定，案件相关法律法规和部门规章的分析，完成现场执法技术服务等工作。根据工作要求，针对日常搜集和巡检的互联网信息内容，对网站、互联网账号和应用平台的发布内容开展分析 ，并对违法违规内容进行电子证据固定。完成属地执法案例数据库的梳理与日常管理。</w:t>
      </w:r>
    </w:p>
    <w:p w14:paraId="247F240E">
      <w:pPr>
        <w:ind w:firstLine="562" w:firstLineChars="200"/>
      </w:pPr>
      <w:r>
        <w:rPr>
          <w:rFonts w:hint="eastAsia" w:ascii="仿宋" w:hAnsi="仿宋" w:eastAsia="仿宋" w:cs="宋体"/>
          <w:b/>
          <w:bCs/>
          <w:sz w:val="28"/>
          <w:szCs w:val="28"/>
          <w:lang w:val="en-US" w:eastAsia="zh-CN"/>
        </w:rPr>
        <w:t>2、服务要求：</w:t>
      </w:r>
      <w:r>
        <w:rPr>
          <w:rFonts w:hint="eastAsia" w:ascii="仿宋" w:hAnsi="仿宋" w:eastAsia="仿宋" w:cs="宋体"/>
          <w:sz w:val="28"/>
          <w:szCs w:val="28"/>
          <w:lang w:val="en-US" w:eastAsia="zh-CN"/>
        </w:rPr>
        <w:t>达到采</w:t>
      </w:r>
      <w:bookmarkStart w:id="2" w:name="_GoBack"/>
      <w:bookmarkEnd w:id="2"/>
      <w:r>
        <w:rPr>
          <w:rFonts w:hint="eastAsia" w:ascii="仿宋" w:hAnsi="仿宋" w:eastAsia="仿宋" w:cs="宋体"/>
          <w:sz w:val="28"/>
          <w:szCs w:val="28"/>
          <w:lang w:val="en-US" w:eastAsia="zh-CN"/>
        </w:rPr>
        <w:t>购人要求的服务内容及要求。</w:t>
      </w:r>
    </w:p>
    <w:sectPr>
      <w:pgSz w:w="11906" w:h="16838"/>
      <w:pgMar w:top="1440" w:right="1519" w:bottom="1440" w:left="1576"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6F4455A"/>
    <w:rsid w:val="0E8E6368"/>
    <w:rsid w:val="1E320A25"/>
    <w:rsid w:val="56C9119E"/>
    <w:rsid w:val="64813139"/>
    <w:rsid w:val="6E5673E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iPriority="99"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7">
    <w:name w:val="Default Paragraph Font"/>
    <w:semiHidden/>
    <w:qFormat/>
    <w:uiPriority w:val="0"/>
  </w:style>
  <w:style w:type="table" w:default="1" w:styleId="6">
    <w:name w:val="Normal Table"/>
    <w:semiHidden/>
    <w:uiPriority w:val="0"/>
    <w:tblPr>
      <w:tblCellMar>
        <w:top w:w="0" w:type="dxa"/>
        <w:left w:w="108" w:type="dxa"/>
        <w:bottom w:w="0" w:type="dxa"/>
        <w:right w:w="108" w:type="dxa"/>
      </w:tblCellMar>
    </w:tblPr>
  </w:style>
  <w:style w:type="paragraph" w:styleId="2">
    <w:name w:val="Body Text"/>
    <w:basedOn w:val="1"/>
    <w:next w:val="1"/>
    <w:qFormat/>
    <w:uiPriority w:val="1"/>
    <w:rPr>
      <w:rFonts w:ascii="宋体" w:hAnsi="宋体" w:eastAsia="宋体" w:cs="宋体"/>
      <w:sz w:val="24"/>
      <w:szCs w:val="24"/>
      <w:lang w:val="zh-CN" w:eastAsia="zh-CN" w:bidi="zh-CN"/>
    </w:rPr>
  </w:style>
  <w:style w:type="paragraph" w:styleId="3">
    <w:name w:val="Block Text"/>
    <w:basedOn w:val="1"/>
    <w:unhideWhenUsed/>
    <w:qFormat/>
    <w:uiPriority w:val="99"/>
    <w:pPr>
      <w:spacing w:after="120"/>
      <w:ind w:left="1440" w:leftChars="700" w:right="1440" w:rightChars="700"/>
    </w:pPr>
  </w:style>
  <w:style w:type="paragraph" w:styleId="4">
    <w:name w:val="Plain Text"/>
    <w:basedOn w:val="1"/>
    <w:unhideWhenUsed/>
    <w:qFormat/>
    <w:uiPriority w:val="0"/>
    <w:rPr>
      <w:rFonts w:ascii="宋体" w:hAnsi="Courier New" w:cs="Times New Roman"/>
      <w:sz w:val="21"/>
    </w:rPr>
  </w:style>
  <w:style w:type="paragraph" w:styleId="5">
    <w:name w:val="footer"/>
    <w:basedOn w:val="1"/>
    <w:qFormat/>
    <w:uiPriority w:val="0"/>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1285</Words>
  <Characters>1366</Characters>
  <Lines>0</Lines>
  <Paragraphs>0</Paragraphs>
  <TotalTime>0</TotalTime>
  <ScaleCrop>false</ScaleCrop>
  <LinksUpToDate>false</LinksUpToDate>
  <CharactersWithSpaces>1376</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2026-06-08T05:07:00Z</dcterms:created>
  <dc:creator>Administrator</dc:creator>
  <cp:lastModifiedBy>Lians丶</cp:lastModifiedBy>
  <dcterms:modified xsi:type="dcterms:W3CDTF">2026-06-09T07:53:52Z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eyJoZGlkIjoiOTMxMWY0MmIyNGU1Njg3YzVjZjJkODFiZmEzZGI4ZDMiLCJ1c2VySWQiOiI0OTgxMjExMTYifQ==</vt:lpwstr>
  </property>
  <property fmtid="{D5CDD505-2E9C-101B-9397-08002B2CF9AE}" pid="4" name="ICV">
    <vt:lpwstr>7E21E17AC950462298CC03EAC6230C4B_12</vt:lpwstr>
  </property>
</Properties>
</file>