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28179"/>
      <w:bookmarkStart w:id="1" w:name="_Toc31300"/>
      <w:r>
        <w:rPr>
          <w:rFonts w:hint="eastAsia" w:ascii="宋体" w:hAnsi="宋体" w:eastAsia="宋体" w:cs="宋体"/>
          <w:b/>
          <w:bCs w:val="0"/>
          <w:kern w:val="0"/>
          <w:sz w:val="28"/>
          <w:szCs w:val="28"/>
          <w:highlight w:val="none"/>
        </w:rPr>
        <w:t>第一部分  协议书</w:t>
      </w:r>
      <w:bookmarkEnd w:id="0"/>
      <w:bookmarkEnd w:id="1"/>
    </w:p>
    <w:p w14:paraId="2D3C42F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4BDFE7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临潼区任留街办南屯西口果蔬园项目</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default"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西安市临潼区</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任留街办西屯村 </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财政资金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r>
        <w:rPr>
          <w:rFonts w:hint="eastAsia" w:asciiTheme="majorEastAsia" w:hAnsiTheme="majorEastAsia" w:eastAsiaTheme="majorEastAsia" w:cstheme="majorEastAsia"/>
          <w:sz w:val="24"/>
          <w:szCs w:val="24"/>
          <w:highlight w:val="none"/>
          <w:u w:val="single"/>
          <w:lang w:val="en-US" w:eastAsia="zh-CN"/>
        </w:rPr>
        <w:t>新建单体建筑面积1059.9平方米轻钢大棚7座及配套水电安装，新修砖生产路350平方米，新修排水明沟525米，铺设室外DN400波纹管127米等，</w:t>
      </w:r>
      <w:r>
        <w:rPr>
          <w:rFonts w:hint="eastAsia" w:asciiTheme="majorEastAsia" w:hAnsiTheme="majorEastAsia" w:eastAsiaTheme="majorEastAsia" w:cstheme="majorEastAsia"/>
          <w:b w:val="0"/>
          <w:bCs/>
          <w:sz w:val="24"/>
          <w:szCs w:val="24"/>
          <w:highlight w:val="none"/>
          <w:u w:val="single"/>
          <w:lang w:val="en-US" w:eastAsia="zh-CN"/>
        </w:rPr>
        <w:t>具体工程内容详见工程量清单。</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90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ordWrap/>
        <w:overflowPunct/>
        <w:topLinePunct w:val="0"/>
        <w:autoSpaceDE w:val="0"/>
        <w:autoSpaceDN w:val="0"/>
        <w:bidi w:val="0"/>
        <w:adjustRightInd w:val="0"/>
        <w:spacing w:line="348"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u w:val="single"/>
        </w:rPr>
        <w:t>符合国家现行有关施工质量验收规范“合格”要求。</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22136"/>
      <w:bookmarkStart w:id="3" w:name="_Toc130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18738"/>
      <w:bookmarkStart w:id="5" w:name="_Toc24961"/>
      <w:bookmarkStart w:id="6" w:name="_Toc21529"/>
      <w:bookmarkStart w:id="7" w:name="_Toc30698"/>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24439"/>
      <w:bookmarkStart w:id="9" w:name="_Toc17082"/>
      <w:bookmarkStart w:id="10" w:name="_Toc5228"/>
      <w:bookmarkStart w:id="11" w:name="_Toc7962"/>
      <w:bookmarkStart w:id="12" w:name="_Toc8577"/>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2459"/>
      <w:bookmarkStart w:id="14" w:name="_Toc9632"/>
      <w:bookmarkStart w:id="15" w:name="_Toc30596"/>
      <w:bookmarkStart w:id="16" w:name="_Toc19000"/>
      <w:bookmarkStart w:id="17" w:name="_Toc31148"/>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28937"/>
      <w:bookmarkStart w:id="19" w:name="_Toc17921"/>
      <w:bookmarkStart w:id="20" w:name="_Toc14387"/>
      <w:bookmarkStart w:id="21" w:name="_Toc3120"/>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20289"/>
      <w:bookmarkStart w:id="23" w:name="_Toc3856"/>
      <w:bookmarkStart w:id="24" w:name="_Toc6987"/>
      <w:bookmarkStart w:id="25" w:name="_Toc21983"/>
      <w:bookmarkStart w:id="26" w:name="_Toc16777"/>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32105"/>
      <w:bookmarkStart w:id="28" w:name="_Toc23934"/>
      <w:bookmarkStart w:id="29" w:name="_Toc23517"/>
      <w:bookmarkStart w:id="30" w:name="_Toc2863"/>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26104"/>
      <w:bookmarkStart w:id="32" w:name="_Toc9138"/>
      <w:bookmarkStart w:id="33" w:name="_Toc32429"/>
      <w:bookmarkStart w:id="34" w:name="_Toc596"/>
      <w:bookmarkStart w:id="35" w:name="_Toc6359"/>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8214"/>
      <w:bookmarkStart w:id="37" w:name="_Toc21456"/>
      <w:bookmarkStart w:id="38" w:name="_Toc25443"/>
      <w:bookmarkStart w:id="39" w:name="_Toc6374"/>
      <w:bookmarkStart w:id="40" w:name="_Toc2038"/>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7583"/>
      <w:bookmarkStart w:id="42" w:name="_Toc25453"/>
      <w:bookmarkStart w:id="43" w:name="_Toc21027"/>
      <w:bookmarkStart w:id="44" w:name="_Toc30981"/>
      <w:bookmarkStart w:id="45" w:name="_Toc32482"/>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28537"/>
      <w:bookmarkStart w:id="47" w:name="_Toc3900"/>
      <w:bookmarkStart w:id="48" w:name="_Toc20325"/>
      <w:bookmarkStart w:id="49" w:name="_Toc1026"/>
      <w:bookmarkStart w:id="50" w:name="_Toc7958"/>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24727"/>
      <w:bookmarkStart w:id="52" w:name="_Toc17579"/>
      <w:bookmarkStart w:id="53" w:name="_Toc6434"/>
      <w:bookmarkStart w:id="54" w:name="_Toc2134"/>
      <w:bookmarkStart w:id="55" w:name="_Toc26372"/>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5294"/>
      <w:bookmarkStart w:id="57" w:name="_Toc15146"/>
      <w:bookmarkStart w:id="58" w:name="_Toc18179"/>
      <w:bookmarkStart w:id="59" w:name="_Toc2895"/>
      <w:bookmarkStart w:id="60" w:name="_Toc16171"/>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23286"/>
      <w:bookmarkStart w:id="62" w:name="_Toc18471"/>
      <w:bookmarkStart w:id="63" w:name="_Toc11558"/>
      <w:bookmarkStart w:id="64" w:name="_Toc9560"/>
      <w:bookmarkStart w:id="65" w:name="_Toc15150"/>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30393"/>
      <w:bookmarkStart w:id="67" w:name="_Toc25185"/>
      <w:bookmarkStart w:id="68" w:name="_Toc17780"/>
      <w:bookmarkStart w:id="69" w:name="_Toc16919"/>
      <w:bookmarkStart w:id="70" w:name="_Toc12899"/>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31232"/>
      <w:bookmarkStart w:id="72" w:name="_Toc21725"/>
      <w:bookmarkStart w:id="73" w:name="_Toc18617"/>
      <w:bookmarkStart w:id="74" w:name="_Toc16841"/>
      <w:bookmarkStart w:id="75" w:name="_Toc13138"/>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1992"/>
      <w:bookmarkStart w:id="77" w:name="_Toc16778"/>
      <w:bookmarkStart w:id="78" w:name="_Toc3355"/>
      <w:bookmarkStart w:id="79" w:name="_Toc30781"/>
      <w:bookmarkStart w:id="80" w:name="_Toc6081"/>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5167"/>
      <w:bookmarkStart w:id="82" w:name="_Toc30743"/>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w:t>
      </w:r>
      <w:r>
        <w:rPr>
          <w:rFonts w:hint="eastAsia" w:cs="宋体"/>
          <w:sz w:val="24"/>
          <w:szCs w:val="24"/>
          <w:highlight w:val="none"/>
          <w:u w:val="single"/>
          <w:lang w:val="en-US" w:eastAsia="zh-CN"/>
        </w:rPr>
        <w:t>市政</w:t>
      </w:r>
      <w:r>
        <w:rPr>
          <w:rFonts w:hint="eastAsia" w:ascii="宋体" w:hAnsi="宋体" w:eastAsia="宋体" w:cs="宋体"/>
          <w:sz w:val="24"/>
          <w:szCs w:val="24"/>
          <w:highlight w:val="none"/>
          <w:u w:val="single"/>
        </w:rPr>
        <w:t>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default" w:ascii="宋体" w:hAnsi="宋体" w:eastAsia="宋体" w:cs="宋体"/>
          <w:sz w:val="24"/>
          <w:szCs w:val="24"/>
          <w:highlight w:val="none"/>
          <w:u w:val="single"/>
          <w:lang w:val="en-US" w:eastAsia="zh-CN"/>
        </w:rPr>
        <w:t>合同签订且开工后</w:t>
      </w:r>
      <w:r>
        <w:rPr>
          <w:rFonts w:hint="eastAsia"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达到付款条件起10日内，支付合同总金额的30%</w:t>
      </w:r>
      <w:r>
        <w:rPr>
          <w:rFonts w:hint="eastAsia" w:ascii="宋体" w:hAnsi="宋体" w:eastAsia="宋体" w:cs="宋体"/>
          <w:color w:val="auto"/>
          <w:kern w:val="0"/>
          <w:sz w:val="24"/>
          <w:szCs w:val="24"/>
          <w:highlight w:val="none"/>
          <w:u w:val="single"/>
          <w:lang w:val="en-US" w:eastAsia="zh-CN"/>
        </w:rPr>
        <w:t>。</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11A67477">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（1）合同签订后15日内，支付合同总金额的30%；</w:t>
      </w:r>
    </w:p>
    <w:p w14:paraId="54332149">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（2）基础完成并经验收后</w:t>
      </w:r>
      <w:r>
        <w:rPr>
          <w:rFonts w:hint="eastAsia" w:ascii="宋体" w:hAnsi="宋体" w:eastAsia="宋体" w:cs="宋体"/>
          <w:kern w:val="2"/>
          <w:sz w:val="24"/>
          <w:szCs w:val="24"/>
          <w:highlight w:val="none"/>
          <w:u w:val="single"/>
          <w:lang w:val="en-US" w:eastAsia="zh-CN"/>
        </w:rPr>
        <w:t>15日内</w:t>
      </w:r>
      <w:r>
        <w:rPr>
          <w:rFonts w:hint="eastAsia" w:asciiTheme="majorEastAsia" w:hAnsiTheme="majorEastAsia" w:eastAsiaTheme="majorEastAsia" w:cstheme="majorEastAsia"/>
          <w:sz w:val="24"/>
          <w:szCs w:val="24"/>
          <w:highlight w:val="none"/>
          <w:u w:val="single"/>
          <w:lang w:val="en-US" w:eastAsia="zh-CN"/>
        </w:rPr>
        <w:t>，支付合同总金额的10%；</w:t>
      </w:r>
    </w:p>
    <w:p w14:paraId="54BE2995">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（3）主体完成并经验收后</w:t>
      </w:r>
      <w:r>
        <w:rPr>
          <w:rFonts w:hint="eastAsia" w:ascii="宋体" w:hAnsi="宋体" w:eastAsia="宋体" w:cs="宋体"/>
          <w:kern w:val="2"/>
          <w:sz w:val="24"/>
          <w:szCs w:val="24"/>
          <w:highlight w:val="none"/>
          <w:u w:val="single"/>
          <w:lang w:val="en-US" w:eastAsia="zh-CN"/>
        </w:rPr>
        <w:t>1</w:t>
      </w:r>
      <w:bookmarkStart w:id="94" w:name="_GoBack"/>
      <w:bookmarkEnd w:id="94"/>
      <w:r>
        <w:rPr>
          <w:rFonts w:hint="eastAsia" w:ascii="宋体" w:hAnsi="宋体" w:eastAsia="宋体" w:cs="宋体"/>
          <w:kern w:val="2"/>
          <w:sz w:val="24"/>
          <w:szCs w:val="24"/>
          <w:highlight w:val="none"/>
          <w:u w:val="single"/>
          <w:lang w:val="en-US" w:eastAsia="zh-CN"/>
        </w:rPr>
        <w:t>5日内，</w:t>
      </w:r>
      <w:r>
        <w:rPr>
          <w:rFonts w:hint="eastAsia" w:asciiTheme="majorEastAsia" w:hAnsiTheme="majorEastAsia" w:eastAsiaTheme="majorEastAsia" w:cstheme="majorEastAsia"/>
          <w:sz w:val="24"/>
          <w:szCs w:val="24"/>
          <w:highlight w:val="none"/>
          <w:u w:val="single"/>
          <w:lang w:val="en-US" w:eastAsia="zh-CN"/>
        </w:rPr>
        <w:t>支付合同总金额的30%；</w:t>
      </w:r>
    </w:p>
    <w:p w14:paraId="60759226">
      <w:pPr>
        <w:keepNext w:val="0"/>
        <w:keepLines w:val="0"/>
        <w:pageBreakBefore w:val="0"/>
        <w:wordWrap/>
        <w:overflowPunct/>
        <w:topLinePunct w:val="0"/>
        <w:autoSpaceDE w:val="0"/>
        <w:autoSpaceDN w:val="0"/>
        <w:bidi w:val="0"/>
        <w:adjustRightInd w:val="0"/>
        <w:spacing w:line="520" w:lineRule="exact"/>
        <w:ind w:firstLine="480" w:firstLineChars="200"/>
        <w:rPr>
          <w:rFonts w:hint="default"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（4）室外配套工程完成并经验收后</w:t>
      </w:r>
      <w:r>
        <w:rPr>
          <w:rFonts w:hint="eastAsia" w:ascii="宋体" w:hAnsi="宋体" w:eastAsia="宋体" w:cs="宋体"/>
          <w:kern w:val="2"/>
          <w:sz w:val="24"/>
          <w:szCs w:val="24"/>
          <w:highlight w:val="none"/>
          <w:u w:val="single"/>
          <w:lang w:val="en-US" w:eastAsia="zh-CN"/>
        </w:rPr>
        <w:t>15日内</w:t>
      </w:r>
      <w:r>
        <w:rPr>
          <w:rFonts w:hint="eastAsia" w:asciiTheme="majorEastAsia" w:hAnsiTheme="majorEastAsia" w:eastAsiaTheme="majorEastAsia" w:cstheme="majorEastAsia"/>
          <w:sz w:val="24"/>
          <w:szCs w:val="24"/>
          <w:highlight w:val="none"/>
          <w:u w:val="single"/>
          <w:lang w:val="en-US" w:eastAsia="zh-CN"/>
        </w:rPr>
        <w:t>，支付合同总金额的10%；</w:t>
      </w:r>
    </w:p>
    <w:p w14:paraId="5F538BCF">
      <w:pPr>
        <w:keepNext w:val="0"/>
        <w:keepLines w:val="0"/>
        <w:pageBreakBefore w:val="0"/>
        <w:wordWrap/>
        <w:overflowPunct/>
        <w:topLinePunct w:val="0"/>
        <w:autoSpaceDE w:val="0"/>
        <w:autoSpaceDN w:val="0"/>
        <w:bidi w:val="0"/>
        <w:adjustRightInd w:val="0"/>
        <w:spacing w:line="520" w:lineRule="exact"/>
        <w:ind w:firstLine="480" w:firstLineChars="200"/>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（5）项目竣工验收合格且保洁、清场并完成工程造价审核后60日内，支付合同总金额的17%，预留质保金3%。</w:t>
      </w:r>
    </w:p>
    <w:p w14:paraId="31F3DECB">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Theme="majorEastAsia" w:hAnsiTheme="majorEastAsia" w:eastAsiaTheme="majorEastAsia" w:cstheme="majorEastAsia"/>
          <w:sz w:val="24"/>
          <w:szCs w:val="24"/>
          <w:highlight w:val="none"/>
          <w:u w:val="single"/>
          <w:lang w:val="en-US" w:eastAsia="zh-CN"/>
        </w:rPr>
      </w:pPr>
      <w:r>
        <w:rPr>
          <w:rFonts w:hint="eastAsia" w:asciiTheme="majorEastAsia" w:hAnsiTheme="majorEastAsia" w:eastAsiaTheme="majorEastAsia" w:cstheme="majorEastAsia"/>
          <w:sz w:val="24"/>
          <w:szCs w:val="24"/>
          <w:highlight w:val="none"/>
          <w:u w:val="single"/>
          <w:lang w:val="en-US" w:eastAsia="zh-CN"/>
        </w:rPr>
        <w:t>（6）质保期满无质量问题，</w:t>
      </w:r>
      <w:r>
        <w:rPr>
          <w:rFonts w:hint="eastAsia" w:cs="宋体"/>
          <w:sz w:val="24"/>
          <w:szCs w:val="24"/>
          <w:highlight w:val="none"/>
          <w:u w:val="single"/>
          <w:lang w:val="en-US" w:eastAsia="zh-CN"/>
        </w:rPr>
        <w:t>发包人无息退还剩余保修金</w:t>
      </w:r>
      <w:r>
        <w:rPr>
          <w:rFonts w:hint="eastAsia" w:asciiTheme="majorEastAsia" w:hAnsiTheme="majorEastAsia" w:eastAsiaTheme="majorEastAsia" w:cstheme="majorEastAsia"/>
          <w:sz w:val="24"/>
          <w:szCs w:val="24"/>
          <w:highlight w:val="none"/>
          <w:u w:val="single"/>
          <w:lang w:val="en-US" w:eastAsia="zh-CN"/>
        </w:rPr>
        <w:t>。</w:t>
      </w:r>
    </w:p>
    <w:p w14:paraId="6D84933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default" w:ascii="宋体" w:hAnsi="宋体" w:eastAsia="宋体" w:cs="宋体"/>
          <w:sz w:val="24"/>
          <w:szCs w:val="24"/>
          <w:highlight w:val="none"/>
          <w:u w:val="single"/>
          <w:lang w:val="en-US" w:eastAsia="zh-CN"/>
        </w:rPr>
        <w:t>乙方在接受付款前，开具相应额度发票给甲方</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2"/>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6"/>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891054"/>
      <w:bookmarkStart w:id="85" w:name="_Toc267261693"/>
      <w:bookmarkStart w:id="86" w:name="_Toc296891266"/>
      <w:bookmarkStart w:id="87" w:name="_Toc296347225"/>
      <w:bookmarkStart w:id="88" w:name="_Toc296346727"/>
      <w:bookmarkStart w:id="89" w:name="_Toc296944565"/>
      <w:bookmarkStart w:id="90" w:name="_Toc296503226"/>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3"/>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Theme="majorEastAsia" w:hAnsiTheme="majorEastAsia" w:eastAsiaTheme="majorEastAsia" w:cstheme="majorEastAsia"/>
          <w:b w:val="0"/>
          <w:bCs/>
          <w:sz w:val="24"/>
          <w:szCs w:val="24"/>
          <w:highlight w:val="none"/>
          <w:u w:val="single"/>
          <w:lang w:val="en-US" w:eastAsia="zh-CN"/>
        </w:rPr>
        <w:t>临潼区任留街办南屯西口果蔬园项目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5C521EAD">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default" w:ascii="宋体" w:hAnsi="宋体" w:eastAsia="宋体" w:cs="宋体"/>
          <w:kern w:val="0"/>
          <w:position w:val="6"/>
          <w:sz w:val="24"/>
          <w:szCs w:val="24"/>
          <w:highlight w:val="none"/>
          <w:u w:val="single"/>
          <w:lang w:val="en-US" w:eastAsia="zh-CN" w:bidi="zh-CN"/>
        </w:rPr>
      </w:pPr>
      <w:r>
        <w:rPr>
          <w:rFonts w:hint="eastAsia" w:cs="宋体"/>
          <w:kern w:val="0"/>
          <w:position w:val="6"/>
          <w:sz w:val="24"/>
          <w:szCs w:val="24"/>
          <w:highlight w:val="none"/>
          <w:lang w:val="en-US" w:eastAsia="zh-CN" w:bidi="zh-CN"/>
        </w:rPr>
        <w:t>1、轻钢大棚主体质量保修期为</w:t>
      </w:r>
      <w:r>
        <w:rPr>
          <w:rFonts w:hint="eastAsia" w:cs="宋体"/>
          <w:kern w:val="0"/>
          <w:position w:val="6"/>
          <w:sz w:val="24"/>
          <w:szCs w:val="24"/>
          <w:highlight w:val="none"/>
          <w:u w:val="single"/>
          <w:lang w:val="en-US" w:eastAsia="zh-CN" w:bidi="zh-CN"/>
        </w:rPr>
        <w:t xml:space="preserve">  设计文件规定的工程合理使用年限；</w:t>
      </w:r>
    </w:p>
    <w:p w14:paraId="69B1A08A">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cs="宋体"/>
          <w:kern w:val="0"/>
          <w:position w:val="6"/>
          <w:sz w:val="24"/>
          <w:szCs w:val="24"/>
          <w:highlight w:val="none"/>
          <w:lang w:val="en-US" w:eastAsia="zh-CN"/>
        </w:rPr>
      </w:pPr>
      <w:r>
        <w:rPr>
          <w:rFonts w:hint="eastAsia" w:cs="宋体"/>
          <w:kern w:val="0"/>
          <w:position w:val="6"/>
          <w:sz w:val="24"/>
          <w:szCs w:val="24"/>
          <w:highlight w:val="none"/>
          <w:lang w:val="en-US" w:eastAsia="zh-CN" w:bidi="zh-CN"/>
        </w:rPr>
        <w:t>2</w:t>
      </w:r>
      <w:r>
        <w:rPr>
          <w:rFonts w:hint="eastAsia" w:ascii="宋体" w:hAnsi="宋体" w:eastAsia="宋体" w:cs="宋体"/>
          <w:kern w:val="0"/>
          <w:position w:val="6"/>
          <w:sz w:val="24"/>
          <w:szCs w:val="24"/>
          <w:highlight w:val="none"/>
          <w:lang w:val="zh-CN" w:eastAsia="zh-CN" w:bidi="zh-CN"/>
        </w:rPr>
        <w:t>、</w:t>
      </w:r>
      <w:r>
        <w:rPr>
          <w:rFonts w:hint="eastAsia" w:cs="宋体"/>
          <w:kern w:val="0"/>
          <w:position w:val="6"/>
          <w:sz w:val="24"/>
          <w:szCs w:val="24"/>
          <w:highlight w:val="none"/>
          <w:lang w:val="en-US" w:eastAsia="zh-CN" w:bidi="zh-CN"/>
        </w:rPr>
        <w:t>配套设施（PO大棚膜、保温被、电动卷膜器、通风口防虫网等）</w:t>
      </w:r>
      <w:r>
        <w:rPr>
          <w:rFonts w:hint="eastAsia" w:cs="宋体"/>
          <w:kern w:val="0"/>
          <w:position w:val="6"/>
          <w:sz w:val="24"/>
          <w:szCs w:val="24"/>
          <w:highlight w:val="none"/>
          <w:lang w:val="en-US" w:eastAsia="zh-CN"/>
        </w:rPr>
        <w:t>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07B4E4B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default" w:cs="宋体"/>
          <w:kern w:val="0"/>
          <w:position w:val="6"/>
          <w:sz w:val="24"/>
          <w:szCs w:val="24"/>
          <w:highlight w:val="none"/>
          <w:lang w:val="en-US" w:eastAsia="zh-CN"/>
        </w:rPr>
      </w:pPr>
      <w:r>
        <w:rPr>
          <w:rFonts w:hint="eastAsia" w:cs="宋体"/>
          <w:kern w:val="0"/>
          <w:position w:val="6"/>
          <w:sz w:val="24"/>
          <w:szCs w:val="24"/>
          <w:highlight w:val="none"/>
          <w:lang w:val="en-US" w:eastAsia="zh-CN"/>
        </w:rPr>
        <w:t>3、生产道路质量保修期为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47A4DE13">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cs="宋体"/>
          <w:kern w:val="0"/>
          <w:position w:val="6"/>
          <w:sz w:val="24"/>
          <w:szCs w:val="24"/>
          <w:highlight w:val="none"/>
          <w:lang w:val="en-US" w:eastAsia="zh-CN" w:bidi="zh-CN"/>
        </w:rPr>
        <w:t>4</w:t>
      </w:r>
      <w:r>
        <w:rPr>
          <w:rFonts w:hint="eastAsia" w:ascii="宋体" w:hAnsi="宋体" w:eastAsia="宋体" w:cs="宋体"/>
          <w:kern w:val="0"/>
          <w:position w:val="6"/>
          <w:sz w:val="24"/>
          <w:szCs w:val="24"/>
          <w:highlight w:val="none"/>
          <w:lang w:val="zh-CN" w:eastAsia="zh-CN" w:bidi="zh-CN"/>
        </w:rPr>
        <w:t>、</w:t>
      </w:r>
      <w:r>
        <w:rPr>
          <w:rFonts w:hint="eastAsia" w:cs="宋体"/>
          <w:kern w:val="0"/>
          <w:position w:val="6"/>
          <w:sz w:val="24"/>
          <w:szCs w:val="24"/>
          <w:highlight w:val="none"/>
          <w:lang w:val="en-US" w:eastAsia="zh-CN" w:bidi="zh-CN"/>
        </w:rPr>
        <w:t>排水</w:t>
      </w:r>
      <w:r>
        <w:rPr>
          <w:rFonts w:hint="eastAsia" w:cs="宋体"/>
          <w:kern w:val="0"/>
          <w:position w:val="6"/>
          <w:sz w:val="24"/>
          <w:szCs w:val="24"/>
          <w:highlight w:val="none"/>
          <w:lang w:val="en-US" w:eastAsia="zh-CN"/>
        </w:rPr>
        <w:t>管道</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4E9B5F9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cs="宋体"/>
          <w:kern w:val="0"/>
          <w:position w:val="6"/>
          <w:sz w:val="24"/>
          <w:szCs w:val="24"/>
          <w:highlight w:val="none"/>
          <w:lang w:val="en-US" w:eastAsia="zh-CN"/>
        </w:rPr>
      </w:pPr>
      <w:r>
        <w:rPr>
          <w:rFonts w:hint="eastAsia" w:cs="宋体"/>
          <w:kern w:val="0"/>
          <w:position w:val="6"/>
          <w:sz w:val="24"/>
          <w:szCs w:val="24"/>
          <w:highlight w:val="none"/>
          <w:lang w:val="en-US" w:eastAsia="zh-CN" w:bidi="zh-CN"/>
        </w:rPr>
        <w:t>5</w:t>
      </w:r>
      <w:r>
        <w:rPr>
          <w:rFonts w:hint="eastAsia" w:ascii="宋体" w:hAnsi="宋体" w:eastAsia="宋体" w:cs="宋体"/>
          <w:kern w:val="0"/>
          <w:position w:val="6"/>
          <w:sz w:val="24"/>
          <w:szCs w:val="24"/>
          <w:highlight w:val="none"/>
          <w:lang w:val="zh-CN" w:eastAsia="zh-CN" w:bidi="zh-CN"/>
        </w:rPr>
        <w:t>、</w:t>
      </w:r>
      <w:r>
        <w:rPr>
          <w:rFonts w:hint="eastAsia" w:cs="宋体"/>
          <w:kern w:val="0"/>
          <w:position w:val="6"/>
          <w:sz w:val="24"/>
          <w:szCs w:val="24"/>
          <w:highlight w:val="none"/>
          <w:lang w:val="en-US" w:eastAsia="zh-CN"/>
        </w:rPr>
        <w:t>电气、给排水工程质量保修期为</w:t>
      </w:r>
      <w:r>
        <w:rPr>
          <w:rFonts w:hint="eastAsia" w:cs="宋体"/>
          <w:kern w:val="0"/>
          <w:position w:val="6"/>
          <w:sz w:val="24"/>
          <w:szCs w:val="24"/>
          <w:highlight w:val="none"/>
          <w:u w:val="single"/>
          <w:lang w:val="en-US" w:eastAsia="zh-CN"/>
        </w:rPr>
        <w:t xml:space="preserve">  2  </w:t>
      </w:r>
      <w:r>
        <w:rPr>
          <w:rFonts w:hint="eastAsia" w:cs="宋体"/>
          <w:kern w:val="0"/>
          <w:position w:val="6"/>
          <w:sz w:val="24"/>
          <w:szCs w:val="24"/>
          <w:highlight w:val="none"/>
          <w:lang w:val="en-US" w:eastAsia="zh-CN"/>
        </w:rPr>
        <w:t>年；</w:t>
      </w:r>
    </w:p>
    <w:p w14:paraId="4B7175EC">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default" w:cs="宋体"/>
          <w:kern w:val="0"/>
          <w:position w:val="6"/>
          <w:sz w:val="24"/>
          <w:szCs w:val="24"/>
          <w:highlight w:val="none"/>
          <w:lang w:val="en-US" w:eastAsia="zh-CN"/>
        </w:rPr>
      </w:pPr>
      <w:r>
        <w:rPr>
          <w:rFonts w:hint="eastAsia" w:cs="宋体"/>
          <w:kern w:val="0"/>
          <w:position w:val="6"/>
          <w:sz w:val="24"/>
          <w:szCs w:val="24"/>
          <w:highlight w:val="none"/>
          <w:lang w:val="en-US" w:eastAsia="zh-CN"/>
        </w:rPr>
        <w:t>6、</w:t>
      </w:r>
      <w:r>
        <w:rPr>
          <w:rFonts w:hint="eastAsia" w:ascii="宋体" w:hAnsi="宋体" w:eastAsia="宋体" w:cs="宋体"/>
          <w:kern w:val="0"/>
          <w:position w:val="6"/>
          <w:sz w:val="24"/>
          <w:szCs w:val="24"/>
          <w:highlight w:val="none"/>
          <w:lang w:val="zh-CN" w:eastAsia="zh-CN" w:bidi="zh-CN"/>
        </w:rPr>
        <w:t>其他项目保修期限约定如下：</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r>
        <w:rPr>
          <w:rFonts w:hint="eastAsia" w:ascii="宋体" w:hAnsi="宋体" w:eastAsia="宋体" w:cs="宋体"/>
          <w:kern w:val="0"/>
          <w:position w:val="6"/>
          <w:sz w:val="24"/>
          <w:szCs w:val="24"/>
          <w:highlight w:val="none"/>
          <w:lang w:val="zh-CN" w:eastAsia="zh-CN" w:bidi="zh-CN"/>
        </w:rPr>
        <w:t>。</w:t>
      </w:r>
    </w:p>
    <w:p w14:paraId="27EC3833">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w:t>
      </w:r>
      <w:r>
        <w:rPr>
          <w:rFonts w:hint="eastAsia" w:ascii="宋体" w:hAnsi="宋体" w:eastAsia="宋体" w:cs="宋体"/>
          <w:b w:val="0"/>
          <w:bCs/>
          <w:kern w:val="0"/>
          <w:sz w:val="24"/>
          <w:szCs w:val="24"/>
          <w:highlight w:val="none"/>
        </w:rPr>
        <w:t>，缺陷责任期自工程通过竣工验收之日起计算。单位工程先于全部工程进行验收，单位工程缺陷责任期自单位工程验收合格之日起算。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bookmarkEnd w:id="91"/>
    <w:p w14:paraId="2E42C56A">
      <w:pPr>
        <w:pStyle w:val="8"/>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8"/>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安全生产责任书 </w:t>
      </w:r>
    </w:p>
    <w:p w14:paraId="3A111306">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Theme="majorEastAsia" w:hAnsiTheme="majorEastAsia" w:eastAsiaTheme="majorEastAsia" w:cstheme="majorEastAsia"/>
          <w:b w:val="0"/>
          <w:bCs/>
          <w:sz w:val="24"/>
          <w:szCs w:val="24"/>
          <w:highlight w:val="none"/>
          <w:u w:val="single"/>
          <w:lang w:val="en-US" w:eastAsia="zh-CN"/>
        </w:rPr>
        <w:t>临潼区任留街办南屯西口果蔬园项目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u w:val="single"/>
          <w:lang w:val="en-US" w:eastAsia="zh-CN"/>
        </w:rPr>
        <w:t xml:space="preserve"> </w:t>
      </w:r>
    </w:p>
    <w:p w14:paraId="3682651D">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cs="宋体"/>
          <w:b w:val="0"/>
          <w:bCs w:val="0"/>
          <w:color w:val="auto"/>
          <w:spacing w:val="10"/>
          <w:position w:val="1"/>
          <w:sz w:val="24"/>
          <w:szCs w:val="24"/>
          <w:u w:val="single" w:color="auto"/>
          <w:lang w:val="en-US" w:eastAsia="zh-CN"/>
        </w:rPr>
        <w:t>任留</w:t>
      </w:r>
      <w:r>
        <w:rPr>
          <w:rFonts w:hint="eastAsia" w:ascii="宋体" w:hAnsi="宋体" w:eastAsia="宋体" w:cs="宋体"/>
          <w:b w:val="0"/>
          <w:bCs w:val="0"/>
          <w:color w:val="auto"/>
          <w:spacing w:val="10"/>
          <w:position w:val="1"/>
          <w:sz w:val="24"/>
          <w:szCs w:val="24"/>
          <w:u w:val="single" w:color="auto"/>
          <w:lang w:val="en-US" w:eastAsia="zh-CN"/>
        </w:rPr>
        <w:t>街道办事处</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第五章_工程量清单"/>
      <w:bookmarkEnd w:id="92"/>
      <w:bookmarkStart w:id="93" w:name="_bookmark4"/>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6F832D7"/>
    <w:rsid w:val="08BA0844"/>
    <w:rsid w:val="09866978"/>
    <w:rsid w:val="0B202667"/>
    <w:rsid w:val="0F380715"/>
    <w:rsid w:val="163F682C"/>
    <w:rsid w:val="16F32E27"/>
    <w:rsid w:val="1CE04199"/>
    <w:rsid w:val="2466767A"/>
    <w:rsid w:val="2A096B4A"/>
    <w:rsid w:val="2DAA05D8"/>
    <w:rsid w:val="2DBA01FC"/>
    <w:rsid w:val="2E7C2655"/>
    <w:rsid w:val="33CA5530"/>
    <w:rsid w:val="33E86100"/>
    <w:rsid w:val="363650FE"/>
    <w:rsid w:val="368D6CE8"/>
    <w:rsid w:val="37A83DDA"/>
    <w:rsid w:val="38E52E0C"/>
    <w:rsid w:val="3B3B4F65"/>
    <w:rsid w:val="3D430101"/>
    <w:rsid w:val="3F520ACF"/>
    <w:rsid w:val="40363F4D"/>
    <w:rsid w:val="424B3CDF"/>
    <w:rsid w:val="466F1F67"/>
    <w:rsid w:val="4C0118B3"/>
    <w:rsid w:val="4D0462FB"/>
    <w:rsid w:val="4F506DD9"/>
    <w:rsid w:val="53193986"/>
    <w:rsid w:val="5B597015"/>
    <w:rsid w:val="5B9718EC"/>
    <w:rsid w:val="5BD7695B"/>
    <w:rsid w:val="5C7B603C"/>
    <w:rsid w:val="5D4B6354"/>
    <w:rsid w:val="5E0D3C40"/>
    <w:rsid w:val="605F3679"/>
    <w:rsid w:val="6C615D2A"/>
    <w:rsid w:val="6E4D062F"/>
    <w:rsid w:val="70C26FB3"/>
    <w:rsid w:val="71DC40A5"/>
    <w:rsid w:val="72C01411"/>
    <w:rsid w:val="77A411C1"/>
    <w:rsid w:val="78915BE9"/>
    <w:rsid w:val="7BE73D72"/>
    <w:rsid w:val="7C2A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rPr>
      <w:sz w:val="24"/>
      <w:szCs w:val="24"/>
    </w:rPr>
  </w:style>
  <w:style w:type="paragraph" w:styleId="4">
    <w:name w:val="Body Text Indent"/>
    <w:basedOn w:val="1"/>
    <w:next w:val="5"/>
    <w:qFormat/>
    <w:uiPriority w:val="0"/>
    <w:pPr>
      <w:ind w:firstLine="630"/>
    </w:pPr>
    <w:rPr>
      <w:sz w:val="32"/>
      <w:szCs w:val="20"/>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widowControl/>
      <w:spacing w:before="100" w:beforeAutospacing="1" w:after="100" w:afterAutospacing="1"/>
    </w:pPr>
    <w:rPr>
      <w:sz w:val="18"/>
      <w:szCs w:val="18"/>
    </w:rPr>
  </w:style>
  <w:style w:type="paragraph" w:styleId="7">
    <w:name w:val="Body Text First Indent"/>
    <w:basedOn w:val="3"/>
    <w:next w:val="8"/>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8">
    <w:name w:val="Body Text First Indent 2"/>
    <w:basedOn w:val="4"/>
    <w:next w:val="1"/>
    <w:unhideWhenUsed/>
    <w:qFormat/>
    <w:uiPriority w:val="0"/>
    <w:pPr>
      <w:spacing w:after="120"/>
      <w:ind w:left="420" w:leftChars="200" w:firstLine="420" w:firstLineChars="200"/>
    </w:pPr>
    <w:rPr>
      <w:sz w:val="24"/>
    </w:rPr>
  </w:style>
  <w:style w:type="paragraph" w:customStyle="1" w:styleId="11">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20352</Words>
  <Characters>21141</Characters>
  <Lines>0</Lines>
  <Paragraphs>0</Paragraphs>
  <TotalTime>8</TotalTime>
  <ScaleCrop>false</ScaleCrop>
  <LinksUpToDate>false</LinksUpToDate>
  <CharactersWithSpaces>21729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叶永健</cp:lastModifiedBy>
  <cp:lastPrinted>2025-10-29T00:41:00Z</cp:lastPrinted>
  <dcterms:modified xsi:type="dcterms:W3CDTF">2026-06-04T01:48:26Z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62B9DE02E3514AEDB4628F68DC4E7730_13</vt:lpwstr>
  </property>
  <property fmtid="{D5CDD505-2E9C-101B-9397-08002B2CF9AE}" pid="4" name="KSOTemplateDocerSaveRecord">
    <vt:lpwstr>eyJoZGlkIjoiN2FmMmYwZTExZjQ3NDY0ZjhkYWRmMjAzZDIyMWY1NzgiLCJ1c2VySWQiOiI5ODE2OTIwMzQifQ==</vt:lpwstr>
  </property>
</Properties>
</file>