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版本号：FZBD-ZC-2026-00320260612002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2026年中央水利发展资金山洪灾防治非工程措施维修养护项目汉中市山洪灾害自动监测站点运维服务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FZBD-ZC-2026-003</w:t>
      </w:r>
      <w:r>
        <w:br/>
      </w:r>
      <w:r>
        <w:br/>
      </w:r>
      <w:r>
        <w:br/>
      </w:r>
    </w:p>
    <w:p>
      <w:pPr>
        <w:pStyle w:val="null3"/>
        <w:jc w:val="center"/>
        <w:outlineLvl w:val="2"/>
      </w:pPr>
      <w:r>
        <w:rPr>
          <w:rFonts w:ascii="仿宋_GB2312" w:hAnsi="仿宋_GB2312" w:cs="仿宋_GB2312" w:eastAsia="仿宋_GB2312"/>
          <w:sz w:val="28"/>
          <w:b/>
        </w:rPr>
        <w:t>汉中市水利局</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汉中市水利局</w:t>
      </w:r>
      <w:r>
        <w:rPr>
          <w:rFonts w:ascii="仿宋_GB2312" w:hAnsi="仿宋_GB2312" w:cs="仿宋_GB2312" w:eastAsia="仿宋_GB2312"/>
        </w:rPr>
        <w:t>委托，拟对</w:t>
      </w:r>
      <w:r>
        <w:rPr>
          <w:rFonts w:ascii="仿宋_GB2312" w:hAnsi="仿宋_GB2312" w:cs="仿宋_GB2312" w:eastAsia="仿宋_GB2312"/>
        </w:rPr>
        <w:t>2026年中央水利发展资金山洪灾防治非工程措施维修养护项目汉中市山洪灾害自动监测站点运维服务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FZBD-ZC-2026-003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2026年中央水利发展资金山洪灾防治非工程措施维修养护项目汉中市山洪灾害自动监测站点运维服务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对全市11县区342处山洪灾害自动雨量、水位监测站点进行运行维护；部分故障站点部件更换；站点运行状态监测分析。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汉中市益汉路25号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0916-2231361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陕西省汉中市汉台区陕西省汉中市汉台区南团结街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汉中市水利局</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供应商针对本项目服务内容达到国家及行业现行技术规范标准，符合国家及行业验收合格标准。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地址：汉中市汉台区南团结街原二化厂（有间茶舍）院内二楼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对全市11县区342处山洪灾害自动雨量、水位监测站点进行运行维护；部分故障站点部件更换；站点运行状态监测分析。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2026年中央水利发展资金山洪灾防治非工程措施维修养护项目汉中市山洪灾害自动监测站点运维服务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标的名称：2026年中央水利发展资金山洪灾防治非工程措施维修养护项目汉中市山洪灾害自动监测站点运维服务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一、运维范围与总体要求</w:t>
            </w:r>
          </w:p>
          <w:p>
            <w:pPr>
              <w:pStyle w:val="null3"/>
              <w:ind w:firstLine="400"/>
              <w:jc w:val="both"/>
            </w:pPr>
            <w:r>
              <w:rPr>
                <w:rFonts w:ascii="仿宋_GB2312" w:hAnsi="仿宋_GB2312" w:cs="仿宋_GB2312" w:eastAsia="仿宋_GB2312"/>
                <w:sz w:val="20"/>
              </w:rPr>
              <w:t>本项目主要对汉中市</w:t>
            </w:r>
            <w:r>
              <w:rPr>
                <w:rFonts w:ascii="仿宋_GB2312" w:hAnsi="仿宋_GB2312" w:cs="仿宋_GB2312" w:eastAsia="仿宋_GB2312"/>
                <w:sz w:val="20"/>
              </w:rPr>
              <w:t>11个县区342处山洪灾害自动监测站点(含雨量站、水位站)的统一维护，保障监测数据精准、设备运行稳定、数据传输通畅。运维工作须严格执行水利部《山洪灾害防治非工程措施运行维护指南》及《山洪灾害监测预警设施设备运行维护管理要求》(办防[2019]102号)。运维期间，须在市水利局派驻专人负责系统日常巡检，降雨期间实行24小时值班值守；</w:t>
            </w:r>
            <w:r>
              <w:rPr>
                <w:rFonts w:ascii="仿宋_GB2312" w:hAnsi="仿宋_GB2312" w:cs="仿宋_GB2312" w:eastAsia="仿宋_GB2312"/>
                <w:sz w:val="20"/>
              </w:rPr>
              <w:t>县区配置满足需求的运维人员，形成市县联动保障体系，确保</w:t>
            </w:r>
            <w:r>
              <w:rPr>
                <w:rFonts w:ascii="仿宋_GB2312" w:hAnsi="仿宋_GB2312" w:cs="仿宋_GB2312" w:eastAsia="仿宋_GB2312"/>
                <w:sz w:val="20"/>
              </w:rPr>
              <w:t>在线率达到</w:t>
            </w:r>
            <w:r>
              <w:rPr>
                <w:rFonts w:ascii="仿宋_GB2312" w:hAnsi="仿宋_GB2312" w:cs="仿宋_GB2312" w:eastAsia="仿宋_GB2312"/>
                <w:sz w:val="20"/>
              </w:rPr>
              <w:t>100%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二、日常运维与故障处置</w:t>
            </w:r>
          </w:p>
          <w:p>
            <w:pPr>
              <w:pStyle w:val="null3"/>
              <w:ind w:firstLine="400"/>
              <w:jc w:val="both"/>
            </w:pPr>
            <w:r>
              <w:rPr>
                <w:rFonts w:ascii="仿宋_GB2312" w:hAnsi="仿宋_GB2312" w:cs="仿宋_GB2312" w:eastAsia="仿宋_GB2312"/>
                <w:sz w:val="20"/>
              </w:rPr>
              <w:t>汛期每日早晚各巡查一次监测预警平台数据，故障须在</w:t>
            </w:r>
            <w:r>
              <w:rPr>
                <w:rFonts w:ascii="仿宋_GB2312" w:hAnsi="仿宋_GB2312" w:cs="仿宋_GB2312" w:eastAsia="仿宋_GB2312"/>
                <w:sz w:val="20"/>
              </w:rPr>
              <w:t>2小时内响应、24小时内修复。雨天加密巡查至每日四次，故障须在1小时内响应，确保安全前提下12小时内修复；极端天气无法及时修复的，须提供备用方案。全面排查站点隐患，建立设备巡检台账(含站点信息、巡检内容、运行状态、故障原因及处置措施等)，并做好巡检记录。运维期结束后，须提交站点运维报告，分析设备运行及数据在线情况。</w:t>
            </w:r>
          </w:p>
          <w:p>
            <w:pPr>
              <w:pStyle w:val="null3"/>
              <w:ind w:firstLine="400"/>
              <w:jc w:val="both"/>
            </w:pPr>
            <w:r>
              <w:rPr>
                <w:rFonts w:ascii="仿宋_GB2312" w:hAnsi="仿宋_GB2312" w:cs="仿宋_GB2312" w:eastAsia="仿宋_GB2312"/>
                <w:sz w:val="20"/>
              </w:rPr>
              <w:t>三、数据质量、设备维护与备件保障</w:t>
            </w:r>
          </w:p>
          <w:p>
            <w:pPr>
              <w:pStyle w:val="null3"/>
              <w:ind w:firstLine="400"/>
              <w:jc w:val="both"/>
            </w:pPr>
            <w:r>
              <w:rPr>
                <w:rFonts w:ascii="仿宋_GB2312" w:hAnsi="仿宋_GB2312" w:cs="仿宋_GB2312" w:eastAsia="仿宋_GB2312"/>
                <w:sz w:val="20"/>
              </w:rPr>
              <w:t>定期开展数据质量检查，每月核查并清理重复、错发数据，补充缺失数据，确保数据准确率</w:t>
            </w:r>
            <w:r>
              <w:rPr>
                <w:rFonts w:ascii="仿宋_GB2312" w:hAnsi="仿宋_GB2312" w:cs="仿宋_GB2312" w:eastAsia="仿宋_GB2312"/>
                <w:sz w:val="20"/>
              </w:rPr>
              <w:t>;对雨量、水位数据进行人工校准，误差须符合标准。异常数据(无数据、突变、漂移)须第一时间核查、溯源、处理并记录。设备损坏导致数据无法上线的，须及时维修或更换;及时缴纳站点通信费用，保障传输通道畅通。须配备RTU、翻斗雨量计、雷达水位计、太阳能板、蓄电池等主要备品备件，数量不低于设备总数的5%。汛期前须全面巡检一次，确保所有站点设备在线、数据准确。</w:t>
            </w:r>
          </w:p>
          <w:p>
            <w:pPr>
              <w:pStyle w:val="null3"/>
              <w:ind w:firstLine="400"/>
              <w:jc w:val="both"/>
            </w:pPr>
            <w:r>
              <w:rPr>
                <w:rFonts w:ascii="仿宋_GB2312" w:hAnsi="仿宋_GB2312" w:cs="仿宋_GB2312" w:eastAsia="仿宋_GB2312"/>
                <w:sz w:val="20"/>
              </w:rPr>
              <w:t>四、设备更换站点清单</w:t>
            </w:r>
          </w:p>
          <w:tbl>
            <w:tblPr>
              <w:tblInd w:type="dxa" w:w="90"/>
              <w:tblBorders>
                <w:top w:val="none" w:color="000000" w:sz="4"/>
                <w:left w:val="none" w:color="000000" w:sz="4"/>
                <w:bottom w:val="none" w:color="000000" w:sz="4"/>
                <w:right w:val="none" w:color="000000" w:sz="4"/>
                <w:insideH w:val="none"/>
                <w:insideV w:val="none"/>
              </w:tblBorders>
            </w:tblPr>
            <w:tblGrid>
              <w:gridCol w:w="227"/>
              <w:gridCol w:w="383"/>
              <w:gridCol w:w="968"/>
              <w:gridCol w:w="968"/>
            </w:tblGrid>
            <w:tr>
              <w:tc>
                <w:tcPr>
                  <w:tcW w:type="dxa" w:w="2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政区</w:t>
                  </w:r>
                </w:p>
              </w:tc>
              <w:tc>
                <w:tcPr>
                  <w:tcW w:type="dxa" w:w="9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站点名称</w:t>
                  </w:r>
                </w:p>
              </w:tc>
              <w:tc>
                <w:tcPr>
                  <w:tcW w:type="dxa" w:w="9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汉台区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留马山</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翻斗雨量计</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南郑区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忍水</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太阳能板、蓄电池</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南郑区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新集</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翻斗雨量计</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南郑区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塘口</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翻斗雨量计</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高北村</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太阳能板、蓄电池</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宁强县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草坝场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宁强县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三合</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宁强县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石关门</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RTU、翻斗雨量计</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宁强县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灯草沟</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翻斗雨量计</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宁强县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青东</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太阳能板、蓄电池</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略阳县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秦家坝</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略阳县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蒿坝</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镇巴县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碾子</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镇巴县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永乐</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堰坎</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柘梨园</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青桥河</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大树坝</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宽沟</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青岗坪村</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佛爷坝</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江口集镇</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二十里铺</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河口村</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枣木栏</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留坝县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西河</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w:t>
                  </w:r>
                </w:p>
              </w:tc>
            </w:tr>
            <w:tr>
              <w:tc>
                <w:tcPr>
                  <w:tcW w:type="dxa" w:w="2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佛坪县</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东河口</w:t>
                  </w:r>
                </w:p>
              </w:tc>
              <w:tc>
                <w:tcPr>
                  <w:tcW w:type="dxa" w:w="9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遥测终端机</w:t>
                  </w:r>
                  <w:r>
                    <w:rPr>
                      <w:rFonts w:ascii="仿宋_GB2312" w:hAnsi="仿宋_GB2312" w:cs="仿宋_GB2312" w:eastAsia="仿宋_GB2312"/>
                      <w:sz w:val="20"/>
                      <w:color w:val="000000"/>
                    </w:rPr>
                    <w:t>RTU、太阳能板、蓄电池</w:t>
                  </w:r>
                </w:p>
              </w:tc>
            </w:tr>
          </w:tbl>
          <w:p>
            <w:pPr>
              <w:pStyle w:val="null3"/>
              <w:ind w:firstLine="402"/>
              <w:jc w:val="both"/>
            </w:pPr>
            <w:r>
              <w:rPr>
                <w:rFonts w:ascii="仿宋_GB2312" w:hAnsi="仿宋_GB2312" w:cs="仿宋_GB2312" w:eastAsia="仿宋_GB2312"/>
                <w:sz w:val="20"/>
                <w:b/>
              </w:rPr>
              <w:t>注：以上设备质保期</w:t>
            </w:r>
            <w:r>
              <w:rPr>
                <w:rFonts w:ascii="仿宋_GB2312" w:hAnsi="仿宋_GB2312" w:cs="仿宋_GB2312" w:eastAsia="仿宋_GB2312"/>
                <w:sz w:val="20"/>
                <w:b/>
              </w:rPr>
              <w:t>2年</w:t>
            </w:r>
          </w:p>
          <w:p>
            <w:pPr>
              <w:pStyle w:val="null3"/>
              <w:ind w:firstLine="400"/>
              <w:jc w:val="both"/>
            </w:pPr>
            <w:r>
              <w:rPr>
                <w:rFonts w:ascii="仿宋_GB2312" w:hAnsi="仿宋_GB2312" w:cs="仿宋_GB2312" w:eastAsia="仿宋_GB2312"/>
                <w:sz w:val="20"/>
              </w:rPr>
              <w:t>五、更换设备技术参数要求</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1、翻斗式雨量计技术要求如下：</w:t>
            </w:r>
          </w:p>
          <w:p>
            <w:pPr>
              <w:pStyle w:val="null3"/>
              <w:ind w:firstLine="400"/>
              <w:jc w:val="both"/>
            </w:pPr>
            <w:r>
              <w:rPr>
                <w:rFonts w:ascii="仿宋_GB2312" w:hAnsi="仿宋_GB2312" w:cs="仿宋_GB2312" w:eastAsia="仿宋_GB2312"/>
                <w:sz w:val="20"/>
              </w:rPr>
              <w:t>测量范围：</w:t>
            </w:r>
            <w:r>
              <w:rPr>
                <w:rFonts w:ascii="仿宋_GB2312" w:hAnsi="仿宋_GB2312" w:cs="仿宋_GB2312" w:eastAsia="仿宋_GB2312"/>
                <w:sz w:val="20"/>
              </w:rPr>
              <w:t>0－4mm／min</w:t>
            </w:r>
          </w:p>
          <w:p>
            <w:pPr>
              <w:pStyle w:val="null3"/>
              <w:ind w:firstLine="400"/>
              <w:jc w:val="both"/>
            </w:pPr>
            <w:r>
              <w:rPr>
                <w:rFonts w:ascii="仿宋_GB2312" w:hAnsi="仿宋_GB2312" w:cs="仿宋_GB2312" w:eastAsia="仿宋_GB2312"/>
                <w:sz w:val="20"/>
              </w:rPr>
              <w:t>分辨率：</w:t>
            </w:r>
            <w:r>
              <w:rPr>
                <w:rFonts w:ascii="仿宋_GB2312" w:hAnsi="仿宋_GB2312" w:cs="仿宋_GB2312" w:eastAsia="仿宋_GB2312"/>
                <w:sz w:val="20"/>
              </w:rPr>
              <w:t>0.5mm</w:t>
            </w:r>
          </w:p>
          <w:p>
            <w:pPr>
              <w:pStyle w:val="null3"/>
              <w:ind w:firstLine="400"/>
              <w:jc w:val="both"/>
            </w:pPr>
            <w:r>
              <w:rPr>
                <w:rFonts w:ascii="仿宋_GB2312" w:hAnsi="仿宋_GB2312" w:cs="仿宋_GB2312" w:eastAsia="仿宋_GB2312"/>
                <w:sz w:val="20"/>
              </w:rPr>
              <w:t>承雨口径：</w:t>
            </w:r>
            <w:r>
              <w:rPr>
                <w:rFonts w:ascii="仿宋_GB2312" w:hAnsi="仿宋_GB2312" w:cs="仿宋_GB2312" w:eastAsia="仿宋_GB2312"/>
                <w:sz w:val="20"/>
              </w:rPr>
              <w:t>Φ200mm</w:t>
            </w:r>
          </w:p>
          <w:p>
            <w:pPr>
              <w:pStyle w:val="null3"/>
              <w:ind w:firstLine="400"/>
              <w:jc w:val="both"/>
            </w:pPr>
            <w:r>
              <w:rPr>
                <w:rFonts w:ascii="仿宋_GB2312" w:hAnsi="仿宋_GB2312" w:cs="仿宋_GB2312" w:eastAsia="仿宋_GB2312"/>
                <w:sz w:val="20"/>
              </w:rPr>
              <w:t>防护等级：</w:t>
            </w:r>
            <w:r>
              <w:rPr>
                <w:rFonts w:ascii="仿宋_GB2312" w:hAnsi="仿宋_GB2312" w:cs="仿宋_GB2312" w:eastAsia="仿宋_GB2312"/>
                <w:sz w:val="20"/>
              </w:rPr>
              <w:t>IP65以上</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2、雷达水位计技术要求如下：</w:t>
            </w:r>
          </w:p>
          <w:p>
            <w:pPr>
              <w:pStyle w:val="null3"/>
              <w:ind w:firstLine="400"/>
              <w:jc w:val="both"/>
            </w:pPr>
            <w:r>
              <w:rPr>
                <w:rFonts w:ascii="仿宋_GB2312" w:hAnsi="仿宋_GB2312" w:cs="仿宋_GB2312" w:eastAsia="仿宋_GB2312"/>
                <w:sz w:val="20"/>
              </w:rPr>
              <w:t>量程：</w:t>
            </w:r>
            <w:r>
              <w:rPr>
                <w:rFonts w:ascii="仿宋_GB2312" w:hAnsi="仿宋_GB2312" w:cs="仿宋_GB2312" w:eastAsia="仿宋_GB2312"/>
                <w:sz w:val="20"/>
              </w:rPr>
              <w:t>0－30m可选；</w:t>
            </w:r>
          </w:p>
          <w:p>
            <w:pPr>
              <w:pStyle w:val="null3"/>
              <w:ind w:firstLine="400"/>
              <w:jc w:val="both"/>
            </w:pPr>
            <w:r>
              <w:rPr>
                <w:rFonts w:ascii="仿宋_GB2312" w:hAnsi="仿宋_GB2312" w:cs="仿宋_GB2312" w:eastAsia="仿宋_GB2312"/>
                <w:sz w:val="20"/>
              </w:rPr>
              <w:t>精度：</w:t>
            </w:r>
            <w:r>
              <w:rPr>
                <w:rFonts w:ascii="仿宋_GB2312" w:hAnsi="仿宋_GB2312" w:cs="仿宋_GB2312" w:eastAsia="仿宋_GB2312"/>
                <w:sz w:val="20"/>
              </w:rPr>
              <w:t>±3mm；</w:t>
            </w:r>
          </w:p>
          <w:p>
            <w:pPr>
              <w:pStyle w:val="null3"/>
              <w:ind w:firstLine="400"/>
              <w:jc w:val="both"/>
            </w:pPr>
            <w:r>
              <w:rPr>
                <w:rFonts w:ascii="仿宋_GB2312" w:hAnsi="仿宋_GB2312" w:cs="仿宋_GB2312" w:eastAsia="仿宋_GB2312"/>
                <w:sz w:val="20"/>
              </w:rPr>
              <w:t>分辨率：</w:t>
            </w:r>
            <w:r>
              <w:rPr>
                <w:rFonts w:ascii="仿宋_GB2312" w:hAnsi="仿宋_GB2312" w:cs="仿宋_GB2312" w:eastAsia="仿宋_GB2312"/>
                <w:sz w:val="20"/>
              </w:rPr>
              <w:t>1mm ；</w:t>
            </w:r>
          </w:p>
          <w:p>
            <w:pPr>
              <w:pStyle w:val="null3"/>
              <w:ind w:firstLine="400"/>
              <w:jc w:val="both"/>
            </w:pPr>
            <w:r>
              <w:rPr>
                <w:rFonts w:ascii="仿宋_GB2312" w:hAnsi="仿宋_GB2312" w:cs="仿宋_GB2312" w:eastAsia="仿宋_GB2312"/>
                <w:sz w:val="20"/>
              </w:rPr>
              <w:t>输出：</w:t>
            </w:r>
            <w:r>
              <w:rPr>
                <w:rFonts w:ascii="仿宋_GB2312" w:hAnsi="仿宋_GB2312" w:cs="仿宋_GB2312" w:eastAsia="仿宋_GB2312"/>
                <w:sz w:val="20"/>
              </w:rPr>
              <w:t>RS485（MODBUS－RTU）、4～20mA、RS232；</w:t>
            </w:r>
          </w:p>
          <w:p>
            <w:pPr>
              <w:pStyle w:val="null3"/>
              <w:ind w:firstLine="400"/>
              <w:jc w:val="both"/>
            </w:pPr>
            <w:r>
              <w:rPr>
                <w:rFonts w:ascii="仿宋_GB2312" w:hAnsi="仿宋_GB2312" w:cs="仿宋_GB2312" w:eastAsia="仿宋_GB2312"/>
                <w:sz w:val="20"/>
              </w:rPr>
              <w:t>供电：</w:t>
            </w:r>
            <w:r>
              <w:rPr>
                <w:rFonts w:ascii="仿宋_GB2312" w:hAnsi="仿宋_GB2312" w:cs="仿宋_GB2312" w:eastAsia="仿宋_GB2312"/>
                <w:sz w:val="20"/>
              </w:rPr>
              <w:t>12 V DC；</w:t>
            </w:r>
          </w:p>
          <w:p>
            <w:pPr>
              <w:pStyle w:val="null3"/>
              <w:ind w:firstLine="400"/>
              <w:jc w:val="both"/>
            </w:pPr>
            <w:r>
              <w:rPr>
                <w:rFonts w:ascii="仿宋_GB2312" w:hAnsi="仿宋_GB2312" w:cs="仿宋_GB2312" w:eastAsia="仿宋_GB2312"/>
                <w:sz w:val="20"/>
              </w:rPr>
              <w:t>保护等级：</w:t>
            </w:r>
            <w:r>
              <w:rPr>
                <w:rFonts w:ascii="仿宋_GB2312" w:hAnsi="仿宋_GB2312" w:cs="仿宋_GB2312" w:eastAsia="仿宋_GB2312"/>
                <w:sz w:val="20"/>
              </w:rPr>
              <w:t>≥IP67。</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3、遥测终端机技术要求如下：</w:t>
            </w:r>
          </w:p>
          <w:p>
            <w:pPr>
              <w:pStyle w:val="null3"/>
              <w:ind w:firstLine="400"/>
              <w:jc w:val="both"/>
            </w:pPr>
            <w:r>
              <w:rPr>
                <w:rFonts w:ascii="仿宋_GB2312" w:hAnsi="仿宋_GB2312" w:cs="仿宋_GB2312" w:eastAsia="仿宋_GB2312"/>
                <w:sz w:val="20"/>
              </w:rPr>
              <w:t>供电电压范围：</w:t>
            </w:r>
            <w:r>
              <w:rPr>
                <w:rFonts w:ascii="仿宋_GB2312" w:hAnsi="仿宋_GB2312" w:cs="仿宋_GB2312" w:eastAsia="仿宋_GB2312"/>
                <w:sz w:val="20"/>
              </w:rPr>
              <w:t>DC10～24V；</w:t>
            </w:r>
          </w:p>
          <w:p>
            <w:pPr>
              <w:pStyle w:val="null3"/>
              <w:ind w:firstLine="400"/>
              <w:jc w:val="both"/>
            </w:pPr>
            <w:r>
              <w:rPr>
                <w:rFonts w:ascii="仿宋_GB2312" w:hAnsi="仿宋_GB2312" w:cs="仿宋_GB2312" w:eastAsia="仿宋_GB2312"/>
                <w:sz w:val="20"/>
              </w:rPr>
              <w:t>静态值守电流：公网信道静态值守电流应不大于</w:t>
            </w:r>
            <w:r>
              <w:rPr>
                <w:rFonts w:ascii="仿宋_GB2312" w:hAnsi="仿宋_GB2312" w:cs="仿宋_GB2312" w:eastAsia="仿宋_GB2312"/>
                <w:sz w:val="20"/>
              </w:rPr>
              <w:t xml:space="preserve"> 30mA；</w:t>
            </w:r>
          </w:p>
          <w:p>
            <w:pPr>
              <w:pStyle w:val="null3"/>
              <w:ind w:firstLine="400"/>
              <w:jc w:val="both"/>
            </w:pPr>
            <w:r>
              <w:rPr>
                <w:rFonts w:ascii="仿宋_GB2312" w:hAnsi="仿宋_GB2312" w:cs="仿宋_GB2312" w:eastAsia="仿宋_GB2312"/>
                <w:sz w:val="20"/>
              </w:rPr>
              <w:t>工作电流：公网信道工作电流应不大于</w:t>
            </w:r>
            <w:r>
              <w:rPr>
                <w:rFonts w:ascii="仿宋_GB2312" w:hAnsi="仿宋_GB2312" w:cs="仿宋_GB2312" w:eastAsia="仿宋_GB2312"/>
                <w:sz w:val="20"/>
              </w:rPr>
              <w:t xml:space="preserve"> 100mA；</w:t>
            </w:r>
          </w:p>
          <w:p>
            <w:pPr>
              <w:pStyle w:val="null3"/>
              <w:ind w:firstLine="400"/>
              <w:jc w:val="both"/>
            </w:pPr>
            <w:r>
              <w:rPr>
                <w:rFonts w:ascii="仿宋_GB2312" w:hAnsi="仿宋_GB2312" w:cs="仿宋_GB2312" w:eastAsia="仿宋_GB2312"/>
                <w:sz w:val="20"/>
              </w:rPr>
              <w:t>外壳防护等级：满足</w:t>
            </w:r>
            <w:r>
              <w:rPr>
                <w:rFonts w:ascii="仿宋_GB2312" w:hAnsi="仿宋_GB2312" w:cs="仿宋_GB2312" w:eastAsia="仿宋_GB2312"/>
                <w:sz w:val="20"/>
              </w:rPr>
              <w:t>IP67 要求；</w:t>
            </w:r>
          </w:p>
          <w:p>
            <w:pPr>
              <w:pStyle w:val="null3"/>
              <w:ind w:firstLine="400"/>
              <w:jc w:val="both"/>
            </w:pPr>
            <w:r>
              <w:rPr>
                <w:rFonts w:ascii="仿宋_GB2312" w:hAnsi="仿宋_GB2312" w:cs="仿宋_GB2312" w:eastAsia="仿宋_GB2312"/>
                <w:sz w:val="20"/>
              </w:rPr>
              <w:t>远程管理功能：支持通过远程网络进行远程参数设置、程序升级；</w:t>
            </w:r>
          </w:p>
          <w:p>
            <w:pPr>
              <w:pStyle w:val="null3"/>
              <w:ind w:firstLine="400"/>
              <w:jc w:val="both"/>
            </w:pPr>
            <w:r>
              <w:rPr>
                <w:rFonts w:ascii="仿宋_GB2312" w:hAnsi="仿宋_GB2312" w:cs="仿宋_GB2312" w:eastAsia="仿宋_GB2312"/>
                <w:sz w:val="20"/>
              </w:rPr>
              <w:t>通信功能：支持</w:t>
            </w:r>
            <w:r>
              <w:rPr>
                <w:rFonts w:ascii="仿宋_GB2312" w:hAnsi="仿宋_GB2312" w:cs="仿宋_GB2312" w:eastAsia="仿宋_GB2312"/>
                <w:sz w:val="20"/>
              </w:rPr>
              <w:t>4G 全网通，支持北斗卫星备用信道；</w:t>
            </w:r>
          </w:p>
          <w:p>
            <w:pPr>
              <w:pStyle w:val="null3"/>
              <w:ind w:firstLine="400"/>
              <w:jc w:val="both"/>
            </w:pPr>
            <w:r>
              <w:rPr>
                <w:rFonts w:ascii="仿宋_GB2312" w:hAnsi="仿宋_GB2312" w:cs="仿宋_GB2312" w:eastAsia="仿宋_GB2312"/>
                <w:sz w:val="20"/>
              </w:rPr>
              <w:t>工作温度：－</w:t>
            </w:r>
            <w:r>
              <w:rPr>
                <w:rFonts w:ascii="仿宋_GB2312" w:hAnsi="仿宋_GB2312" w:cs="仿宋_GB2312" w:eastAsia="仿宋_GB2312"/>
                <w:sz w:val="20"/>
              </w:rPr>
              <w:t>40℃～＋60℃，湿度：0～90％；</w:t>
            </w:r>
          </w:p>
          <w:p>
            <w:pPr>
              <w:pStyle w:val="null3"/>
              <w:ind w:firstLine="400"/>
              <w:jc w:val="both"/>
            </w:pPr>
            <w:r>
              <w:rPr>
                <w:rFonts w:ascii="仿宋_GB2312" w:hAnsi="仿宋_GB2312" w:cs="仿宋_GB2312" w:eastAsia="仿宋_GB2312"/>
                <w:sz w:val="20"/>
              </w:rPr>
              <w:t>通信协议：产品符合</w:t>
            </w:r>
            <w:r>
              <w:rPr>
                <w:rFonts w:ascii="仿宋_GB2312" w:hAnsi="仿宋_GB2312" w:cs="仿宋_GB2312" w:eastAsia="仿宋_GB2312"/>
                <w:sz w:val="20"/>
              </w:rPr>
              <w:t>SL651</w:t>
            </w:r>
            <w:r>
              <w:rPr>
                <w:rFonts w:ascii="仿宋_GB2312" w:hAnsi="仿宋_GB2312" w:cs="仿宋_GB2312" w:eastAsia="仿宋_GB2312"/>
                <w:sz w:val="20"/>
              </w:rPr>
              <w:t>-2014</w:t>
            </w:r>
            <w:r>
              <w:rPr>
                <w:rFonts w:ascii="仿宋_GB2312" w:hAnsi="仿宋_GB2312" w:cs="仿宋_GB2312" w:eastAsia="仿宋_GB2312"/>
                <w:sz w:val="20"/>
              </w:rPr>
              <w:t>《水文监测数据通信规约》；</w:t>
            </w:r>
          </w:p>
          <w:p>
            <w:pPr>
              <w:pStyle w:val="null3"/>
              <w:ind w:firstLine="400"/>
              <w:jc w:val="both"/>
            </w:pPr>
            <w:r>
              <w:rPr>
                <w:rFonts w:ascii="仿宋_GB2312" w:hAnsi="仿宋_GB2312" w:cs="仿宋_GB2312" w:eastAsia="仿宋_GB2312"/>
                <w:sz w:val="20"/>
              </w:rPr>
              <w:t>工作模式：支持一发三收，监测数据按时稳定传输到到省、市、县级平台；</w:t>
            </w:r>
          </w:p>
          <w:p>
            <w:pPr>
              <w:pStyle w:val="null3"/>
              <w:ind w:firstLine="400"/>
              <w:jc w:val="both"/>
            </w:pPr>
            <w:r>
              <w:rPr>
                <w:rFonts w:ascii="仿宋_GB2312" w:hAnsi="仿宋_GB2312" w:cs="仿宋_GB2312" w:eastAsia="仿宋_GB2312"/>
                <w:sz w:val="20"/>
              </w:rPr>
              <w:t>具备高低温、防静电等特性，与前期建设的水文、防汛站点在测报系统技术规约和协议方面兼容。</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4、太阳能板技术要求如下：</w:t>
            </w:r>
          </w:p>
          <w:p>
            <w:pPr>
              <w:pStyle w:val="null3"/>
              <w:ind w:firstLine="400"/>
              <w:jc w:val="both"/>
            </w:pPr>
            <w:r>
              <w:rPr>
                <w:rFonts w:ascii="仿宋_GB2312" w:hAnsi="仿宋_GB2312" w:cs="仿宋_GB2312" w:eastAsia="仿宋_GB2312"/>
                <w:sz w:val="20"/>
              </w:rPr>
              <w:t>材质：单晶硅太阳能板；</w:t>
            </w:r>
          </w:p>
          <w:p>
            <w:pPr>
              <w:pStyle w:val="null3"/>
              <w:ind w:firstLine="400"/>
              <w:jc w:val="both"/>
            </w:pPr>
            <w:r>
              <w:rPr>
                <w:rFonts w:ascii="仿宋_GB2312" w:hAnsi="仿宋_GB2312" w:cs="仿宋_GB2312" w:eastAsia="仿宋_GB2312"/>
                <w:sz w:val="20"/>
              </w:rPr>
              <w:t>额定功率：</w:t>
            </w:r>
            <w:r>
              <w:rPr>
                <w:rFonts w:ascii="仿宋_GB2312" w:hAnsi="仿宋_GB2312" w:cs="仿宋_GB2312" w:eastAsia="仿宋_GB2312"/>
                <w:sz w:val="20"/>
              </w:rPr>
              <w:t>≥50W；需满足连续 30 个阴雨天正常工作的要求；</w:t>
            </w:r>
          </w:p>
          <w:p>
            <w:pPr>
              <w:pStyle w:val="null3"/>
              <w:ind w:firstLine="400"/>
              <w:jc w:val="both"/>
            </w:pPr>
            <w:r>
              <w:rPr>
                <w:rFonts w:ascii="仿宋_GB2312" w:hAnsi="仿宋_GB2312" w:cs="仿宋_GB2312" w:eastAsia="仿宋_GB2312"/>
                <w:sz w:val="20"/>
              </w:rPr>
              <w:t>最大输出电压：≥</w:t>
            </w:r>
            <w:r>
              <w:rPr>
                <w:rFonts w:ascii="仿宋_GB2312" w:hAnsi="仿宋_GB2312" w:cs="仿宋_GB2312" w:eastAsia="仿宋_GB2312"/>
                <w:sz w:val="20"/>
              </w:rPr>
              <w:t>12</w:t>
            </w:r>
            <w:r>
              <w:rPr>
                <w:rFonts w:ascii="仿宋_GB2312" w:hAnsi="仿宋_GB2312" w:cs="仿宋_GB2312" w:eastAsia="仿宋_GB2312"/>
                <w:sz w:val="20"/>
              </w:rPr>
              <w:t>V</w:t>
            </w:r>
          </w:p>
          <w:p>
            <w:pPr>
              <w:pStyle w:val="null3"/>
              <w:ind w:firstLine="400"/>
              <w:jc w:val="both"/>
            </w:pPr>
            <w:r>
              <w:rPr>
                <w:rFonts w:ascii="仿宋_GB2312" w:hAnsi="仿宋_GB2312" w:cs="仿宋_GB2312" w:eastAsia="仿宋_GB2312"/>
                <w:sz w:val="20"/>
              </w:rPr>
              <w:t>工作温度：</w:t>
            </w:r>
            <w:r>
              <w:rPr>
                <w:rFonts w:ascii="仿宋_GB2312" w:hAnsi="仿宋_GB2312" w:cs="仿宋_GB2312" w:eastAsia="仿宋_GB2312"/>
                <w:sz w:val="20"/>
              </w:rPr>
              <w:t>-20～50℃；</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5、蓄电池技术要求如下：</w:t>
            </w:r>
          </w:p>
          <w:p>
            <w:pPr>
              <w:pStyle w:val="null3"/>
              <w:ind w:firstLine="400"/>
              <w:jc w:val="both"/>
            </w:pPr>
            <w:r>
              <w:rPr>
                <w:rFonts w:ascii="仿宋_GB2312" w:hAnsi="仿宋_GB2312" w:cs="仿宋_GB2312" w:eastAsia="仿宋_GB2312"/>
                <w:sz w:val="20"/>
              </w:rPr>
              <w:t>电池类型：胶体蓄电池；</w:t>
            </w:r>
          </w:p>
          <w:p>
            <w:pPr>
              <w:pStyle w:val="null3"/>
              <w:ind w:firstLine="400"/>
              <w:jc w:val="both"/>
            </w:pPr>
            <w:r>
              <w:rPr>
                <w:rFonts w:ascii="仿宋_GB2312" w:hAnsi="仿宋_GB2312" w:cs="仿宋_GB2312" w:eastAsia="仿宋_GB2312"/>
                <w:sz w:val="20"/>
              </w:rPr>
              <w:t>单体容量：</w:t>
            </w:r>
            <w:r>
              <w:rPr>
                <w:rFonts w:ascii="仿宋_GB2312" w:hAnsi="仿宋_GB2312" w:cs="仿宋_GB2312" w:eastAsia="仿宋_GB2312"/>
                <w:sz w:val="20"/>
              </w:rPr>
              <w:t>≥38Ah；需满足连续 30 个阴雨天正常工作的要求；</w:t>
            </w:r>
          </w:p>
          <w:p>
            <w:pPr>
              <w:pStyle w:val="null3"/>
              <w:ind w:firstLine="400"/>
              <w:jc w:val="both"/>
            </w:pPr>
            <w:r>
              <w:rPr>
                <w:rFonts w:ascii="仿宋_GB2312" w:hAnsi="仿宋_GB2312" w:cs="仿宋_GB2312" w:eastAsia="仿宋_GB2312"/>
                <w:sz w:val="20"/>
              </w:rPr>
              <w:t>低温工作性能：－</w:t>
            </w:r>
            <w:r>
              <w:rPr>
                <w:rFonts w:ascii="仿宋_GB2312" w:hAnsi="仿宋_GB2312" w:cs="仿宋_GB2312" w:eastAsia="仿宋_GB2312"/>
                <w:sz w:val="20"/>
              </w:rPr>
              <w:t>20℃条件下充放电效率不低于60％；</w:t>
            </w:r>
          </w:p>
          <w:p>
            <w:pPr>
              <w:pStyle w:val="null3"/>
              <w:ind w:firstLine="400"/>
              <w:jc w:val="both"/>
            </w:pPr>
            <w:r>
              <w:rPr>
                <w:rFonts w:ascii="仿宋_GB2312" w:hAnsi="仿宋_GB2312" w:cs="仿宋_GB2312" w:eastAsia="仿宋_GB2312"/>
                <w:sz w:val="20"/>
              </w:rPr>
              <w:t>高温工作性能：</w:t>
            </w:r>
            <w:r>
              <w:rPr>
                <w:rFonts w:ascii="仿宋_GB2312" w:hAnsi="仿宋_GB2312" w:cs="仿宋_GB2312" w:eastAsia="仿宋_GB2312"/>
                <w:sz w:val="20"/>
              </w:rPr>
              <w:t>40℃条件下充放电效率不低于90％；</w:t>
            </w:r>
          </w:p>
          <w:p>
            <w:pPr>
              <w:pStyle w:val="null3"/>
              <w:ind w:firstLine="400"/>
              <w:jc w:val="both"/>
            </w:pPr>
            <w:r>
              <w:rPr>
                <w:rFonts w:ascii="仿宋_GB2312" w:hAnsi="仿宋_GB2312" w:cs="仿宋_GB2312" w:eastAsia="仿宋_GB2312"/>
                <w:sz w:val="20"/>
              </w:rPr>
              <w:t>使用寿命：正常使用寿命</w:t>
            </w:r>
            <w:r>
              <w:rPr>
                <w:rFonts w:ascii="仿宋_GB2312" w:hAnsi="仿宋_GB2312" w:cs="仿宋_GB2312" w:eastAsia="仿宋_GB2312"/>
                <w:sz w:val="20"/>
              </w:rPr>
              <w:t>5年，免维护；</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6、北斗卫星终端技术要求如下：</w:t>
            </w:r>
          </w:p>
          <w:p>
            <w:pPr>
              <w:pStyle w:val="null3"/>
              <w:ind w:firstLine="400"/>
              <w:jc w:val="both"/>
            </w:pPr>
            <w:r>
              <w:rPr>
                <w:rFonts w:ascii="仿宋_GB2312" w:hAnsi="仿宋_GB2312" w:cs="仿宋_GB2312" w:eastAsia="仿宋_GB2312"/>
                <w:sz w:val="20"/>
              </w:rPr>
              <w:t>支持北斗三号短报文通信，单条报文最大长度不小于</w:t>
            </w:r>
            <w:r>
              <w:rPr>
                <w:rFonts w:ascii="仿宋_GB2312" w:hAnsi="仿宋_GB2312" w:cs="仿宋_GB2312" w:eastAsia="仿宋_GB2312"/>
                <w:sz w:val="20"/>
              </w:rPr>
              <w:t xml:space="preserve"> 1000 个汉字。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满足采购人采购要求，达到验收标准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满足采购服务内容要求，遵照国家有关规定和最终合同约定执行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进度款，合同签订后供应商进场，达到付款条件起15个工作日内，支付合同总金额的30.0%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进度款，汛期结束后，达到付款条件起15个工作日内，支付合同总金额的50.0%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②如因供应商在履行过程中的疏忽、失职、过错等故意或者过失原因给采购人造成损失或侵害，包括但不限于采购人本身的财产损失、由此而导致的采购人对任何第三方的法律责任等，供应商对此均应承担全部的赔偿责任。③如供应商提交的成果达不到相关质量要求或未按采购人时间进度安排完成成果或最终为通过消防验收，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符合国家、行业要求，达到合格标准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供应商应提交的相关资格证明材料（更正）.docx 商务应答表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供应商应提交的相关资格证明材料（更正）.docx 商务应答表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供应商应提交的相关资格证明材料（更正）.docx 商务应答表 服务内容及服务要求应答表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供应商应提交的相关资格证明材料（更正）.docx 商务应答表 服务内容及服务要求应答表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供应商应提交的相关资格证明材料（更正）.docx 商务应答表 服务内容及服务要求应答表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保证金格式.docx 报价表 项目服务实施方案.docx 响应文件封面 供应商应提交的相关资格证明材料.docx 残疾人福利性单位声明函 供应商应提交的相关资格证明材料（更正）.docx 标的清单 业绩相关证明材料.docx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响应文件是否按磋商文件要求签署并逐页盖章。</w:t>
            </w:r>
          </w:p>
        </w:tc>
        <w:tc>
          <w:tcPr>
            <w:tcW w:type="dxa" w:w="1661"/>
          </w:tcPr>
          <w:p>
            <w:pPr>
              <w:pStyle w:val="null3"/>
            </w:pPr>
            <w:r>
              <w:rPr>
                <w:rFonts w:ascii="仿宋_GB2312" w:hAnsi="仿宋_GB2312" w:cs="仿宋_GB2312" w:eastAsia="仿宋_GB2312"/>
              </w:rPr>
              <w:t>中小企业声明函 商务应答表 服务内容及服务要求应答表 保证金格式.docx 报价表 项目服务实施方案.docx 响应文件封面 供应商应提交的相关资格证明材料.docx 残疾人福利性单位声明函 供应商应提交的相关资格证明材料（更正）.docx 标的清单 业绩相关证明材料.docx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供应商应提交的相关资格证明材料（更正）.docx 保证金格式.docx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整体运维服务方案</w:t>
            </w:r>
          </w:p>
        </w:tc>
        <w:tc>
          <w:tcPr>
            <w:tcW w:type="dxa" w:w="2492"/>
          </w:tcPr>
          <w:p>
            <w:pPr>
              <w:pStyle w:val="null3"/>
            </w:pPr>
            <w:r>
              <w:rPr>
                <w:rFonts w:ascii="仿宋_GB2312" w:hAnsi="仿宋_GB2312" w:cs="仿宋_GB2312" w:eastAsia="仿宋_GB2312"/>
              </w:rPr>
              <w:t>评审内容：供应商须针对本项目11县区342处雨量、水位监测站点全域运维，编制专项整体运维方案，内容须包含：①运维总体思路；②全年阶段性运维计划；③全域站点统筹部署方案；④市县联动运维机制；⑤市级驻场运维管理制度；⑥汛期全天候值守应急保障方案；⑦站点在线率100%管控措施。 评审标准：方案包含全部要求内容、全面详细、条理清晰、完全贴合本项目运维实际、运维规范、可落地性强，得28分。若上述内容存在缺陷，每小项每出现一处缺陷扣2分，单项扣完为止。注：缺陷是指内容描述过于简单、无核心技术要点；逻辑条理混乱、结构不清晰；内容通用模板化，未针对性结合本项目汉中市11县区342处山洪监测站点运维、市级驻场、汛期24小时值守、市县联动、100%在线率运维要求；未对标《山洪灾害防治非工程措施运行维护指南》《山洪灾害监测预警设施设备运行维护管理要求》（办防〔2019〕102号）规范；存在逻辑漏洞、常识性错误、无法落地、脱离项目实际工况等问题。方案缺漏项或只有标题没有实质性内容的每项扣4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站点常态化巡检方案</w:t>
            </w:r>
          </w:p>
        </w:tc>
        <w:tc>
          <w:tcPr>
            <w:tcW w:type="dxa" w:w="2492"/>
          </w:tcPr>
          <w:p>
            <w:pPr>
              <w:pStyle w:val="null3"/>
            </w:pPr>
            <w:r>
              <w:rPr>
                <w:rFonts w:ascii="仿宋_GB2312" w:hAnsi="仿宋_GB2312" w:cs="仿宋_GB2312" w:eastAsia="仿宋_GB2312"/>
              </w:rPr>
              <w:t>评审内容：供应商须针对全市342处雨量、水位监测站点制定全覆盖常态化巡检方案，内容须包含：①雨量、水位站点差异化巡检内容；②日、周、月常态化巡检周期计划；③分县区分片巡检部署机制；④设备外观、传感器、供电、通信、机箱环境标准化巡检细则；⑤数据比对与隐患排查机制；⑥巡检台账登记、归档、闭环管理制度；⑦市县联动巡检工作机制。 评审标准：方案包含全部要求内容、全面详细、巡检机制科学、全覆盖342处站点、贴合野外运维实际，得14分。若上述内容存在缺陷，每小项每出现一处缺陷扣1分，单项扣完为止。注：缺陷是指内容描述过于简单、无核心技术要点；逻辑条理混乱、结构不清晰；内容通用模板化，未针对性结合本项目汉中市11县区342处山洪监测站点运维、市级驻场、汛期24小时值守、市县联动、100%在线率运维要求；未对标《山洪灾害防治非工程措施运行维护指南》《山洪灾害监测预警设施设备运行维护管理要求》（办防〔2019〕102号）规范；存在逻辑漏洞、常识性错误、无法落地、脱离项目实际工况等问题。方案缺漏项或只有标题没有实质性内容的每项扣2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故障排查、部件更换及修复方案</w:t>
            </w:r>
          </w:p>
        </w:tc>
        <w:tc>
          <w:tcPr>
            <w:tcW w:type="dxa" w:w="2492"/>
          </w:tcPr>
          <w:p>
            <w:pPr>
              <w:pStyle w:val="null3"/>
            </w:pPr>
            <w:r>
              <w:rPr>
                <w:rFonts w:ascii="仿宋_GB2312" w:hAnsi="仿宋_GB2312" w:cs="仿宋_GB2312" w:eastAsia="仿宋_GB2312"/>
              </w:rPr>
              <w:t>评审内容：供应商须针对山洪监测站点各类常见故障制定专项处置修复方案，内容须包含：①常见故障分类判定标准；②野外站点故障快速排查溯源流程；③各类设备部件更换标准及工艺规范；④故障现场修复实施流程；⑤修复后设备校验、测试机制；⑥一般、重大故障分级处置时限；⑦故障台账登记、闭环整改、归档管理机制。 评审标准：方案包含全部要求内容、体系完整、流程规范、贴合野外故障处置工况、可操作性强，得14分。若上述内容存在缺陷，每小项每出现一处缺陷扣1分，单项扣完为止。注：缺陷是指内容描述过于简单、无核心技术要点；逻辑条理混乱、结构不清晰；内容通用模板化，未针对性结合本项目汉中市11县区342处山洪监测站点运维、市级驻场、汛期24小时值守、市县联动、100%在线率运维要求；未对标《山洪灾害防治非工程措施运行维护指南》《山洪灾害监测预警设施设备运行维护管理要求》（办防〔2019〕102号）规范；存在逻辑漏洞、常识性错误、无法落地、脱离项目实际工况等问题。方案缺漏项或只有标题没有实质性内容的每项扣2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质量管理及保障措施</w:t>
            </w:r>
          </w:p>
        </w:tc>
        <w:tc>
          <w:tcPr>
            <w:tcW w:type="dxa" w:w="2492"/>
          </w:tcPr>
          <w:p>
            <w:pPr>
              <w:pStyle w:val="null3"/>
            </w:pPr>
            <w:r>
              <w:rPr>
                <w:rFonts w:ascii="仿宋_GB2312" w:hAnsi="仿宋_GB2312" w:cs="仿宋_GB2312" w:eastAsia="仿宋_GB2312"/>
              </w:rPr>
              <w:t>评审内容：供应商须结合水利运维规范及本项目100%在线率目标，建立完整运维质量保障体系，内容须包含：①全过程运维质量管控制度；②站点在线率常态化管控措施；③监测数据精准度核查机制；④日常质量巡查、月度质量考核制度；⑤运维问题台账及整改闭环机制；⑥运维质量追溯管理措施；⑦汛期专项质量保障措施；⑧运维资料规范化归档管理制度。 评审标准：质量保障体系健全、内容完整、管控措施具体、贴合本项目100%在线率运维目标、符合水利运维规范，得16分。若上述内容存在缺陷，每小项每出现一处缺陷扣1分，单项扣完为止。注：缺陷是指内容描述过于简单、无核心技术要点；逻辑条理混乱、结构不清晰；内容通用模板化，未针对性结合本项目汉中市11县区342处山洪监测站点运维、市级驻场、汛期24小时值守、市县联动、100%在线率运维要求；未对标《山洪灾害防治非工程措施运行维护指南》《山洪灾害监测预警设施设备运行维护管理要求》（办防〔2019〕102号）规范；存在逻辑漏洞、常识性错误、无法落地、脱离项目实际工况等问题。方案缺漏项或只有标题没有实质性内容的每项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响应文件中需提供人员配备计划，包含以下内容: 1.项目总负责人具有信息系统项目管理师证书或系统集成项目管理师证书。每具备1个资格证书得2分，此项最高得2分，未提供不得分；（需提供人员证书、身份证、学历证、本单位社保证明） 2.供应商针对本项目配备的技术人员专业配置合理齐全，技术人员具备信息系统运维管理工程师或ITSS运行维护经理或网络工程师证书。每提供1名具有证书人员得2分，满分4分，未提供不得分，同类证书不累计得分；（需提供人员证书、身份证、学历证、本单位社保证明） 3.供应商除以上专业技术人员外，提供6人及以上县区运维人员得2分，提供8人及以上县区运维人员得4分，未提供或人员不足6人不得分。（需提供人员身份证、学历证、本单位社保证明）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服务承诺及履约保障</w:t>
            </w:r>
          </w:p>
        </w:tc>
        <w:tc>
          <w:tcPr>
            <w:tcW w:type="dxa" w:w="2492"/>
          </w:tcPr>
          <w:p>
            <w:pPr>
              <w:pStyle w:val="null3"/>
            </w:pPr>
            <w:r>
              <w:rPr>
                <w:rFonts w:ascii="仿宋_GB2312" w:hAnsi="仿宋_GB2312" w:cs="仿宋_GB2312" w:eastAsia="仿宋_GB2312"/>
              </w:rPr>
              <w:t>供应商须针对本项目1年服务周期提供专项履约承诺，内容须包含：1.站点全年100%在线率达标承诺；2.故障限时处置闭环承诺；3.汛期值守履约承诺；4.后期质保答疑及持续服务承诺。每提供一条承诺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供应商提供近三年内承担过山洪灾害监测站点运维、水利水文监测设备运维、水文雨量水位站点管护类似服务项目，每提供1个完整有效业绩得2分，最高得4分； 注：业绩需提供相关合同关键页或中标通知书等佐证材料，缺一不可，弄虚作假本项0分，不累计加分。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磋商报价得分=(磋商基准价／最后报价)×10 注：1、得分计算结果四舍五入保留小数点后两位。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详见附件：供应商应提交的相关资格证明材料（更正）.docx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