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版本号：0617-2624FZ084620260518001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馆藏石质文物保护项目(第三阶段)</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0617-2624FZ0846</w:t>
      </w:r>
      <w:r>
        <w:br/>
      </w:r>
      <w:r>
        <w:br/>
      </w:r>
      <w:r>
        <w:br/>
      </w:r>
    </w:p>
    <w:p>
      <w:pPr>
        <w:pStyle w:val="null3"/>
        <w:jc w:val="center"/>
        <w:outlineLvl w:val="2"/>
      </w:pPr>
      <w:r>
        <w:rPr>
          <w:rFonts w:ascii="仿宋_GB2312" w:hAnsi="仿宋_GB2312" w:cs="仿宋_GB2312" w:eastAsia="仿宋_GB2312"/>
          <w:sz w:val="28"/>
          <w:b/>
        </w:rPr>
        <w:t>西安碑林博物馆</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西安碑林博物馆</w:t>
      </w:r>
      <w:r>
        <w:rPr>
          <w:rFonts w:ascii="仿宋_GB2312" w:hAnsi="仿宋_GB2312" w:cs="仿宋_GB2312" w:eastAsia="仿宋_GB2312"/>
        </w:rPr>
        <w:t>委托，拟对</w:t>
      </w:r>
      <w:r>
        <w:rPr>
          <w:rFonts w:ascii="仿宋_GB2312" w:hAnsi="仿宋_GB2312" w:cs="仿宋_GB2312" w:eastAsia="仿宋_GB2312"/>
        </w:rPr>
        <w:t>馆藏石质文物保护项目(第三阶段)</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0617-2624FZ0846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馆藏石质文物保护项目(第三阶段)</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西安碑林博物馆的馆藏石质文物种类丰富、馆藏量大、价值高，为了达到去除文物病害及隐患，延长文物保存寿命，更好地实现博物馆收藏及对外展览的目的，计划对石质文物进行修复和保护。 西安碑林博物馆现计划第三阶段的石质文物保护修复实施工作，基本完成30件画像石与37件石刻造像的修复工作。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1、授权委托书/法定代表人身份证明：提供法定代表人授权书(附法定代表人、被授权人身份证复印件)或提供法定代表人身份证明及身份证复印件（法定代表人直接参加磋商)。</w:t>
      </w:r>
    </w:p>
    <w:p>
      <w:pPr>
        <w:pStyle w:val="null3"/>
      </w:pPr>
      <w:r>
        <w:rPr>
          <w:rFonts w:ascii="仿宋_GB2312" w:hAnsi="仿宋_GB2312" w:cs="仿宋_GB2312" w:eastAsia="仿宋_GB2312"/>
        </w:rPr>
        <w:t>2、信用要求：“信用中国”网站（www.creditchina.gov.cn）和“中国政府采购网”（ccgp.gov.cn）为供应商信用信息查询渠道，如果供应商被查实在投标提交响应文件截止时间前列入失信被执行人（页面跳转至“中国执行信息公开网”http://zxgk.court.gov.cn/shixin/）、重大税收违法失信主体、政府采购严重违法失信行为记录名单，其响应为无效。同时采购代理机构将打印上述失信记录作为无效响应的证据留存。</w:t>
      </w:r>
    </w:p>
    <w:p>
      <w:pPr>
        <w:pStyle w:val="null3"/>
      </w:pPr>
      <w:r>
        <w:rPr>
          <w:rFonts w:ascii="仿宋_GB2312" w:hAnsi="仿宋_GB2312" w:cs="仿宋_GB2312" w:eastAsia="仿宋_GB2312"/>
        </w:rPr>
        <w:t>3、供应商资质：供应商须具有《可移动文物修复资质证书》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西安碑林博物馆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陕西省西安市碑林区三学街15号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029-87210764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任晓洁、杨东峰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029-89651856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采购包1：1,312,039.21元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人后3日内，以成交金额为基数，由成交人按照国家计委颁发的《招标代理服务收费管理暂行办法》（计价格〔2002〕1980号）的标准向采购代理机构一次付清采购代理服务费，不足5000.00元的按5000.00元计取。开户名称：西北（陕西）国际招标有限公司；开户银行：交通银行西安长安大学支行 账号：611301151018010003843。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西安碑林博物馆</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西安碑林博物馆</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西安碑林博物馆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联系电话：029-89651862</w:t>
      </w:r>
    </w:p>
    <w:p>
      <w:pPr>
        <w:pStyle w:val="null3"/>
      </w:pPr>
      <w:r>
        <w:rPr>
          <w:rFonts w:ascii="仿宋_GB2312" w:hAnsi="仿宋_GB2312" w:cs="仿宋_GB2312" w:eastAsia="仿宋_GB2312"/>
        </w:rPr>
        <w:t>地址：陕西省西安市雁塔区南二环西段58号成长大厦11层1203室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西安碑林博物馆的馆藏石质文物种类丰富、馆藏量大、价值高，为了达到去除文物病害及隐患，延长文物保存寿命，更好地实现博物馆收藏及对外展览的目的，计划对石质文物进行修复和保护。 西安碑林博物馆现计划第三阶段的石质文物保护修复实施工作，基本完成30件画像石与37件石刻造像的修复工作，由此产生的科研成果双方共享，成果署名方式共同协商。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1,312,039.21</w:t>
      </w:r>
    </w:p>
    <w:p>
      <w:pPr>
        <w:pStyle w:val="null3"/>
      </w:pPr>
      <w:r>
        <w:rPr>
          <w:rFonts w:ascii="仿宋_GB2312" w:hAnsi="仿宋_GB2312" w:cs="仿宋_GB2312" w:eastAsia="仿宋_GB2312"/>
        </w:rPr>
        <w:t>采购包最高限价（元）: 1,312,039.21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文物保护修复</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1,312,039.21</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标的名称：文物保护修复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pPr>
            <w:r>
              <w:rPr>
                <w:rFonts w:ascii="仿宋_GB2312" w:hAnsi="仿宋_GB2312" w:cs="仿宋_GB2312" w:eastAsia="仿宋_GB2312"/>
                <w:sz w:val="21"/>
              </w:rPr>
              <w:t>主要的修复保护内容应包括以下方面:</w:t>
            </w:r>
          </w:p>
          <w:p>
            <w:pPr>
              <w:pStyle w:val="null3"/>
            </w:pPr>
            <w:r>
              <w:rPr>
                <w:rFonts w:ascii="仿宋_GB2312" w:hAnsi="仿宋_GB2312" w:cs="仿宋_GB2312" w:eastAsia="仿宋_GB2312"/>
                <w:sz w:val="21"/>
              </w:rPr>
              <w:t>1、文物资料的收集整理及建立文物修复档案；</w:t>
            </w:r>
          </w:p>
          <w:p>
            <w:pPr>
              <w:pStyle w:val="null3"/>
            </w:pPr>
            <w:r>
              <w:rPr>
                <w:rFonts w:ascii="仿宋_GB2312" w:hAnsi="仿宋_GB2312" w:cs="仿宋_GB2312" w:eastAsia="仿宋_GB2312"/>
                <w:sz w:val="21"/>
              </w:rPr>
              <w:t>2、对部分重要文物进行三维扫描信息采集；</w:t>
            </w:r>
          </w:p>
          <w:p>
            <w:pPr>
              <w:pStyle w:val="null3"/>
            </w:pPr>
            <w:r>
              <w:rPr>
                <w:rFonts w:ascii="仿宋_GB2312" w:hAnsi="仿宋_GB2312" w:cs="仿宋_GB2312" w:eastAsia="仿宋_GB2312"/>
                <w:sz w:val="21"/>
              </w:rPr>
              <w:t>3、检测分析与研究；</w:t>
            </w:r>
          </w:p>
          <w:p>
            <w:pPr>
              <w:pStyle w:val="null3"/>
            </w:pPr>
            <w:r>
              <w:rPr>
                <w:rFonts w:ascii="仿宋_GB2312" w:hAnsi="仿宋_GB2312" w:cs="仿宋_GB2312" w:eastAsia="仿宋_GB2312"/>
                <w:sz w:val="21"/>
              </w:rPr>
              <w:t>4、现场进行样区实验；</w:t>
            </w:r>
          </w:p>
          <w:p>
            <w:pPr>
              <w:pStyle w:val="null3"/>
            </w:pPr>
            <w:r>
              <w:rPr>
                <w:rFonts w:ascii="仿宋_GB2312" w:hAnsi="仿宋_GB2312" w:cs="仿宋_GB2312" w:eastAsia="仿宋_GB2312"/>
                <w:sz w:val="21"/>
              </w:rPr>
              <w:t>5、表面清洗；</w:t>
            </w:r>
          </w:p>
          <w:p>
            <w:pPr>
              <w:pStyle w:val="null3"/>
            </w:pPr>
            <w:r>
              <w:rPr>
                <w:rFonts w:ascii="仿宋_GB2312" w:hAnsi="仿宋_GB2312" w:cs="仿宋_GB2312" w:eastAsia="仿宋_GB2312"/>
                <w:sz w:val="21"/>
              </w:rPr>
              <w:t>6、表面脱盐；</w:t>
            </w:r>
          </w:p>
          <w:p>
            <w:pPr>
              <w:pStyle w:val="null3"/>
            </w:pPr>
            <w:r>
              <w:rPr>
                <w:rFonts w:ascii="仿宋_GB2312" w:hAnsi="仿宋_GB2312" w:cs="仿宋_GB2312" w:eastAsia="仿宋_GB2312"/>
                <w:sz w:val="21"/>
              </w:rPr>
              <w:t>7、对石刻表面彩绘层及石刻片状脱落、溶蚀、风化部位进行渗透加固；</w:t>
            </w:r>
          </w:p>
          <w:p>
            <w:pPr>
              <w:pStyle w:val="null3"/>
            </w:pPr>
            <w:r>
              <w:rPr>
                <w:rFonts w:ascii="仿宋_GB2312" w:hAnsi="仿宋_GB2312" w:cs="仿宋_GB2312" w:eastAsia="仿宋_GB2312"/>
                <w:sz w:val="21"/>
              </w:rPr>
              <w:t>8、对裂隙、裂缝进行科学处理；</w:t>
            </w:r>
          </w:p>
          <w:p>
            <w:pPr>
              <w:pStyle w:val="null3"/>
            </w:pPr>
            <w:r>
              <w:rPr>
                <w:rFonts w:ascii="仿宋_GB2312" w:hAnsi="仿宋_GB2312" w:cs="仿宋_GB2312" w:eastAsia="仿宋_GB2312"/>
                <w:sz w:val="21"/>
              </w:rPr>
              <w:t>9、对开裂严重贯穿性裂缝及断裂石刻进行修复处理；</w:t>
            </w:r>
          </w:p>
          <w:p>
            <w:pPr>
              <w:pStyle w:val="null3"/>
            </w:pPr>
            <w:r>
              <w:rPr>
                <w:rFonts w:ascii="仿宋_GB2312" w:hAnsi="仿宋_GB2312" w:cs="仿宋_GB2312" w:eastAsia="仿宋_GB2312"/>
                <w:sz w:val="21"/>
              </w:rPr>
              <w:t>10、部分石刻的缺损部位在有依据的前提下进行科学补全；</w:t>
            </w:r>
          </w:p>
          <w:p>
            <w:pPr>
              <w:pStyle w:val="null3"/>
            </w:pPr>
            <w:r>
              <w:rPr>
                <w:rFonts w:ascii="仿宋_GB2312" w:hAnsi="仿宋_GB2312" w:cs="仿宋_GB2312" w:eastAsia="仿宋_GB2312"/>
                <w:sz w:val="21"/>
              </w:rPr>
              <w:t>11、整体进行补强；</w:t>
            </w:r>
          </w:p>
          <w:p>
            <w:pPr>
              <w:pStyle w:val="null3"/>
              <w:jc w:val="both"/>
            </w:pPr>
            <w:r>
              <w:rPr>
                <w:rFonts w:ascii="仿宋_GB2312" w:hAnsi="仿宋_GB2312" w:cs="仿宋_GB2312" w:eastAsia="仿宋_GB2312"/>
                <w:sz w:val="21"/>
              </w:rPr>
              <w:t>12、对文物存放环境给出预防性保护建议。</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由此产生的科研成果双方共享，成果署名方式共同协商。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以采购合同约定为准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★自合同签订之日18个月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西安碑林博物馆指定地点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以采购合同约定为准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合同生效之日起30天内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项目进行到中期时</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 xml:space="preserve">自项目验收完成之日起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《碑林画像石刻现状及病害情况表》和《碑林造像石刻现状及病害情况表》详见附件。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 提供注册登记凭证（营业执照、其他组织经营的合法凭证，自然人的提供身份证明文件）; 2.具有依法缴纳税收的良好记录。提供缴费所属日期为投标截止时间前12个月内任一月份（磋商截止时间当月不计入）的缴费凭据或税务机关出具的完税证明或（在法规范围内不需提供的应出具书面说明或证明文件）；/或具有依法缴纳税收的诚信声明；以上二种形式的资料提供任何一种即可。3.具有依法缴纳社会保障资金的良好记录。提供缴费所属日期为磋商截止时间前12个月内任一月份（磋商截止时间当月不计入）的缴费凭据或社保机关出具的缴费证明（在法规范围内不需提供的应出具书面说明和证明文件）/或具有依法缴纳社会保障资金的缴纳记录的诚信声明；以上二种形式的资料提供任何一种即可。4.具有履行合同所必需的设备和专业技术能力。提供声明文件；5.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至今任意一年度经审计的具有注册会计师行业统一监管平台出具赋码的财务报告（包括四表一注，即资产负债表、利润表、现金流量表、所有者权益变动表及其附注），且无反对意见；事业法人提供部门决算报告；/或在磋商日期前六个月内其基本开户银行出具的资信证明（附基本存款账户信息等证明材料）；/或专业担保机构出具的磋商担保函；/或表明具有良好的商业信誉和健全的财务会计制度的诚信声明；以上四种形式的资料提供任何一种即可。</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资格证明资料.docx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授权委托书/法定代表人身份证明</w:t>
            </w:r>
          </w:p>
        </w:tc>
        <w:tc>
          <w:tcPr>
            <w:tcW w:type="dxa" w:w="3322"/>
          </w:tcPr>
          <w:p>
            <w:pPr>
              <w:pStyle w:val="null3"/>
            </w:pPr>
            <w:r>
              <w:rPr>
                <w:rFonts w:ascii="仿宋_GB2312" w:hAnsi="仿宋_GB2312" w:cs="仿宋_GB2312" w:eastAsia="仿宋_GB2312"/>
              </w:rPr>
              <w:t>提供法定代表人授权书(附法定代表人、被授权人身份证复印件)或提供法定代表人身份证明及身份证复印件（法定代表人直接参加磋商)。</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投标提交响应文件截止时间前列入失信被执行人（页面跳转至“中国执行信息公开网”http://zxgk.court.gov.cn/shixin/）、重大税收违法失信主体、政府采购严重违法失信行为记录名单，其响应为无效。同时采购代理机构将打印上述失信记录作为无效响应的证据留存。</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供应商须具有《可移动文物修复资质证书》</w:t>
            </w:r>
          </w:p>
        </w:tc>
        <w:tc>
          <w:tcPr>
            <w:tcW w:type="dxa" w:w="1661"/>
          </w:tcPr>
          <w:p>
            <w:pPr>
              <w:pStyle w:val="null3"/>
            </w:pPr>
            <w:r>
              <w:rPr>
                <w:rFonts w:ascii="仿宋_GB2312" w:hAnsi="仿宋_GB2312" w:cs="仿宋_GB2312" w:eastAsia="仿宋_GB2312"/>
              </w:rPr>
              <w:t>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1.磋商响应文件是否按照磋商文件要求的格式编写； 2.磋商报价内容是否有重大缺漏项： 1）是否按磋商文件要求完整报价、无缺漏项； 2）磋商响应文件构成是否完整，即是否按磋商文件要求提供了完整的磋商响应文件； 3）磋商文件要求提供的其他内容（如有）。</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标的清单 报价表 响应函 服务方案.docx 监狱企业的证明文件 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磋商响应文件的签署、加盖印章是否有效；提供的各种证明文件、数据、资料是否有效。</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标的清单 报价表 响应函 服务方案.docx 监狱企业的证明文件 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1.磋商报价是否超过采购预算； 2.磋商报价有效期是否符合磋商文件的要求； 3.响应文件内容是否符合国家法律法规，没有重大偏离； 4.对磋商文件中规定的要求是否做出了实质性响应。</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标的清单 报价表 响应函 服务方案.docx 监狱企业的证明文件 资格证明资料.docx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1、评审内容：①针对本项目石质文物保存现状、信息资料收集、三维扫描、病害调查、存放环境及分析检测情况，制定石质文物保护修复的具体实施方案，工作流程、实施方案具体合理清晰明确，满足文物保护修复规范及磋商文件要求；②供应商针对本项目具有完备的规划和服务体系，能确保分析检测数据的准确性和修复档案的完善性；③供应商针对石质文物的日常保养、存放等方面提供合理化建议的详细说明。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3、赋分标准：每一项评审内容满足每项评审标准的得9分，最多得27分。每一项内容相对每一项评审标准存在一处漏洞或缺陷扣1-7分，每项9分扣完为止。未提供相关评审内容的，该项得0分。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 4.未提供此项内容的得0分。</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修复方案</w:t>
            </w:r>
          </w:p>
        </w:tc>
        <w:tc>
          <w:tcPr>
            <w:tcW w:type="dxa" w:w="2492"/>
          </w:tcPr>
          <w:p>
            <w:pPr>
              <w:pStyle w:val="null3"/>
            </w:pPr>
            <w:r>
              <w:rPr>
                <w:rFonts w:ascii="仿宋_GB2312" w:hAnsi="仿宋_GB2312" w:cs="仿宋_GB2312" w:eastAsia="仿宋_GB2312"/>
              </w:rPr>
              <w:t>1、评审内容：①供应商针对石刻片状脱落、溶蚀、风化部位渗透提出相应的加固方案；②对裂隙、裂缝提出相应的科学处理；③对开裂严重贯穿性裂缝及断裂石刻提出相应的修复保护方案；④对部分石刻的缺损部位在有依据的前提下进行科学补全方案。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3、赋分标准：每一项评审内容满足每项评审标准的得3分，最多得12分。每一项内容相对每一项评审标准存在一处漏洞或缺陷扣1-2分，每项3分扣完为止。未提供相关评审内容的，该项得0分。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 4.未提供此项内容的得0分。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1、评审内容:①提供石质文物修复保护应遵循的质量规范和标准；②提供服务承诺，保证按质、按期完成，承诺无条件服从并落实采购人对实施方案提出的修改要求。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3、赋分标准：每一项评审内容满足每-项评审标准的得2分，最多得6分。每一项内容相对每一项评审标准存在一处漏洞或缺陷扣0.5-1.5分，每项2分扣完为止。未提供相关评审内容的，该项得0分。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供应商提供针对本项目提供完善的售后服务方案。 评审内容： ①承诺积极按照采购人提出的要求或按协商后的意见改进工作； ②在项目实施过程中、结束后的保养质量承诺； ③对后期保养存放提供技术支持服务。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3、赋分标准：每一项评审内容满足每-项评审标准的得2分，最多得6分。每一项内容相对每一项评审标准存在一处漏洞或缺陷扣0.5-1.5分，每项2分扣完为止。未提供相关评审内容的，该项得0分。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4）其他不合理、或不完善的情形。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拟投入仪器和专用工具</w:t>
            </w:r>
          </w:p>
        </w:tc>
        <w:tc>
          <w:tcPr>
            <w:tcW w:type="dxa" w:w="2492"/>
          </w:tcPr>
          <w:p>
            <w:pPr>
              <w:pStyle w:val="null3"/>
            </w:pPr>
            <w:r>
              <w:rPr>
                <w:rFonts w:ascii="仿宋_GB2312" w:hAnsi="仿宋_GB2312" w:cs="仿宋_GB2312" w:eastAsia="仿宋_GB2312"/>
              </w:rPr>
              <w:t>供应商需具有修复工作正常和连续运转期间所需要的仪器和专用工具，并提供详细清单。 评审内容： ①修复石质文物的设备工具； ②分析检测仪器； ③配备的设施。 2、评审标准： ①拟投入仪器和专用工具为行业主流设备; ②配备的设备清单的完整性、先进性。 3、赋分标准：每一项评审内容满足每-项评审标准的得3分，最多得9分。每一项内容相对每一项评审标准存在一处漏洞或缺陷扣1-2分，每项3分扣完为止。未提供相关评审内容的，该项得0分。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4）其他不合理、或不完善的情形。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从事过相关行业的标准制定</w:t>
            </w:r>
          </w:p>
        </w:tc>
        <w:tc>
          <w:tcPr>
            <w:tcW w:type="dxa" w:w="2492"/>
          </w:tcPr>
          <w:p>
            <w:pPr>
              <w:pStyle w:val="null3"/>
            </w:pPr>
            <w:r>
              <w:rPr>
                <w:rFonts w:ascii="仿宋_GB2312" w:hAnsi="仿宋_GB2312" w:cs="仿宋_GB2312" w:eastAsia="仿宋_GB2312"/>
              </w:rPr>
              <w:t>供应商在近十年应从事过相关行业的标准制定得4分，提供相应证明材料。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拟派团队人员</w:t>
            </w:r>
          </w:p>
        </w:tc>
        <w:tc>
          <w:tcPr>
            <w:tcW w:type="dxa" w:w="2492"/>
          </w:tcPr>
          <w:p>
            <w:pPr>
              <w:pStyle w:val="null3"/>
            </w:pPr>
            <w:r>
              <w:rPr>
                <w:rFonts w:ascii="仿宋_GB2312" w:hAnsi="仿宋_GB2312" w:cs="仿宋_GB2312" w:eastAsia="仿宋_GB2312"/>
              </w:rPr>
              <w:t>1.供应商拟派团队人员至少一位具有文物保护工程责任设计师资格（含石窟寺和石刻）得3分； 2.供应商拟派团队人员至少三位具有相关行业高级职称得3分。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供应商提供近十年相关修复业绩，石刻保护修复类似项目业绩（以合同签订时间为准）；每具有一个类似业绩得2分，最高得10分。 评审依据：以响应文件中加盖供应商公章的合同协议书复印件为准。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满足采购文件要求且最终响应报价最低的报价为评审基准价，其价格分为满分。其他供应商的价格分统一按照下列公式计算：响应报价得分=(评审基准价÷评审价)×20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详见附件：合同文本J.docx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