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版本号：ZX2026-07-5220260723001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第八届中国粮食交易大会陕西展团展台设计搭建及服务项目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ZX2026-07-52</w:t>
      </w:r>
      <w:r>
        <w:br/>
      </w:r>
      <w:r>
        <w:br/>
      </w:r>
      <w:r>
        <w:br/>
      </w:r>
    </w:p>
    <w:p>
      <w:pPr>
        <w:pStyle w:val="null3"/>
        <w:jc w:val="center"/>
        <w:outlineLvl w:val="2"/>
      </w:pPr>
      <w:r>
        <w:rPr>
          <w:rFonts w:ascii="仿宋_GB2312" w:hAnsi="仿宋_GB2312" w:cs="仿宋_GB2312" w:eastAsia="仿宋_GB2312"/>
          <w:sz w:val="28"/>
          <w:b/>
        </w:rPr>
        <w:t>西安国家粮食交易中心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西安国家粮食交易中心</w:t>
      </w:r>
      <w:r>
        <w:rPr>
          <w:rFonts w:ascii="仿宋_GB2312" w:hAnsi="仿宋_GB2312" w:cs="仿宋_GB2312" w:eastAsia="仿宋_GB2312"/>
        </w:rPr>
        <w:t>委托，拟对</w:t>
      </w:r>
      <w:r>
        <w:rPr>
          <w:rFonts w:ascii="仿宋_GB2312" w:hAnsi="仿宋_GB2312" w:cs="仿宋_GB2312" w:eastAsia="仿宋_GB2312"/>
        </w:rPr>
        <w:t>第八届中国粮食交易大会陕西展团展台设计搭建及服务项目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第八届中国粮食交易大会陕西展团展台设计搭建及服务项目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第八届中国粮食交易大会陕西展团展台设计搭建及服务项目，1项，具体内容详见磋商文件第三章。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采购包1（第八届中国粮食交易大会陕西展团展台设计搭建及服务项目）：属于专门面向中小企业采购。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西安国家粮食交易中心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陕西省西安市未央区北二环东段366号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029-82552550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李雨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采购包1保证金金额：10,752.00元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说明：1、交纳履约保证金时须注明项目编号及用途(履约保证金)。 2、成交后5个工作日内，供应商须向采购人提交合同总价的5%作为履约保证金。 3、逾期退还履约保证金的违约责任：按采购人内控制度执行。4.履约保证金缴纳账户信息： 账户名称：西安国家粮食交易中心； 账号：20361999900100000087481； 开户行：中国农业发展银行西安市分行。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 号)和(发改办价格[2003]857 号)收费标准。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西安国家粮食交易中心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西安国家粮食交易中心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西安国家粮食交易中心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按照磋商文件、成交供应商响应文件和合同文本执行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第八届中国粮食交易大会陕西展团展台设计搭建及服务项目，1项，具体内容详见磋商文件第三章。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第八届中国粮食交易大会陕西展团展台设计搭建及服务项目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标的名称：第八届中国粮食交易大会陕西展团展台设计搭建及服务项目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一、项目内容</w:t>
            </w:r>
          </w:p>
          <w:p>
            <w:pPr>
              <w:pStyle w:val="null3"/>
              <w:ind w:firstLine="400"/>
            </w:pPr>
            <w:r>
              <w:rPr>
                <w:rFonts w:ascii="仿宋_GB2312" w:hAnsi="仿宋_GB2312" w:cs="仿宋_GB2312" w:eastAsia="仿宋_GB2312"/>
                <w:sz w:val="20"/>
              </w:rPr>
              <w:t>第八届中国粮食交易大会陕西展团展台设计搭建及服务项目，包括（精品粮油展特装展台搭建、大会推介会演出组织、陕西展团参展参会服务）。</w:t>
            </w:r>
          </w:p>
          <w:p>
            <w:pPr>
              <w:pStyle w:val="null3"/>
            </w:pPr>
            <w:r>
              <w:rPr>
                <w:rFonts w:ascii="仿宋_GB2312" w:hAnsi="仿宋_GB2312" w:cs="仿宋_GB2312" w:eastAsia="仿宋_GB2312"/>
                <w:sz w:val="20"/>
              </w:rPr>
              <w:t>二、项目概况</w:t>
            </w:r>
          </w:p>
          <w:p>
            <w:pPr>
              <w:pStyle w:val="null3"/>
              <w:ind w:firstLine="400"/>
            </w:pPr>
            <w:r>
              <w:rPr>
                <w:rFonts w:ascii="仿宋_GB2312" w:hAnsi="仿宋_GB2312" w:cs="仿宋_GB2312" w:eastAsia="仿宋_GB2312"/>
                <w:sz w:val="20"/>
              </w:rPr>
              <w:t>第八届中国粮食交易大会由湖南省委、省政府，国家粮食和物资储备局共同举办，是全系统、全行业展示发展成果，推动产销衔接、促进</w:t>
            </w:r>
            <w:r>
              <w:rPr>
                <w:rFonts w:ascii="仿宋_GB2312" w:hAnsi="仿宋_GB2312" w:cs="仿宋_GB2312" w:eastAsia="仿宋_GB2312"/>
                <w:sz w:val="20"/>
              </w:rPr>
              <w:t>“三链协同”的重要平台。</w:t>
            </w:r>
          </w:p>
          <w:p>
            <w:pPr>
              <w:pStyle w:val="null3"/>
            </w:pPr>
            <w:r>
              <w:rPr>
                <w:rFonts w:ascii="仿宋_GB2312" w:hAnsi="仿宋_GB2312" w:cs="仿宋_GB2312" w:eastAsia="仿宋_GB2312"/>
                <w:sz w:val="20"/>
              </w:rPr>
              <w:t>主题：粮安天下聚合力</w:t>
            </w:r>
            <w:r>
              <w:rPr>
                <w:rFonts w:ascii="仿宋_GB2312" w:hAnsi="仿宋_GB2312" w:cs="仿宋_GB2312" w:eastAsia="仿宋_GB2312"/>
                <w:sz w:val="20"/>
              </w:rPr>
              <w:t xml:space="preserve">  </w:t>
            </w:r>
            <w:r>
              <w:rPr>
                <w:rFonts w:ascii="仿宋_GB2312" w:hAnsi="仿宋_GB2312" w:cs="仿宋_GB2312" w:eastAsia="仿宋_GB2312"/>
                <w:sz w:val="20"/>
              </w:rPr>
              <w:t>产销融通促发展</w:t>
            </w:r>
          </w:p>
          <w:p>
            <w:pPr>
              <w:pStyle w:val="null3"/>
              <w:ind w:firstLine="400"/>
            </w:pPr>
            <w:r>
              <w:rPr>
                <w:rFonts w:ascii="仿宋_GB2312" w:hAnsi="仿宋_GB2312" w:cs="仿宋_GB2312" w:eastAsia="仿宋_GB2312"/>
                <w:sz w:val="20"/>
              </w:rPr>
              <w:t>时间：</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w:t>
            </w:r>
            <w:r>
              <w:rPr>
                <w:rFonts w:ascii="仿宋_GB2312" w:hAnsi="仿宋_GB2312" w:cs="仿宋_GB2312" w:eastAsia="仿宋_GB2312"/>
                <w:sz w:val="20"/>
              </w:rPr>
              <w:t>2</w:t>
            </w:r>
            <w:r>
              <w:rPr>
                <w:rFonts w:ascii="仿宋_GB2312" w:hAnsi="仿宋_GB2312" w:cs="仿宋_GB2312" w:eastAsia="仿宋_GB2312"/>
                <w:sz w:val="20"/>
              </w:rPr>
              <w:t>日至</w:t>
            </w:r>
            <w:r>
              <w:rPr>
                <w:rFonts w:ascii="仿宋_GB2312" w:hAnsi="仿宋_GB2312" w:cs="仿宋_GB2312" w:eastAsia="仿宋_GB2312"/>
                <w:sz w:val="20"/>
              </w:rPr>
              <w:t>4</w:t>
            </w:r>
            <w:r>
              <w:rPr>
                <w:rFonts w:ascii="仿宋_GB2312" w:hAnsi="仿宋_GB2312" w:cs="仿宋_GB2312" w:eastAsia="仿宋_GB2312"/>
                <w:sz w:val="20"/>
              </w:rPr>
              <w:t>日</w:t>
            </w:r>
            <w:r>
              <w:rPr>
                <w:rFonts w:ascii="仿宋_GB2312" w:hAnsi="仿宋_GB2312" w:cs="仿宋_GB2312" w:eastAsia="仿宋_GB2312"/>
                <w:sz w:val="20"/>
              </w:rPr>
              <w:t>全天</w:t>
            </w:r>
            <w:r>
              <w:rPr>
                <w:rFonts w:ascii="仿宋_GB2312" w:hAnsi="仿宋_GB2312" w:cs="仿宋_GB2312" w:eastAsia="仿宋_GB2312"/>
                <w:sz w:val="20"/>
              </w:rPr>
              <w:t xml:space="preserve">  </w:t>
            </w:r>
            <w:r>
              <w:rPr>
                <w:rFonts w:ascii="仿宋_GB2312" w:hAnsi="仿宋_GB2312" w:cs="仿宋_GB2312" w:eastAsia="仿宋_GB2312"/>
                <w:sz w:val="20"/>
              </w:rPr>
              <w:t>组织布展、报到</w:t>
            </w:r>
          </w:p>
          <w:p>
            <w:pPr>
              <w:pStyle w:val="null3"/>
            </w:pPr>
            <w:r>
              <w:rPr>
                <w:rFonts w:ascii="仿宋_GB2312" w:hAnsi="仿宋_GB2312" w:cs="仿宋_GB2312" w:eastAsia="仿宋_GB2312"/>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w:t>
            </w:r>
            <w:r>
              <w:rPr>
                <w:rFonts w:ascii="仿宋_GB2312" w:hAnsi="仿宋_GB2312" w:cs="仿宋_GB2312" w:eastAsia="仿宋_GB2312"/>
                <w:sz w:val="20"/>
              </w:rPr>
              <w:t>5</w:t>
            </w:r>
            <w:r>
              <w:rPr>
                <w:rFonts w:ascii="仿宋_GB2312" w:hAnsi="仿宋_GB2312" w:cs="仿宋_GB2312" w:eastAsia="仿宋_GB2312"/>
                <w:sz w:val="20"/>
              </w:rPr>
              <w:t>日至</w:t>
            </w:r>
            <w:r>
              <w:rPr>
                <w:rFonts w:ascii="仿宋_GB2312" w:hAnsi="仿宋_GB2312" w:cs="仿宋_GB2312" w:eastAsia="仿宋_GB2312"/>
                <w:sz w:val="20"/>
              </w:rPr>
              <w:t>7</w:t>
            </w:r>
            <w:r>
              <w:rPr>
                <w:rFonts w:ascii="仿宋_GB2312" w:hAnsi="仿宋_GB2312" w:cs="仿宋_GB2312" w:eastAsia="仿宋_GB2312"/>
                <w:sz w:val="20"/>
              </w:rPr>
              <w:t>日上午</w:t>
            </w:r>
            <w:r>
              <w:rPr>
                <w:rFonts w:ascii="仿宋_GB2312" w:hAnsi="仿宋_GB2312" w:cs="仿宋_GB2312" w:eastAsia="仿宋_GB2312"/>
                <w:sz w:val="20"/>
              </w:rPr>
              <w:t xml:space="preserve">  </w:t>
            </w:r>
            <w:r>
              <w:rPr>
                <w:rFonts w:ascii="仿宋_GB2312" w:hAnsi="仿宋_GB2312" w:cs="仿宋_GB2312" w:eastAsia="仿宋_GB2312"/>
                <w:sz w:val="20"/>
              </w:rPr>
              <w:t>展览及相关活动</w:t>
            </w:r>
          </w:p>
          <w:p>
            <w:pPr>
              <w:pStyle w:val="null3"/>
            </w:pPr>
            <w:r>
              <w:rPr>
                <w:rFonts w:ascii="仿宋_GB2312" w:hAnsi="仿宋_GB2312" w:cs="仿宋_GB2312" w:eastAsia="仿宋_GB2312"/>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w:t>
            </w:r>
            <w:r>
              <w:rPr>
                <w:rFonts w:ascii="仿宋_GB2312" w:hAnsi="仿宋_GB2312" w:cs="仿宋_GB2312" w:eastAsia="仿宋_GB2312"/>
                <w:sz w:val="20"/>
              </w:rPr>
              <w:t>7</w:t>
            </w:r>
            <w:r>
              <w:rPr>
                <w:rFonts w:ascii="仿宋_GB2312" w:hAnsi="仿宋_GB2312" w:cs="仿宋_GB2312" w:eastAsia="仿宋_GB2312"/>
                <w:sz w:val="20"/>
              </w:rPr>
              <w:t>日下午</w:t>
            </w:r>
            <w:r>
              <w:rPr>
                <w:rFonts w:ascii="仿宋_GB2312" w:hAnsi="仿宋_GB2312" w:cs="仿宋_GB2312" w:eastAsia="仿宋_GB2312"/>
                <w:sz w:val="20"/>
              </w:rPr>
              <w:t xml:space="preserve">  </w:t>
            </w:r>
            <w:r>
              <w:rPr>
                <w:rFonts w:ascii="仿宋_GB2312" w:hAnsi="仿宋_GB2312" w:cs="仿宋_GB2312" w:eastAsia="仿宋_GB2312"/>
                <w:sz w:val="20"/>
              </w:rPr>
              <w:t>撤展</w:t>
            </w:r>
          </w:p>
          <w:p>
            <w:pPr>
              <w:pStyle w:val="null3"/>
              <w:ind w:firstLine="400"/>
            </w:pPr>
            <w:r>
              <w:rPr>
                <w:rFonts w:ascii="仿宋_GB2312" w:hAnsi="仿宋_GB2312" w:cs="仿宋_GB2312" w:eastAsia="仿宋_GB2312"/>
                <w:sz w:val="20"/>
              </w:rPr>
              <w:t>地点：长沙国际会展中心</w:t>
            </w:r>
          </w:p>
          <w:p>
            <w:pPr>
              <w:pStyle w:val="null3"/>
            </w:pPr>
            <w:r>
              <w:rPr>
                <w:rFonts w:ascii="仿宋_GB2312" w:hAnsi="仿宋_GB2312" w:cs="仿宋_GB2312" w:eastAsia="仿宋_GB2312"/>
                <w:sz w:val="20"/>
              </w:rPr>
              <w:t>三、项目任务</w:t>
            </w:r>
          </w:p>
          <w:p>
            <w:pPr>
              <w:pStyle w:val="null3"/>
              <w:ind w:firstLine="400"/>
            </w:pPr>
            <w:r>
              <w:rPr>
                <w:rFonts w:ascii="仿宋_GB2312" w:hAnsi="仿宋_GB2312" w:cs="仿宋_GB2312" w:eastAsia="仿宋_GB2312"/>
                <w:sz w:val="20"/>
              </w:rPr>
              <w:t>本项目总体任务为：通过一体化综合服务，集中展示我省粮油及精深加工产品，推动产业高质量发展。具体工作涵盖展台搭建、专场推介和参会服务三大板块</w:t>
            </w:r>
            <w:r>
              <w:rPr>
                <w:rFonts w:ascii="仿宋_GB2312" w:hAnsi="仿宋_GB2312" w:cs="仿宋_GB2312" w:eastAsia="仿宋_GB2312"/>
                <w:sz w:val="20"/>
              </w:rPr>
              <w:t>——展台搭建强调主题化设计，统一品牌视觉形象；专场推介组织专题活动，邀约采购商，实现展前供需匹配；参会服务负责企业组织、现场接待、签约仪式保障、会务保障及会后跟踪，最终形成“展前精准匹配、展中有效签约、展后跟踪落地”的全链条服务闭环，全面提升我省粮油品牌影响力和市场竞争力，为构建新发展格局提供有力支撑。</w:t>
            </w:r>
          </w:p>
          <w:p>
            <w:pPr>
              <w:pStyle w:val="null3"/>
              <w:ind w:firstLine="400"/>
            </w:pPr>
            <w:r>
              <w:rPr>
                <w:rFonts w:ascii="仿宋_GB2312" w:hAnsi="仿宋_GB2312" w:cs="仿宋_GB2312" w:eastAsia="仿宋_GB2312"/>
                <w:sz w:val="20"/>
              </w:rPr>
              <w:t>（一）展台搭建</w:t>
            </w:r>
          </w:p>
          <w:p>
            <w:pPr>
              <w:pStyle w:val="null3"/>
              <w:ind w:firstLine="400"/>
            </w:pPr>
            <w:r>
              <w:rPr>
                <w:rFonts w:ascii="仿宋_GB2312" w:hAnsi="仿宋_GB2312" w:cs="仿宋_GB2312" w:eastAsia="仿宋_GB2312"/>
                <w:sz w:val="20"/>
              </w:rPr>
              <w:t>供应商须在</w:t>
            </w:r>
            <w:r>
              <w:rPr>
                <w:rFonts w:ascii="仿宋_GB2312" w:hAnsi="仿宋_GB2312" w:cs="仿宋_GB2312" w:eastAsia="仿宋_GB2312"/>
                <w:sz w:val="20"/>
              </w:rPr>
              <w:t>大会组委会指定的展区位置，搭建一处净展面积不低于</w:t>
            </w:r>
            <w:r>
              <w:rPr>
                <w:rFonts w:ascii="仿宋_GB2312" w:hAnsi="仿宋_GB2312" w:cs="仿宋_GB2312" w:eastAsia="仿宋_GB2312"/>
                <w:sz w:val="20"/>
              </w:rPr>
              <w:t>600平方米的特装展台。本次拟组织参展企业不少于</w:t>
            </w:r>
            <w:r>
              <w:rPr>
                <w:rFonts w:ascii="仿宋_GB2312" w:hAnsi="仿宋_GB2312" w:cs="仿宋_GB2312" w:eastAsia="仿宋_GB2312"/>
                <w:sz w:val="20"/>
              </w:rPr>
              <w:t>90</w:t>
            </w:r>
            <w:r>
              <w:rPr>
                <w:rFonts w:ascii="仿宋_GB2312" w:hAnsi="仿宋_GB2312" w:cs="仿宋_GB2312" w:eastAsia="仿宋_GB2312"/>
                <w:sz w:val="20"/>
              </w:rPr>
              <w:t>家（具体数量以采购方最终确认名单为准），展品涵盖</w:t>
            </w:r>
            <w:r>
              <w:rPr>
                <w:rFonts w:ascii="仿宋_GB2312" w:hAnsi="仿宋_GB2312" w:cs="仿宋_GB2312" w:eastAsia="仿宋_GB2312"/>
                <w:sz w:val="20"/>
              </w:rPr>
              <w:t>“中国好粮油”“陕西好粮油”产品、名牌产品及粮油精深加工产品等。展台设计须通过空间造型、图文展陈等方式，突出陕西地域特色与粮油产业亮点。具体服务内容包括但不限于：展台方案设计及施工图绘制；搭建所需材料的采购、加工及运输；展台现场拼装施工；场馆内水电接入及报馆手续办理；展出期间展台运营维护；撤展时展台拆除及垃圾清运。同时，须配合完成布展、展览及撤展各阶段临时增加的配套服务项目，确保全过程安全有序、保障到位。</w:t>
            </w:r>
          </w:p>
          <w:p>
            <w:pPr>
              <w:pStyle w:val="null3"/>
              <w:ind w:firstLine="400"/>
            </w:pPr>
            <w:r>
              <w:rPr>
                <w:rFonts w:ascii="仿宋_GB2312" w:hAnsi="仿宋_GB2312" w:cs="仿宋_GB2312" w:eastAsia="仿宋_GB2312"/>
                <w:sz w:val="20"/>
              </w:rPr>
              <w:t>（二）专场推介</w:t>
            </w:r>
          </w:p>
          <w:p>
            <w:pPr>
              <w:pStyle w:val="null3"/>
              <w:ind w:firstLine="400"/>
            </w:pPr>
            <w:r>
              <w:rPr>
                <w:rFonts w:ascii="仿宋_GB2312" w:hAnsi="仿宋_GB2312" w:cs="仿宋_GB2312" w:eastAsia="仿宋_GB2312"/>
                <w:sz w:val="20"/>
              </w:rPr>
              <w:t>供应商须在组委会指定的时间和地点开展专场推介活动，通过投放宣传广告、编排特色文艺演出等形式，集中展示陕西粮食产业发展成果。演出服务包括聘请专业编剧、导演及演员，完成剧本创作、节目编排、音响灯光设备租赁与现场调试等全流程工作。供应商应具备组织企业参展参会及产销对接服务的相应能力，须在响应文件中提供以往同类项目的服务成效案例或相关证明材料。须构建</w:t>
            </w:r>
            <w:r>
              <w:rPr>
                <w:rFonts w:ascii="仿宋_GB2312" w:hAnsi="仿宋_GB2312" w:cs="仿宋_GB2312" w:eastAsia="仿宋_GB2312"/>
                <w:sz w:val="20"/>
              </w:rPr>
              <w:t>“展前精准匹配、展中有效签约、展后跟踪落地”的全链条服务闭环，制定签约成果转化保障机制</w:t>
            </w:r>
            <w:r>
              <w:rPr>
                <w:rFonts w:ascii="仿宋_GB2312" w:hAnsi="仿宋_GB2312" w:cs="仿宋_GB2312" w:eastAsia="仿宋_GB2312"/>
                <w:sz w:val="20"/>
              </w:rPr>
              <w:t>：展前定向撮合供需双方，展中规范组织签约登记，展后督导成果转化落地。供应商须承诺不以展会闭幕为服务终点，闭幕后安排专人开展不少于</w:t>
            </w:r>
            <w:r>
              <w:rPr>
                <w:rFonts w:ascii="仿宋_GB2312" w:hAnsi="仿宋_GB2312" w:cs="仿宋_GB2312" w:eastAsia="仿宋_GB2312"/>
                <w:sz w:val="20"/>
              </w:rPr>
              <w:t>3个月的线上跟踪服务，主动收集并反馈合作中的堵点难点，针对具体问题提供建议方案或协调资源支持，切实保障签约成果持续落地转化。具体服务内容包括但不限于：按采购方要求投放宣传广告，招募专业演职人员完成演出策划、编排及现场执行，以及组织企业签约和成果转化动态跟踪等相关工作。</w:t>
            </w:r>
          </w:p>
          <w:p>
            <w:pPr>
              <w:pStyle w:val="null3"/>
              <w:ind w:firstLine="400"/>
            </w:pPr>
            <w:r>
              <w:rPr>
                <w:rFonts w:ascii="仿宋_GB2312" w:hAnsi="仿宋_GB2312" w:cs="仿宋_GB2312" w:eastAsia="仿宋_GB2312"/>
                <w:sz w:val="20"/>
              </w:rPr>
              <w:t>（三）参会服务</w:t>
            </w:r>
          </w:p>
          <w:p>
            <w:pPr>
              <w:pStyle w:val="null3"/>
              <w:ind w:firstLine="400"/>
            </w:pPr>
            <w:r>
              <w:rPr>
                <w:rFonts w:ascii="仿宋_GB2312" w:hAnsi="仿宋_GB2312" w:cs="仿宋_GB2312" w:eastAsia="仿宋_GB2312"/>
                <w:sz w:val="20"/>
              </w:rPr>
              <w:t>供应商须按照采购方后期提供的具体清单，做好采购方参展参会工作人员及参展企业的全方位服务保障工作，包括人员出行、工作餐饮、展品收集运输及其他未尽事宜。服务内容包括但不限于：采购方工作人员的工作餐费用结算；住宿酒店预订及费用结算；展会期间短途交通车辆租赁及费用结算；参展企业展品的收集、运输、存取及展馆方收取的相关服务费用结算；以及展会期间其他合理且必要的临时性支出。供应商须安排专人负责后勤保障协调，确保各项服务及时到位、结算清晰合规，全面满足展会期间各方需求。</w:t>
            </w:r>
          </w:p>
          <w:p>
            <w:pPr>
              <w:pStyle w:val="null3"/>
              <w:ind w:firstLine="400"/>
            </w:pPr>
            <w:r>
              <w:rPr>
                <w:rFonts w:ascii="仿宋_GB2312" w:hAnsi="仿宋_GB2312" w:cs="仿宋_GB2312" w:eastAsia="仿宋_GB2312"/>
                <w:sz w:val="20"/>
              </w:rPr>
              <w:t>四、服务要求</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供应商须针对本项目成立专门项目组，人员配备齐全、职责分明，响应文件中须明确列出项目组主要成员及其工作经验。须任命一名项目总负责人，具备丰富的项目管理经验和统筹协调能力。项目组主要人员须保持稳定，确需更换的，须提前</w:t>
            </w:r>
            <w:r>
              <w:rPr>
                <w:rFonts w:ascii="仿宋_GB2312" w:hAnsi="仿宋_GB2312" w:cs="仿宋_GB2312" w:eastAsia="仿宋_GB2312"/>
                <w:sz w:val="20"/>
              </w:rPr>
              <w:t>5个工作日向采购方提交书面申请，说明更换理由，经采购方书面同意后方可更换。更换人员的资历、经验及专业能力不得低于原定人员。</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供应商须在展会开始前向采购方提供详细策划方案及工作进度安排。进度安排须科学合理、节点明确、紧凑有序；策划方案须条理清晰、理念新颖、服务目标突出，内容至少包含展位位置、展位布置方案图、搭建效果图及拟邀请采购商名单。策划方案须经采购方认可后方可实施，因方案达不到要求而影响采购目的实现的，责任由供应商承担。</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供应商须按采购方要求完成布展全部筹备工作，保障现场各环节顺利进行，做好整体布展及参展的协调配合。供应商负责现场工作人员的统一管理，确保所有人员严格按照工作流程及标准规范执行。大会结束后，供应商负责撤展及现场整理恢复工作。</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供应商须从人员邀请、企业组织、宣传推广等方面制定周密的质量保证措施，确保展会顺利进行。服务期间，采购方有权进行现场监督及视察，供应商须做好接待配合，并对采购方提出的问题及时整改。</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供应商须针对可能发生的突发事件（如人员安全、财产安全等）制定详细应急保障预案，对各类突发事项提出有针对性的应对措施，确保快速响应、有效处置。</w:t>
            </w:r>
          </w:p>
          <w:p>
            <w:pPr>
              <w:pStyle w:val="null3"/>
              <w:ind w:firstLine="400"/>
            </w:pPr>
            <w:r>
              <w:rPr>
                <w:rFonts w:ascii="仿宋_GB2312" w:hAnsi="仿宋_GB2312" w:cs="仿宋_GB2312" w:eastAsia="仿宋_GB2312"/>
                <w:sz w:val="20"/>
              </w:rPr>
              <w:t>6.供应商须建立完善的后续跟踪服务机制，提供后续跟踪服务计划，做到响应迅速，确保项目顺利完成，形成展前、展中、展后全链条服务闭环。</w:t>
            </w:r>
          </w:p>
          <w:p>
            <w:pPr>
              <w:pStyle w:val="null3"/>
              <w:ind w:firstLine="400"/>
            </w:pPr>
            <w:r>
              <w:rPr>
                <w:rFonts w:ascii="仿宋_GB2312" w:hAnsi="仿宋_GB2312" w:cs="仿宋_GB2312" w:eastAsia="仿宋_GB2312"/>
                <w:sz w:val="20"/>
              </w:rPr>
              <w:t>7.服务期间，因供应商组织不力对采购方及本省粮油品牌形象造成不良影响的，采购方有权立即终止服务并追究其法律责任。供应商保证所有服务内容均符合国家相关法律法规及行业标准，确保活动安全、有序、高效。</w:t>
            </w:r>
          </w:p>
          <w:p>
            <w:pPr>
              <w:pStyle w:val="null3"/>
              <w:ind w:firstLine="400"/>
            </w:pPr>
            <w:r>
              <w:rPr>
                <w:rFonts w:ascii="仿宋_GB2312" w:hAnsi="仿宋_GB2312" w:cs="仿宋_GB2312" w:eastAsia="仿宋_GB2312"/>
                <w:sz w:val="20"/>
              </w:rPr>
              <w:t>五、其他要求</w:t>
            </w:r>
          </w:p>
          <w:p>
            <w:pPr>
              <w:pStyle w:val="null3"/>
              <w:ind w:firstLine="400"/>
            </w:pPr>
            <w:r>
              <w:rPr>
                <w:rFonts w:ascii="仿宋_GB2312" w:hAnsi="仿宋_GB2312" w:cs="仿宋_GB2312" w:eastAsia="仿宋_GB2312"/>
                <w:sz w:val="20"/>
              </w:rPr>
              <w:t>1.供应商须严格遵守国家及地方有关安全生产、卫生、消防、环保等各项规定，充分考虑展会场地的特殊性，全面做好安全生产及卫生防疫相关工作。项目实施过程中发生任何安全、卫生等事故或问题，均由供应商负全责并承担一切损失及后果，包括但不限于经济赔偿、罚款、罚金及相关法律责任。展示区搭建、撤展及活动过程中产生的垃圾，供应商须自行选择合规弃置点进行清运，所涉费用已包含在报价中，采购方不再另行支付；因违反垃圾弃置规定产生的不良后果及经济损失亦由供应商承担。</w:t>
            </w:r>
          </w:p>
          <w:p>
            <w:pPr>
              <w:pStyle w:val="null3"/>
              <w:ind w:firstLine="400"/>
            </w:pPr>
            <w:r>
              <w:rPr>
                <w:rFonts w:ascii="仿宋_GB2312" w:hAnsi="仿宋_GB2312" w:cs="仿宋_GB2312" w:eastAsia="仿宋_GB2312"/>
                <w:sz w:val="20"/>
              </w:rPr>
              <w:t>2.供应商提交的方案、资料、成果及项目实施成果不得侵犯他人肖像权、所有权、工业产权、著作权（版权）等知识产权，否则须承担由此引发的全部法律及经济责任。若使用了他人的知识产权或专有技术，所涉费用由供应商自行承担。供应商须保证采购方在项目进行及会后不产生任何相关知识产权纠纷，否则由供应商全权负责处理。本项目实施过程中产生的设计成果、文案作品、影像资料等知识产权，归采购方所有。供应商不得将上述成果用于本项目以外的任何用途。</w:t>
            </w:r>
          </w:p>
          <w:p>
            <w:pPr>
              <w:pStyle w:val="null3"/>
              <w:ind w:firstLine="400"/>
            </w:pPr>
            <w:r>
              <w:rPr>
                <w:rFonts w:ascii="仿宋_GB2312" w:hAnsi="仿宋_GB2312" w:cs="仿宋_GB2312" w:eastAsia="仿宋_GB2312"/>
                <w:sz w:val="20"/>
              </w:rPr>
              <w:t>3.未经采购方和供应商双方书面许可，任何一方不得将磋商文件及合同中所涉及的采购方需求、项目实施情况、供应商响应方案等资料提供给第三方。服务期间及结束后，供应商须依据行业法规承担保密义务，对服务过程中接触到的与项目有关的任何资料和文件，保密义务自供应商首次接触项目信息之日起生效，并在合同终止后持续有效，直至相关信息依法进入公有领域或采购方书面解除保密义务为止。</w:t>
            </w:r>
          </w:p>
          <w:p>
            <w:pPr>
              <w:pStyle w:val="null3"/>
              <w:ind w:firstLine="400"/>
            </w:pPr>
            <w:r>
              <w:rPr>
                <w:rFonts w:ascii="仿宋_GB2312" w:hAnsi="仿宋_GB2312" w:cs="仿宋_GB2312" w:eastAsia="仿宋_GB2312"/>
                <w:sz w:val="20"/>
              </w:rPr>
              <w:t>4.供应商应充分考虑展会服务各环节，制定包括防火、防盗及人员安全在内的安全保卫应急预案，针对人员配备变动、大会时间或地点调整等突发情况，须提供具体应急措施和解决预案，确保展会人、财、物等各方面安全。</w:t>
            </w:r>
          </w:p>
          <w:p>
            <w:pPr>
              <w:pStyle w:val="null3"/>
              <w:ind w:firstLine="400"/>
            </w:pPr>
            <w:r>
              <w:rPr>
                <w:rFonts w:ascii="仿宋_GB2312" w:hAnsi="仿宋_GB2312" w:cs="仿宋_GB2312" w:eastAsia="仿宋_GB2312"/>
                <w:sz w:val="20"/>
              </w:rPr>
              <w:t>5.本项目所有报价均以人民币报价，合同实施期间不因市场变化因素而变动。本次报价须包含完成本项目全部服务内容所发生的一切费用，包括但不限于因活动项目变动等特殊情况产生的费用，采购方后期不再追加任何费用。供应商应合理报价，充分考虑风险，具备风险防控意识。</w:t>
            </w:r>
          </w:p>
          <w:p>
            <w:pPr>
              <w:pStyle w:val="null3"/>
              <w:ind w:firstLine="400"/>
            </w:pPr>
            <w:r>
              <w:rPr>
                <w:rFonts w:ascii="仿宋_GB2312" w:hAnsi="仿宋_GB2312" w:cs="仿宋_GB2312" w:eastAsia="仿宋_GB2312"/>
              </w:rPr>
              <w:t xml:space="preserve"> </w:t>
            </w:r>
          </w:p>
          <w:p>
            <w:pPr>
              <w:pStyle w:val="null3"/>
              <w:ind w:firstLine="400"/>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自签订合同之日至展会结束三个月后</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西安国家粮食交易中心指定地点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进度款，全部活动完成且验收合格后，达到付款条件起30个工作日内，支付合同总金额的60.0%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未按指定账户提交的，我公司将退回，供应商须在文件递交截止时间前按照指定账户再次提交。（4）未成交供应商的磋商保证金，将在成交通知书发出后5个工作日内无息全额退还，但因供应商自身原因导致无法及时退还的除外。成交供应商的磋商保证金，在服务费足额到账3个工作日内或收到合同3个工作日内退还成交供应商保证金，但因供应商自身原因导致无法及时退还的除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磋商报价未超过磋商文件中规定的预算金额或最高限价的</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满足本磋商文件3.3商务要求中“服务期限、服务地点、支付约定”的实质性条款要求的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供应商提供针对本项目采购需求的理解，内容包括但不限于①项目背景与定位；②工作重难点分析；③阐述自身服务优势。 上述3项内容，每提供1项内容计1分，每项内容存在1处瑕疵扣0.5分；满分3分。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缺陷定义的内容“同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5需求分析.docx</w:t>
            </w:r>
          </w:p>
        </w:tc>
      </w:tr>
      <w:tr>
        <w:tc>
          <w:tcPr>
            <w:tcW w:type="dxa" w:w="831"/>
            <w:vMerge/>
          </w:tcPr>
          <w:p/>
        </w:tc>
        <w:tc>
          <w:tcPr>
            <w:tcW w:type="dxa" w:w="1661"/>
          </w:tcPr>
          <w:p>
            <w:pPr>
              <w:pStyle w:val="null3"/>
            </w:pPr>
            <w:r>
              <w:rPr>
                <w:rFonts w:ascii="仿宋_GB2312" w:hAnsi="仿宋_GB2312" w:cs="仿宋_GB2312" w:eastAsia="仿宋_GB2312"/>
              </w:rPr>
              <w:t>展台搭建方案</w:t>
            </w:r>
          </w:p>
        </w:tc>
        <w:tc>
          <w:tcPr>
            <w:tcW w:type="dxa" w:w="2492"/>
          </w:tcPr>
          <w:p>
            <w:pPr>
              <w:pStyle w:val="null3"/>
            </w:pPr>
            <w:r>
              <w:rPr>
                <w:rFonts w:ascii="仿宋_GB2312" w:hAnsi="仿宋_GB2312" w:cs="仿宋_GB2312" w:eastAsia="仿宋_GB2312"/>
              </w:rPr>
              <w:t>供应商针对本项目提供展台搭建方案。包括但不限于①展台设计方案及施工图绘制②搭建展台所需的设备清单③场馆内水电接入及报馆手续办理④展台拆除及垃圾清运及撤展方案⑤各阶段临时增加的配套服务等。 上述5项内容，每提供1项内容计2分，每项内容存在1处瑕疵扣0.5分；满分10分。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6展台搭建方案.docx</w:t>
            </w:r>
          </w:p>
        </w:tc>
      </w:tr>
      <w:tr>
        <w:tc>
          <w:tcPr>
            <w:tcW w:type="dxa" w:w="831"/>
            <w:vMerge/>
          </w:tcPr>
          <w:p/>
        </w:tc>
        <w:tc>
          <w:tcPr>
            <w:tcW w:type="dxa" w:w="1661"/>
          </w:tcPr>
          <w:p>
            <w:pPr>
              <w:pStyle w:val="null3"/>
            </w:pPr>
            <w:r>
              <w:rPr>
                <w:rFonts w:ascii="仿宋_GB2312" w:hAnsi="仿宋_GB2312" w:cs="仿宋_GB2312" w:eastAsia="仿宋_GB2312"/>
              </w:rPr>
              <w:t>策划方案</w:t>
            </w:r>
          </w:p>
        </w:tc>
        <w:tc>
          <w:tcPr>
            <w:tcW w:type="dxa" w:w="2492"/>
          </w:tcPr>
          <w:p>
            <w:pPr>
              <w:pStyle w:val="null3"/>
            </w:pPr>
            <w:r>
              <w:rPr>
                <w:rFonts w:ascii="仿宋_GB2312" w:hAnsi="仿宋_GB2312" w:cs="仿宋_GB2312" w:eastAsia="仿宋_GB2312"/>
              </w:rPr>
              <w:t>供应商针对本项目提供策划方案。包括但不限于①展位布置方案图②场馆内水电接入及报馆手续办理③展台拆除及垃圾清运方案④各阶段临时增加的配套服务等。 上述4项内容，每提供1项内容计1.5分，每项内容存在1处瑕疵扣0.5分；满分6分。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7策划方案.docx</w:t>
            </w:r>
          </w:p>
        </w:tc>
      </w:tr>
      <w:tr>
        <w:tc>
          <w:tcPr>
            <w:tcW w:type="dxa" w:w="831"/>
            <w:vMerge/>
          </w:tcPr>
          <w:p/>
        </w:tc>
        <w:tc>
          <w:tcPr>
            <w:tcW w:type="dxa" w:w="1661"/>
          </w:tcPr>
          <w:p>
            <w:pPr>
              <w:pStyle w:val="null3"/>
            </w:pPr>
            <w:r>
              <w:rPr>
                <w:rFonts w:ascii="仿宋_GB2312" w:hAnsi="仿宋_GB2312" w:cs="仿宋_GB2312" w:eastAsia="仿宋_GB2312"/>
              </w:rPr>
              <w:t>专场推介活动方案</w:t>
            </w:r>
          </w:p>
        </w:tc>
        <w:tc>
          <w:tcPr>
            <w:tcW w:type="dxa" w:w="2492"/>
          </w:tcPr>
          <w:p>
            <w:pPr>
              <w:pStyle w:val="null3"/>
            </w:pPr>
            <w:r>
              <w:rPr>
                <w:rFonts w:ascii="仿宋_GB2312" w:hAnsi="仿宋_GB2312" w:cs="仿宋_GB2312" w:eastAsia="仿宋_GB2312"/>
              </w:rPr>
              <w:t>供应商针对本项目提供专场推介活动方案。包括但不限于①宣传形式②招募专业演职人员③演出方案④参会及产销对接服务方案等。 上述4项内容，每提供1项内容计1.5分，每项内容存在1处瑕疵扣0.5分；满分6分。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8专场推介活动方案.docx</w:t>
            </w:r>
          </w:p>
        </w:tc>
      </w:tr>
      <w:tr>
        <w:tc>
          <w:tcPr>
            <w:tcW w:type="dxa" w:w="831"/>
            <w:vMerge/>
          </w:tcPr>
          <w:p/>
        </w:tc>
        <w:tc>
          <w:tcPr>
            <w:tcW w:type="dxa" w:w="1661"/>
          </w:tcPr>
          <w:p>
            <w:pPr>
              <w:pStyle w:val="null3"/>
            </w:pPr>
            <w:r>
              <w:rPr>
                <w:rFonts w:ascii="仿宋_GB2312" w:hAnsi="仿宋_GB2312" w:cs="仿宋_GB2312" w:eastAsia="仿宋_GB2312"/>
              </w:rPr>
              <w:t>后勤保障方案</w:t>
            </w:r>
          </w:p>
        </w:tc>
        <w:tc>
          <w:tcPr>
            <w:tcW w:type="dxa" w:w="2492"/>
          </w:tcPr>
          <w:p>
            <w:pPr>
              <w:pStyle w:val="null3"/>
            </w:pPr>
            <w:r>
              <w:rPr>
                <w:rFonts w:ascii="仿宋_GB2312" w:hAnsi="仿宋_GB2312" w:cs="仿宋_GB2312" w:eastAsia="仿宋_GB2312"/>
              </w:rPr>
              <w:t>供应商针对本项目提供保障方案。包括但不限于①各流程阶段人员、交通等费用计算措施②展品的收集、运输保障措施③后勤保障协调措施④项目质量保障方案等。 上述4项内容，每提供1项内容计1分，每项内容存在1处瑕疵扣0.5分；满分4分。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9后勤保障方案.docx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供应商针对本项目提供进度计划。包括但不限于①各关键节点进度安排②进度计划保障措施。 上述2项内容，每提供1项内容计1.5分，每项内容存在1处瑕疵扣0.5分；满分3分。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10进度计划.docx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供应商针对本项目提供应急方案，至少包含：①在项目服务过程中可能出现的各类突发事项提出有针对性的应对措施②应急响应时间及措施③后续跟踪服务机制。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11应急方案.docx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①供应商拟派项目负责人具有项目管理经验和统筹协调能力，提供相关证明材料（包括但不限于履历证明、相关资质、工作年限、学历证书等）。内容提供完整计4分，未提供不计分。 备注：提供工作履历表予以佐证。 ②提供项目负责人过往同类项目的业绩证明材料，提供合同扫描件，必须清晰体现签约主体和日期、项目名称及内容等核心要素，否则不计为有效业绩。每提供1份有效业绩计2分，最多得10分。 备注：合同内容须体现项目负责人名字，无法体现的须再提供本合同甲方加盖公章的证明材料，证明该项目负责人参与本项目实施。</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12项目负责人.docx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供应商针对本项目成立专门项目组（除项目负责人外）。至少提供：①人员清单（包括但不限于人员姓名、数量、工作经验等信息）②岗位职责分工明确。 上述2项内容，每提供1项内容计2.5分，每项内容存在1处瑕疵扣0.5分；满分5分。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提供供应商2023年1月1日至今同类项目合同扫描件，扫描件必须清晰体现签约主体和日期、项目名称及内容、合同金额等核心要素。每提供1个有效业绩得3分，最高得15分。 备注：1、响应文件中提供合同扫描件加盖供应商公章。 2、与项目负责人业绩不重复计分。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承诺1：在项目履约期间，突发且与活动有关的工作内容，但未提前明确的，供应商应无条件积极配合采购人开展相关活动。提供承诺计2分，未提不计分。 承诺2：供应商承诺：项目实施过程中发生任何安全、卫生等事故或问题；以及因违反规定产生的不良后果及经济损失。均由供应商负全责并承担一切损失及后果。采购人概不负责。提供承诺计3分，未承诺不计分。 承诺3：供应商提交的方案、资料、成果及项目实施成果等不得侵犯他人肖像权、所有权、工业产权、著作权（版权）等知识产权，因使用未被授权使用的内容引起的纠纷及经济责任均由供应商自行承担，采购人不承担因此产生的任何责任。提供承诺计3分，未承诺不计分。 承诺4：供应商承诺：本项目实施过程中产生的设计成果、文案作品、影像资料等知识产权，归采购人所有。供应商不得将上述成果用于本项目以外的任何用途。提供承诺计3分，未承诺不计分。 承诺5：供应商承诺在项目实施过程中，未经采购人同意，不得随意更换项目组成员；确需更换的，更换人员的资历、经验及专业能力不得低于原定人员。提供承诺计2分，未提供承诺内容不全不计分。 承诺6：供应商承诺：在本项目服务过程中与项目有关的任何资料和文件，保密义务自供应商首次接触项目信息之日起生效，并在合同终止后持续有效，直至相关信息依法进入公有领域或采购方书面解除保密义务为止。提供承诺计2分，未承诺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15服务承诺.docx</w:t>
            </w:r>
          </w:p>
        </w:tc>
      </w:tr>
      <w:tr>
        <w:tc>
          <w:tcPr>
            <w:tcW w:type="dxa" w:w="831"/>
            <w:vMerge/>
          </w:tcPr>
          <w:p/>
        </w:tc>
        <w:tc>
          <w:tcPr>
            <w:tcW w:type="dxa" w:w="1661"/>
          </w:tcPr>
          <w:p>
            <w:pPr>
              <w:pStyle w:val="null3"/>
            </w:pPr>
            <w:r>
              <w:rPr>
                <w:rFonts w:ascii="仿宋_GB2312" w:hAnsi="仿宋_GB2312" w:cs="仿宋_GB2312" w:eastAsia="仿宋_GB2312"/>
              </w:rPr>
              <w:t>合理化建议或增值服务</w:t>
            </w:r>
          </w:p>
        </w:tc>
        <w:tc>
          <w:tcPr>
            <w:tcW w:type="dxa" w:w="2492"/>
          </w:tcPr>
          <w:p>
            <w:pPr>
              <w:pStyle w:val="null3"/>
            </w:pPr>
            <w:r>
              <w:rPr>
                <w:rFonts w:ascii="仿宋_GB2312" w:hAnsi="仿宋_GB2312" w:cs="仿宋_GB2312" w:eastAsia="仿宋_GB2312"/>
              </w:rPr>
              <w:t>供应商提供针对有利于本项目实施的合理化建议或增值服务承诺，每提供1个经磋商小组一致认定的增值服务承诺计1.5分，最多得6分。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16合理化建议或增值服务.docx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详见附件：5需求分析.docx</w:t>
      </w:r>
    </w:p>
    <w:p>
      <w:pPr>
        <w:pStyle w:val="null3"/>
        <w:ind w:firstLine="960"/>
      </w:pPr>
      <w:r>
        <w:rPr>
          <w:rFonts w:ascii="仿宋_GB2312" w:hAnsi="仿宋_GB2312" w:cs="仿宋_GB2312" w:eastAsia="仿宋_GB2312"/>
        </w:rPr>
        <w:t>详见附件：6展台搭建方案.docx</w:t>
      </w:r>
    </w:p>
    <w:p>
      <w:pPr>
        <w:pStyle w:val="null3"/>
        <w:ind w:firstLine="960"/>
      </w:pPr>
      <w:r>
        <w:rPr>
          <w:rFonts w:ascii="仿宋_GB2312" w:hAnsi="仿宋_GB2312" w:cs="仿宋_GB2312" w:eastAsia="仿宋_GB2312"/>
        </w:rPr>
        <w:t>详见附件：7策划方案.docx</w:t>
      </w:r>
    </w:p>
    <w:p>
      <w:pPr>
        <w:pStyle w:val="null3"/>
        <w:ind w:firstLine="960"/>
      </w:pPr>
      <w:r>
        <w:rPr>
          <w:rFonts w:ascii="仿宋_GB2312" w:hAnsi="仿宋_GB2312" w:cs="仿宋_GB2312" w:eastAsia="仿宋_GB2312"/>
        </w:rPr>
        <w:t>详见附件：8专场推介活动方案.docx</w:t>
      </w:r>
    </w:p>
    <w:p>
      <w:pPr>
        <w:pStyle w:val="null3"/>
        <w:ind w:firstLine="960"/>
      </w:pPr>
      <w:r>
        <w:rPr>
          <w:rFonts w:ascii="仿宋_GB2312" w:hAnsi="仿宋_GB2312" w:cs="仿宋_GB2312" w:eastAsia="仿宋_GB2312"/>
        </w:rPr>
        <w:t>详见附件：9后勤保障方案.docx</w:t>
      </w:r>
    </w:p>
    <w:p>
      <w:pPr>
        <w:pStyle w:val="null3"/>
        <w:ind w:firstLine="960"/>
      </w:pPr>
      <w:r>
        <w:rPr>
          <w:rFonts w:ascii="仿宋_GB2312" w:hAnsi="仿宋_GB2312" w:cs="仿宋_GB2312" w:eastAsia="仿宋_GB2312"/>
        </w:rPr>
        <w:t>详见附件：10进度计划.docx</w:t>
      </w:r>
    </w:p>
    <w:p>
      <w:pPr>
        <w:pStyle w:val="null3"/>
        <w:ind w:firstLine="960"/>
      </w:pPr>
      <w:r>
        <w:rPr>
          <w:rFonts w:ascii="仿宋_GB2312" w:hAnsi="仿宋_GB2312" w:cs="仿宋_GB2312" w:eastAsia="仿宋_GB2312"/>
        </w:rPr>
        <w:t>详见附件：11应急方案.docx</w:t>
      </w:r>
    </w:p>
    <w:p>
      <w:pPr>
        <w:pStyle w:val="null3"/>
        <w:ind w:firstLine="960"/>
      </w:pPr>
      <w:r>
        <w:rPr>
          <w:rFonts w:ascii="仿宋_GB2312" w:hAnsi="仿宋_GB2312" w:cs="仿宋_GB2312" w:eastAsia="仿宋_GB2312"/>
        </w:rPr>
        <w:t>详见附件：12项目负责人.docx</w:t>
      </w:r>
    </w:p>
    <w:p>
      <w:pPr>
        <w:pStyle w:val="null3"/>
        <w:ind w:firstLine="960"/>
      </w:pPr>
      <w:r>
        <w:rPr>
          <w:rFonts w:ascii="仿宋_GB2312" w:hAnsi="仿宋_GB2312" w:cs="仿宋_GB2312" w:eastAsia="仿宋_GB2312"/>
        </w:rPr>
        <w:t>详见附件：13项目团队.docx</w:t>
      </w:r>
    </w:p>
    <w:p>
      <w:pPr>
        <w:pStyle w:val="null3"/>
        <w:ind w:firstLine="960"/>
      </w:pPr>
      <w:r>
        <w:rPr>
          <w:rFonts w:ascii="仿宋_GB2312" w:hAnsi="仿宋_GB2312" w:cs="仿宋_GB2312" w:eastAsia="仿宋_GB2312"/>
        </w:rPr>
        <w:t>详见附件：14业绩.docx</w:t>
      </w:r>
    </w:p>
    <w:p>
      <w:pPr>
        <w:pStyle w:val="null3"/>
        <w:ind w:firstLine="960"/>
      </w:pPr>
      <w:r>
        <w:rPr>
          <w:rFonts w:ascii="仿宋_GB2312" w:hAnsi="仿宋_GB2312" w:cs="仿宋_GB2312" w:eastAsia="仿宋_GB2312"/>
        </w:rPr>
        <w:t>详见附件：15服务承诺.docx</w:t>
      </w:r>
    </w:p>
    <w:p>
      <w:pPr>
        <w:pStyle w:val="null3"/>
        <w:ind w:firstLine="960"/>
      </w:pPr>
      <w:r>
        <w:rPr>
          <w:rFonts w:ascii="仿宋_GB2312" w:hAnsi="仿宋_GB2312" w:cs="仿宋_GB2312" w:eastAsia="仿宋_GB2312"/>
        </w:rPr>
        <w:t>详见附件：16合理化建议或增值服务.docx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