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版本号：HSZ2026—CGZB—01320260723001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富平县曹村中学、小学校舍提升改造项目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HSZ2026—CGZB—013</w:t>
      </w:r>
      <w:r>
        <w:br/>
      </w:r>
      <w:r>
        <w:br/>
      </w:r>
      <w:r>
        <w:br/>
      </w:r>
    </w:p>
    <w:p>
      <w:pPr>
        <w:pStyle w:val="null3"/>
        <w:jc w:val="center"/>
        <w:outlineLvl w:val="2"/>
      </w:pPr>
      <w:r>
        <w:rPr>
          <w:rFonts w:ascii="仿宋_GB2312" w:hAnsi="仿宋_GB2312" w:cs="仿宋_GB2312" w:eastAsia="仿宋_GB2312"/>
          <w:sz w:val="28"/>
          <w:b/>
        </w:rPr>
        <w:t>富平县教育体育局（本级）</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富平县教育体育局（本级）</w:t>
      </w:r>
      <w:r>
        <w:rPr>
          <w:rFonts w:ascii="仿宋_GB2312" w:hAnsi="仿宋_GB2312" w:cs="仿宋_GB2312" w:eastAsia="仿宋_GB2312"/>
        </w:rPr>
        <w:t>委托，拟对</w:t>
      </w:r>
      <w:r>
        <w:rPr>
          <w:rFonts w:ascii="仿宋_GB2312" w:hAnsi="仿宋_GB2312" w:cs="仿宋_GB2312" w:eastAsia="仿宋_GB2312"/>
        </w:rPr>
        <w:t>富平县曹村中学、小学校舍提升改造项目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富平县曹村中学、小学校舍提升改造项目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富平县曹村中学、小学校舍提升改造项目，建设内容为曹村中学新建操作间、长志楼改造及曹村小学校舍改造等。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采购包1（富平县曹村中学、小学校舍提升改造项目）：属于专门面向中小企业采购。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3、资质和专业要求：具备建筑工程施工总承包三级及以上资质；</w:t>
      </w:r>
    </w:p>
    <w:p>
      <w:pPr>
        <w:pStyle w:val="null3"/>
      </w:pPr>
      <w:r>
        <w:rPr>
          <w:rFonts w:ascii="仿宋_GB2312" w:hAnsi="仿宋_GB2312" w:cs="仿宋_GB2312" w:eastAsia="仿宋_GB2312"/>
        </w:rPr>
        <w:t>4、安全⽣产许可证要求：具有建设行政主管部门核发有效的安全生产许可证；</w:t>
      </w:r>
    </w:p>
    <w:p>
      <w:pPr>
        <w:pStyle w:val="null3"/>
      </w:pPr>
      <w:r>
        <w:rPr>
          <w:rFonts w:ascii="仿宋_GB2312" w:hAnsi="仿宋_GB2312" w:cs="仿宋_GB2312" w:eastAsia="仿宋_GB2312"/>
        </w:rPr>
        <w:t>5、拟派项⽬经理资质和专业要求：拟派项目经理须具备建筑工程注册建造师二级及以上资格和有效的安全生产考核证书，须提供项目经理无在建工程的相关证明材料或承诺书；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的要求：提供依法缴纳社会保障资金的良好记录（提供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10、⽆重⼤违法记录的要求：提供近三年内在经营活动中无重大违法记录的书面声明；</w:t>
      </w:r>
    </w:p>
    <w:p>
      <w:pPr>
        <w:pStyle w:val="null3"/>
      </w:pPr>
      <w:r>
        <w:rPr>
          <w:rFonts w:ascii="仿宋_GB2312" w:hAnsi="仿宋_GB2312" w:cs="仿宋_GB2312" w:eastAsia="仿宋_GB2312"/>
        </w:rPr>
        <w:t>11、磋商保证⾦要求：提供磋商保证金银行转账凭证及基本存款账户信息证明资料或金融机构、担保机构出具的保函复印件或扫描件；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为同⼀⼈或者存在直接控股、管理关系的不同供应商，不得参加同⼀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13、具有履⾏合同所必需的设备和专业技术能⼒的要求：提供具有履行本合同所必需的设备和专业技术能力的说明及承诺；</w:t>
      </w:r>
    </w:p>
    <w:p>
      <w:pPr>
        <w:pStyle w:val="null3"/>
      </w:pPr>
      <w:r>
        <w:rPr>
          <w:rFonts w:ascii="仿宋_GB2312" w:hAnsi="仿宋_GB2312" w:cs="仿宋_GB2312" w:eastAsia="仿宋_GB2312"/>
        </w:rPr>
        <w:t>14、⾯向中⼩企业采购政策落实情况：本项目专门面向中小企业采购，供应商须提供《中小企业声明函》。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富平县教育体育局（本级）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0913-8212649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开户名称：陕西厷森项⽬管理有限公司</w:t>
            </w:r>
          </w:p>
          <w:p>
            <w:pPr>
              <w:pStyle w:val="null3"/>
            </w:pPr>
            <w:r>
              <w:rPr>
                <w:rFonts w:ascii="仿宋_GB2312" w:hAnsi="仿宋_GB2312" w:cs="仿宋_GB2312" w:eastAsia="仿宋_GB2312"/>
              </w:rPr>
              <w:t>开户银行：中国农业银⾏股份有限公司富平县⽀⾏</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印发《招标代理服务收费管理暂⾏办法》的通知(计价格[2002]1980号)计算下浮25%收取（计费基数为扣除专业⼯程暂估价、暂列⾦后的中标⾦额），计⼊⼯程造价，按照《国家发展改⾰委办公厅关于招标代理服务收费有关问题的通知》(发改办价格[2003]857号)规定，由成交供应商⽀付；造价咨询服务费按陕西省《关于我省⼯程造价咨询服务收费标准有关问题》的通知（陕价⾏发[2014]88号⽂件）计算下浮28%收取（计费基数为扣除专业⼯程暂估价、暂列⾦后的财政评审审定⾦额），不计⼊⼯程造价，由成交供应商先⾏代付；在领取中标（成交）通知书时向采购代理机构⼀次付清（现⾦或转账），具体⾦额以代理机构开具的税票为准；此费⽤最终由采购⼈在⼯程决算时⼀并⽀付给成交供应商。若本次招标失败（⾮代理机构原因），招标代理服务费由采购⼈⽀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富平县教育体育局（本级）</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富平县教育体育局（本级）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富平县教育体育局（本级）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在签订施⼯合同时另⾏约定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1,496,181.64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富平县曹村中学、小学校舍提升改造项目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标的名称：富平县曹村中学、小学校舍提升改造项目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rPr>
              <w:t>编</w:t>
            </w:r>
            <w:r>
              <w:rPr>
                <w:rFonts w:ascii="仿宋_GB2312" w:hAnsi="仿宋_GB2312" w:cs="仿宋_GB2312" w:eastAsia="仿宋_GB2312"/>
                <w:sz w:val="44"/>
              </w:rPr>
              <w:t>制</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spacing w:before="150" w:after="150"/>
              <w:jc w:val="both"/>
            </w:pPr>
            <w:r>
              <w:rPr>
                <w:rFonts w:ascii="仿宋_GB2312" w:hAnsi="仿宋_GB2312" w:cs="仿宋_GB2312" w:eastAsia="仿宋_GB2312"/>
                <w:sz w:val="24"/>
              </w:rPr>
              <w:t>一、工程概况</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color w:val="000000"/>
              </w:rPr>
              <w:t>富平县曹村中学、小学校舍提升改造项目</w:t>
            </w:r>
            <w:r>
              <w:rPr>
                <w:rFonts w:ascii="仿宋_GB2312" w:hAnsi="仿宋_GB2312" w:cs="仿宋_GB2312" w:eastAsia="仿宋_GB2312"/>
                <w:sz w:val="24"/>
                <w:color w:val="000000"/>
              </w:rPr>
              <w:t>，建设内容为曹村中学新建操作间、长志楼改造及曹村小学校舍改造等</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省通用安装工程基价表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2026年（第6期）、《渭南工程造价信息》2026年（第二期）及当地市场价；</w:t>
            </w:r>
          </w:p>
          <w:p>
            <w:pPr>
              <w:pStyle w:val="null3"/>
              <w:spacing w:before="150" w:after="150"/>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7.5000.23.3</w:t>
            </w:r>
            <w:r>
              <w:rPr>
                <w:rFonts w:ascii="仿宋_GB2312" w:hAnsi="仿宋_GB2312" w:cs="仿宋_GB2312" w:eastAsia="仿宋_GB2312"/>
                <w:sz w:val="24"/>
                <w:color w:val="000000"/>
              </w:rPr>
              <w:t>）版本编制。</w:t>
            </w:r>
          </w:p>
          <w:p>
            <w:pPr>
              <w:pStyle w:val="null3"/>
              <w:spacing w:before="150" w:after="150"/>
              <w:jc w:val="both"/>
            </w:pPr>
            <w:r>
              <w:rPr>
                <w:rFonts w:ascii="仿宋_GB2312" w:hAnsi="仿宋_GB2312" w:cs="仿宋_GB2312" w:eastAsia="仿宋_GB2312"/>
                <w:sz w:val="24"/>
              </w:rPr>
              <w:t>三、编制范围</w:t>
            </w:r>
            <w:r>
              <w:rPr>
                <w:rFonts w:ascii="仿宋_GB2312" w:hAnsi="仿宋_GB2312" w:cs="仿宋_GB2312" w:eastAsia="仿宋_GB2312"/>
                <w:sz w:val="24"/>
              </w:rPr>
              <w:t>：</w:t>
            </w:r>
          </w:p>
          <w:p>
            <w:pPr>
              <w:pStyle w:val="null3"/>
              <w:spacing w:before="150" w:after="150"/>
              <w:ind w:firstLine="480"/>
              <w:jc w:val="both"/>
            </w:pPr>
            <w:r>
              <w:rPr>
                <w:rFonts w:ascii="仿宋_GB2312" w:hAnsi="仿宋_GB2312" w:cs="仿宋_GB2312" w:eastAsia="仿宋_GB2312"/>
                <w:sz w:val="24"/>
              </w:rPr>
              <w:t>施工设计图纸及相关资料</w:t>
            </w:r>
            <w:r>
              <w:rPr>
                <w:rFonts w:ascii="仿宋_GB2312" w:hAnsi="仿宋_GB2312" w:cs="仿宋_GB2312" w:eastAsia="仿宋_GB2312"/>
                <w:sz w:val="24"/>
                <w:color w:val="000000"/>
              </w:rPr>
              <w:t>。</w:t>
            </w:r>
          </w:p>
          <w:p>
            <w:pPr>
              <w:pStyle w:val="null3"/>
              <w:spacing w:before="150" w:after="150"/>
              <w:jc w:val="both"/>
            </w:pPr>
            <w:r>
              <w:rPr>
                <w:rFonts w:ascii="仿宋_GB2312" w:hAnsi="仿宋_GB2312" w:cs="仿宋_GB2312" w:eastAsia="仿宋_GB2312"/>
                <w:sz w:val="24"/>
              </w:rPr>
              <w:t>四、其他说明：</w:t>
            </w:r>
          </w:p>
          <w:p>
            <w:pPr>
              <w:pStyle w:val="null3"/>
              <w:spacing w:before="150" w:after="150"/>
              <w:ind w:firstLine="480"/>
              <w:jc w:val="both"/>
            </w:pPr>
            <w:r>
              <w:rPr>
                <w:rFonts w:ascii="仿宋_GB2312" w:hAnsi="仿宋_GB2312" w:cs="仿宋_GB2312" w:eastAsia="仿宋_GB2312"/>
                <w:sz w:val="24"/>
              </w:rPr>
              <w:t>1、混凝土采用商品混凝土；</w:t>
            </w:r>
          </w:p>
          <w:p>
            <w:pPr>
              <w:pStyle w:val="null3"/>
              <w:spacing w:before="150" w:after="150"/>
              <w:ind w:firstLine="480"/>
              <w:jc w:val="both"/>
            </w:pPr>
            <w:r>
              <w:rPr>
                <w:rFonts w:ascii="仿宋_GB2312" w:hAnsi="仿宋_GB2312" w:cs="仿宋_GB2312" w:eastAsia="仿宋_GB2312"/>
                <w:sz w:val="24"/>
              </w:rPr>
              <w:t>2、工程预留金及招标代理费计入其他项目费中；</w:t>
            </w:r>
          </w:p>
          <w:p>
            <w:pPr>
              <w:pStyle w:val="null3"/>
              <w:spacing w:before="150" w:after="150"/>
              <w:ind w:firstLine="480"/>
              <w:jc w:val="both"/>
            </w:pPr>
            <w:r>
              <w:rPr>
                <w:rFonts w:ascii="仿宋_GB2312" w:hAnsi="仿宋_GB2312" w:cs="仿宋_GB2312" w:eastAsia="仿宋_GB2312"/>
                <w:sz w:val="24"/>
              </w:rPr>
              <w:t>3、未详尽事宜详见清单；</w:t>
            </w:r>
          </w:p>
          <w:p>
            <w:pPr>
              <w:pStyle w:val="null3"/>
              <w:spacing w:before="150" w:after="150"/>
              <w:ind w:firstLine="480"/>
              <w:jc w:val="both"/>
            </w:pPr>
            <w:r>
              <w:rPr>
                <w:rFonts w:ascii="仿宋_GB2312" w:hAnsi="仿宋_GB2312" w:cs="仿宋_GB2312" w:eastAsia="仿宋_GB2312"/>
                <w:sz w:val="24"/>
              </w:rPr>
              <w:t>4、工程量清单详见附件。</w:t>
            </w:r>
          </w:p>
          <w:p>
            <w:pPr>
              <w:pStyle w:val="null3"/>
              <w:spacing w:before="150" w:after="150"/>
              <w:ind w:firstLine="480"/>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质量标准：符合国家、⾏业、图纸相关标准、规范及要求，质量达到合格。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合同签订后60⽇历天内施⼯完毕；2、付款⽅式：施⼯合同签订后付⾄合同价款的40%作为预付款，施⼯完成验收合格后付⾄合同价款的80%，待⼯程决算审计报告双⽅签字盖章认可后，付⾄审计价款的97%，剩余3%缺陷责任期满后⼀次性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1、投标时供应商⽆需提供纸质版响应⽂件。成交供应商在领取中标（成交）通知书前将纸质版响应⽂件打印胶装3份、电⼦版（U 盘）⽂件3份提交⾄采购代理机构处，以便采购⼈进⾏留存备案等⼯作，成交供应商应保持响应⽂件纸质版内容与电⼦版内容完全⼀致，否则将承担⼀切法律责任。纸质版响应⽂件⼀律采⽤书籍（胶装）⽅式装订且单⾯或双⾯打印。2、落实政府采购政策需满⾜的资格要求：（1）《国务院办公厅关于建⽴政府强制采购节能产品制度的通知》（国办发〔2007〕51号）；（2）《财政部司法部关于政府采购⽀持监狱企业发展有关问题的通知》（财库〔2014〕68号）；（3）三部⻔联合发布《关于促进残疾⼈就业政府采购政策的通知》（财库〔2017〕141号）；（4）《财政部发展改⾰委⽣态环境部市场监管总局关于调整优化节能产品、环境标志产品政府采购执⾏机制的通知》（财库〔2019〕9号）；（5）《关于促 进政府采购公平竞争优化营商环境的通知》（财库〔2019〕38号）；（6）《财政部 农业农村部 国家乡村振兴局关于运⽤政府采购政策⽀持乡村产业振兴的通知》（财库〔2021〕19号）；（7）陕西省财政厅《关于进⼀步加强政府绿⾊采购有关问题的通知》（陕财办采〔2021〕29号）；（8）陕西省财政厅关于印发《陕西省中⼩企业政府采购信⽤融资办法》（陕财办采〔2018〕23号）；（9）《陕西省财政厅关于加快推进我省中⼩企业政府采购信⽤融资⼯作的通知》（陕财办采〔2020〕15号）；（10）《政府采购促进中⼩企业发展管理办法》（财库〔2020〕46号）；（11）《关于进⼀步加⼤政府采购⽀持中⼩企业⼒度的通知》（财库〔2022〕19号）；（12）《陕西省财政厅关于进⼀步落实政府采购⽀持中⼩企业相关政策的通知》（陕财办采〔2023〕3号）；（13）《陕西省财政厅关于进⼀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拟派项⽬经理资质和专业要求</w:t>
            </w:r>
          </w:p>
        </w:tc>
        <w:tc>
          <w:tcPr>
            <w:tcW w:type="dxa" w:w="3322"/>
          </w:tcPr>
          <w:p>
            <w:pPr>
              <w:pStyle w:val="null3"/>
            </w:pPr>
            <w:r>
              <w:rPr>
                <w:rFonts w:ascii="仿宋_GB2312" w:hAnsi="仿宋_GB2312" w:cs="仿宋_GB2312" w:eastAsia="仿宋_GB2312"/>
              </w:rPr>
              <w:t>拟派项目经理须具备建筑工程注册建造师二级及以上资格和有效的安全生产考核证书，须提供项目经理无在建工程的相关证明材料或承诺书；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缴纳社会保障资⾦的要求</w:t>
            </w:r>
          </w:p>
        </w:tc>
        <w:tc>
          <w:tcPr>
            <w:tcW w:type="dxa" w:w="3322"/>
          </w:tcPr>
          <w:p>
            <w:pPr>
              <w:pStyle w:val="null3"/>
            </w:pPr>
            <w:r>
              <w:rPr>
                <w:rFonts w:ascii="仿宋_GB2312" w:hAnsi="仿宋_GB2312" w:cs="仿宋_GB2312" w:eastAsia="仿宋_GB2312"/>
              </w:rPr>
              <w:t>提供依法缴纳社会保障资金的良好记录（提供响应文件递交截止时间前六个月内任意一个月份的缴纳凭据复印件或扫描件。依法不需要缴纳社会保障资金的供应商应提供相关证明文件）；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单位负责⼈为同⼀⼈或者存在直接控股、管理关系的不同供应商，不得参加同⼀合同项下的政府采购活动的要求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具有履⾏合同所必需的设备和专业技术能⼒的要求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⾯向中⼩企业采购政策落实情况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内容⽆重⼤缺漏项，报价唯⼀，且不⾼于本项⽬最⾼限价。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符合或优于磋商⽂件要求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其他磋商⽂件或法律法规明确规定响应⽆效的事项</w:t>
            </w:r>
          </w:p>
        </w:tc>
        <w:tc>
          <w:tcPr>
            <w:tcW w:type="dxa" w:w="3322"/>
          </w:tcPr>
          <w:p>
            <w:pPr>
              <w:pStyle w:val="null3"/>
            </w:pPr>
            <w:r>
              <w:rPr>
                <w:rFonts w:ascii="仿宋_GB2312" w:hAnsi="仿宋_GB2312" w:cs="仿宋_GB2312" w:eastAsia="仿宋_GB2312"/>
              </w:rPr>
              <w:t>⽆其他磋商⽂件或法律法规明确规定响应⽆效的事项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的施⼯组织设计，⾄少应包括：①确保⼯程质量的技术组织措施；②确保安全⽣产的技术组织措施；③确保⽂明施⼯及环境保护的技术组织措施；④确保⼯期的技术组织措施及施⼯进度表(横道图或⽹络图)；⑤施⼯⽅案；⑥施⼯机械配备和材料投⼊计划及劳动⼒安排计划；⑦新技术、新产品、新⼯艺、新材料应⽤。包含但不限于上述全部内容，⽅案详细，清晰有利于项⽬实施的每项得8分。（如有缺陷或不⾜在此分数基础上进⾏扣分），以上7项中：（1）每有1项缺失或不切实符合项⽬需求的扣8分；（2）每有1项内容存在缺陷或不⾜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1、项⽬经理具有中级职称的得2分，⾼级及以上职称得3分。 2、具有五⼤员（质量员、安全员、施⼯员、材料员、资料员）上岗证书（安全员须具有安全⽣产考核合格证书）的⼀项得1分，最⾼得5分。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2023年06⽉01⽇⾄今完成的类似业绩，⼀项得2分，最多得6分。 注：须附类似项⽬业绩的中标（成交）通知书或合同或竣⼯验收证明材料复印件或扫描件），以提供证明资料的落款时间为准。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经资格审查合格及符合性审查合格的磋商响应⽂件，其磋商报价有效； 将满⾜磋商⽂件要求且最后报价最低的供应商的价格作为磋商基准价，其价格分为满分（30分）；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