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版本号：SXZHZB2026-ZC025-CS20260730001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长安区子午初级中学运动场改造项目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SXZHZB2026-ZC025-CS</w:t>
      </w:r>
      <w:r>
        <w:br/>
      </w:r>
      <w:r>
        <w:br/>
      </w:r>
      <w:r>
        <w:br/>
      </w:r>
    </w:p>
    <w:p>
      <w:pPr>
        <w:pStyle w:val="null3"/>
        <w:jc w:val="center"/>
        <w:outlineLvl w:val="2"/>
      </w:pPr>
      <w:r>
        <w:rPr>
          <w:rFonts w:ascii="仿宋_GB2312" w:hAnsi="仿宋_GB2312" w:cs="仿宋_GB2312" w:eastAsia="仿宋_GB2312"/>
          <w:sz w:val="28"/>
          <w:b/>
        </w:rPr>
        <w:t>西安市长安区子午街道初级中学</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西安市长安区子午街道初级中学</w:t>
      </w:r>
      <w:r>
        <w:rPr>
          <w:rFonts w:ascii="仿宋_GB2312" w:hAnsi="仿宋_GB2312" w:cs="仿宋_GB2312" w:eastAsia="仿宋_GB2312"/>
        </w:rPr>
        <w:t>委托，拟对</w:t>
      </w:r>
      <w:r>
        <w:rPr>
          <w:rFonts w:ascii="仿宋_GB2312" w:hAnsi="仿宋_GB2312" w:cs="仿宋_GB2312" w:eastAsia="仿宋_GB2312"/>
        </w:rPr>
        <w:t>长安区子午初级中学运动场改造项目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SXZHZB2026-ZC025-CS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长安区子午初级中学运动场改造项目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项目拟改造操场规模约8951㎡，拟改造内容：学校操场及其附属活动区域，包含操场、蓝球场、足球场兼排球场，羽毛球场，乒乓球场，围墙挡台及室外活动区绿化，照明工程，室外雨水排水工程等。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采购包1（长安区子午初级中学运动场改造项目）：属于专门面向中小企业采购。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1、法定代表人（负责人）授权委托书/法定代表人（负责人）身份证明：法定代表人授权书（附法定代表人、被授权人身份证复印件）（法定代表人直接参加协商，须提供法定代表人身份证明）；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3、资格证书：供应商须同时具备建设行政主管部门颁发的建筑工程施工总承包三级及以上资质，且具备合格有效的安全生产许可证；</w:t>
      </w:r>
    </w:p>
    <w:p>
      <w:pPr>
        <w:pStyle w:val="null3"/>
      </w:pPr>
      <w:r>
        <w:rPr>
          <w:rFonts w:ascii="仿宋_GB2312" w:hAnsi="仿宋_GB2312" w:cs="仿宋_GB2312" w:eastAsia="仿宋_GB2312"/>
        </w:rPr>
        <w:t>4、拟派项目经理资质和专业要求：拟派项目经理具备房屋建筑工程专业注册建造师二级及以上执业资格及其本人具有有效的安全生产考核合格证（建安B证），在本单位注册且无在建工程；</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西安市长安区子午街道初级中学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西安市长安区子午街道子午村甲字8号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15029808900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采购包1：2,975,800.49元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颁发的《招标代理服务收费管理暂行办法》（计价格〔2002〕1980号）和财政部颁发的《政府采购代理机构管理暂行办法》（财库〔2018〕2号）的有关规定下浮20%执行。 3、成交单位的代理服务费交纳信息 开户名称：陕西纵横项目管理有限公司 开户银行：浙商银行股份有限公司西安未央路支行 账 号：7910000610120100029478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西安市长安区子午街道初级中学</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西安市长安区子午街道初级中学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西安市长安区子午街道初级中学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2,975,800.49</w:t>
      </w:r>
    </w:p>
    <w:p>
      <w:pPr>
        <w:pStyle w:val="null3"/>
      </w:pPr>
      <w:r>
        <w:rPr>
          <w:rFonts w:ascii="仿宋_GB2312" w:hAnsi="仿宋_GB2312" w:cs="仿宋_GB2312" w:eastAsia="仿宋_GB2312"/>
        </w:rPr>
        <w:t>采购包最高限价（元）: 2,975,800.49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长安区子午初级中学运动场改造项目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2,975,800.49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标的名称：长安区子午初级中学运动场改造项目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工程内容：项目拟改造操场规模约8951㎡，拟改造内容：学校操场及其附属活动区域，包含操场、蓝球场、足球场兼排球场，羽毛球场，乒乓球场，围墙挡台及室外活动区绿化，照明工程，室外雨水排水工程等。</w:t>
            </w:r>
          </w:p>
          <w:p>
            <w:pPr>
              <w:pStyle w:val="null3"/>
            </w:pPr>
            <w:r>
              <w:rPr>
                <w:rFonts w:ascii="仿宋_GB2312" w:hAnsi="仿宋_GB2312" w:cs="仿宋_GB2312" w:eastAsia="仿宋_GB2312"/>
              </w:rPr>
              <w:t>2、施工范围：完成长安区子午初级中学运动场改造项目招标的所有工作内容，具体以工程图纸、工程量清单及招标文件规定的所有内容为准。</w:t>
            </w:r>
            <w:r>
              <w:br/>
            </w:r>
            <w:r>
              <w:rPr>
                <w:rFonts w:ascii="仿宋_GB2312" w:hAnsi="仿宋_GB2312" w:cs="仿宋_GB2312" w:eastAsia="仿宋_GB2312"/>
              </w:rPr>
              <w:t xml:space="preserve"> 3、工程地点：西安市长安区子午街道初级中学</w:t>
            </w:r>
            <w:r>
              <w:br/>
            </w:r>
            <w:r>
              <w:rPr>
                <w:rFonts w:ascii="仿宋_GB2312" w:hAnsi="仿宋_GB2312" w:cs="仿宋_GB2312" w:eastAsia="仿宋_GB2312"/>
              </w:rPr>
              <w:t xml:space="preserve"> 4、工期：60日历天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1、缺陷责任期：竣工验收后两年。</w:t>
            </w:r>
          </w:p>
          <w:p>
            <w:pPr>
              <w:pStyle w:val="null3"/>
            </w:pPr>
            <w:r>
              <w:rPr>
                <w:rFonts w:ascii="仿宋_GB2312" w:hAnsi="仿宋_GB2312" w:cs="仿宋_GB2312" w:eastAsia="仿宋_GB2312"/>
              </w:rPr>
              <w:t>2、质量保修期：竣工验收后两年。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1、施工要求及质量验收</w:t>
            </w:r>
          </w:p>
          <w:p>
            <w:pPr>
              <w:pStyle w:val="null3"/>
            </w:pPr>
            <w:r>
              <w:rPr>
                <w:rFonts w:ascii="仿宋_GB2312" w:hAnsi="仿宋_GB2312" w:cs="仿宋_GB2312" w:eastAsia="仿宋_GB2312"/>
              </w:rPr>
              <w:t>（1）供应商必须配备足够的人员和充足的设备进入实施，确保按时保质保量完成任务。</w:t>
            </w:r>
          </w:p>
          <w:p>
            <w:pPr>
              <w:pStyle w:val="null3"/>
            </w:pPr>
            <w:r>
              <w:rPr>
                <w:rFonts w:ascii="仿宋_GB2312" w:hAnsi="仿宋_GB2312" w:cs="仿宋_GB2312" w:eastAsia="仿宋_GB2312"/>
              </w:rPr>
              <w:t>（2）必须严密组织，文明施工，做好四周维护及安全环保措施，所需费用由供应商承担，施工过程必须严格遵守政府相关规定。</w:t>
            </w:r>
          </w:p>
          <w:p>
            <w:pPr>
              <w:pStyle w:val="null3"/>
            </w:pPr>
            <w:r>
              <w:rPr>
                <w:rFonts w:ascii="仿宋_GB2312" w:hAnsi="仿宋_GB2312" w:cs="仿宋_GB2312" w:eastAsia="仿宋_GB2312"/>
              </w:rPr>
              <w:t>（3）严格遵守西安市关于控制扬尘污染、治污减霾的相关规定，并承担一切安全事故或违规处罚所带来的经济及法律责任。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（4）供应商负责现场安全管理工作，并承担全部责任及由此产生的全部费用，现场人员由供应商按照相关规定办理相关保险事宜。</w:t>
            </w:r>
          </w:p>
          <w:p>
            <w:pPr>
              <w:pStyle w:val="null3"/>
            </w:pPr>
            <w:r>
              <w:rPr>
                <w:rFonts w:ascii="仿宋_GB2312" w:hAnsi="仿宋_GB2312" w:cs="仿宋_GB2312" w:eastAsia="仿宋_GB2312"/>
              </w:rPr>
              <w:t>（5）在施工期间，注意行人安全，加强安全措施，并对施工人员进行安全教育。施工人员必须持证上岗。因采购人工作的特殊性，中标供应商在施工中做到必要的封闭性施工及施工公示。</w:t>
            </w:r>
          </w:p>
          <w:p>
            <w:pPr>
              <w:pStyle w:val="null3"/>
            </w:pPr>
            <w:r>
              <w:rPr>
                <w:rFonts w:ascii="仿宋_GB2312" w:hAnsi="仿宋_GB2312" w:cs="仿宋_GB2312" w:eastAsia="仿宋_GB2312"/>
              </w:rPr>
              <w:t>2、安全要求</w:t>
            </w:r>
          </w:p>
          <w:p>
            <w:pPr>
              <w:pStyle w:val="null3"/>
            </w:pPr>
            <w:r>
              <w:rPr>
                <w:rFonts w:ascii="仿宋_GB2312" w:hAnsi="仿宋_GB2312" w:cs="仿宋_GB2312" w:eastAsia="仿宋_GB2312"/>
              </w:rPr>
              <w:t>（1）供应商应制定可靠的施工方案和安全事故应急救援方案，采取有效安全防护措施，确保无安全事故发生。</w:t>
            </w:r>
          </w:p>
          <w:p>
            <w:pPr>
              <w:pStyle w:val="null3"/>
            </w:pPr>
            <w:r>
              <w:rPr>
                <w:rFonts w:ascii="仿宋_GB2312" w:hAnsi="仿宋_GB2312" w:cs="仿宋_GB2312" w:eastAsia="仿宋_GB2312"/>
              </w:rPr>
              <w:t>（2）按规定配备专职安全员。现场项目经理和专职安全员必须持有安全生产考核合格证。各作业班组长和施工作业人员必须经安全技术培训方可上岗。</w:t>
            </w:r>
          </w:p>
          <w:p>
            <w:pPr>
              <w:pStyle w:val="null3"/>
            </w:pPr>
            <w:r>
              <w:rPr>
                <w:rFonts w:ascii="仿宋_GB2312" w:hAnsi="仿宋_GB2312" w:cs="仿宋_GB2312" w:eastAsia="仿宋_GB2312"/>
              </w:rPr>
              <w:t>（3）机械施工、运输严格遵守《建筑机械使用安全技术规程》，机械操作、驾驶人员必须持证上岗。</w:t>
            </w:r>
          </w:p>
          <w:p>
            <w:pPr>
              <w:pStyle w:val="null3"/>
            </w:pPr>
            <w:r>
              <w:rPr>
                <w:rFonts w:ascii="仿宋_GB2312" w:hAnsi="仿宋_GB2312" w:cs="仿宋_GB2312" w:eastAsia="仿宋_GB2312"/>
              </w:rPr>
              <w:t>（4）运输车辆驾驶人员应严格遵守《道路交通安全法》及相关法规，确保安全运输。</w:t>
            </w:r>
          </w:p>
          <w:p>
            <w:pPr>
              <w:pStyle w:val="null3"/>
            </w:pPr>
            <w:r>
              <w:rPr>
                <w:rFonts w:ascii="仿宋_GB2312" w:hAnsi="仿宋_GB2312" w:cs="仿宋_GB2312" w:eastAsia="仿宋_GB2312"/>
              </w:rPr>
              <w:t>3、技术规范及要求：</w:t>
            </w:r>
          </w:p>
          <w:p>
            <w:pPr>
              <w:pStyle w:val="null3"/>
            </w:pPr>
            <w:r>
              <w:rPr>
                <w:rFonts w:ascii="仿宋_GB2312" w:hAnsi="仿宋_GB2312" w:cs="仿宋_GB2312" w:eastAsia="仿宋_GB2312"/>
              </w:rPr>
              <w:t>执行国家、省、市现行的相关规定及标准文件。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一、工程量编制依据</w:t>
            </w:r>
          </w:p>
          <w:p>
            <w:pPr>
              <w:pStyle w:val="null3"/>
            </w:pPr>
            <w:r>
              <w:rPr>
                <w:rFonts w:ascii="仿宋_GB2312" w:hAnsi="仿宋_GB2312" w:cs="仿宋_GB2312" w:eastAsia="仿宋_GB2312"/>
              </w:rPr>
              <w:t>1、长安区子午初级中学运动场改造项目施工图；</w:t>
            </w:r>
          </w:p>
          <w:p>
            <w:pPr>
              <w:pStyle w:val="null3"/>
            </w:pPr>
            <w:r>
              <w:rPr>
                <w:rFonts w:ascii="仿宋_GB2312" w:hAnsi="仿宋_GB2312" w:cs="仿宋_GB2312" w:eastAsia="仿宋_GB2312"/>
              </w:rPr>
              <w:t>2、《陕西省建设工程费用规则》(2025)；</w:t>
            </w:r>
          </w:p>
          <w:p>
            <w:pPr>
              <w:pStyle w:val="null3"/>
            </w:pPr>
            <w:r>
              <w:rPr>
                <w:rFonts w:ascii="仿宋_GB2312" w:hAnsi="仿宋_GB2312" w:cs="仿宋_GB2312" w:eastAsia="仿宋_GB2312"/>
              </w:rPr>
              <w:t>3、《陕西省房屋建筑与装饰工程基价表》(2025)；</w:t>
            </w:r>
          </w:p>
          <w:p>
            <w:pPr>
              <w:pStyle w:val="null3"/>
            </w:pPr>
            <w:r>
              <w:rPr>
                <w:rFonts w:ascii="仿宋_GB2312" w:hAnsi="仿宋_GB2312" w:cs="仿宋_GB2312" w:eastAsia="仿宋_GB2312"/>
              </w:rPr>
              <w:t>4、《陕西省市政工程基价表》(2025)；</w:t>
            </w:r>
          </w:p>
          <w:p>
            <w:pPr>
              <w:pStyle w:val="null3"/>
            </w:pPr>
            <w:r>
              <w:rPr>
                <w:rFonts w:ascii="仿宋_GB2312" w:hAnsi="仿宋_GB2312" w:cs="仿宋_GB2312" w:eastAsia="仿宋_GB2312"/>
              </w:rPr>
              <w:t>5、《陕西省通用安装工程基价表》(2025)；</w:t>
            </w:r>
          </w:p>
          <w:p>
            <w:pPr>
              <w:pStyle w:val="null3"/>
            </w:pPr>
            <w:r>
              <w:rPr>
                <w:rFonts w:ascii="仿宋_GB2312" w:hAnsi="仿宋_GB2312" w:cs="仿宋_GB2312" w:eastAsia="仿宋_GB2312"/>
              </w:rPr>
              <w:t>6、陕西省工程建设标准《建设工程工程量清单计价标准》（DB 61/T 5126-2025）；</w:t>
            </w:r>
          </w:p>
          <w:p>
            <w:pPr>
              <w:pStyle w:val="null3"/>
            </w:pPr>
            <w:r>
              <w:rPr>
                <w:rFonts w:ascii="仿宋_GB2312" w:hAnsi="仿宋_GB2312" w:cs="仿宋_GB2312" w:eastAsia="仿宋_GB2312"/>
              </w:rPr>
              <w:t>7、陕西省工程建设标准《房屋建筑与装饰工程工程量计算标准》（DB 61/T 5129-2025）；</w:t>
            </w:r>
          </w:p>
          <w:p>
            <w:pPr>
              <w:pStyle w:val="null3"/>
            </w:pPr>
            <w:r>
              <w:rPr>
                <w:rFonts w:ascii="仿宋_GB2312" w:hAnsi="仿宋_GB2312" w:cs="仿宋_GB2312" w:eastAsia="仿宋_GB2312"/>
              </w:rPr>
              <w:t>8、陕西省工程建设标准《市政工程工程量计算标准》（DB 61/T 5128-2025）；</w:t>
            </w:r>
          </w:p>
          <w:p>
            <w:pPr>
              <w:pStyle w:val="null3"/>
            </w:pPr>
            <w:r>
              <w:rPr>
                <w:rFonts w:ascii="仿宋_GB2312" w:hAnsi="仿宋_GB2312" w:cs="仿宋_GB2312" w:eastAsia="仿宋_GB2312"/>
              </w:rPr>
              <w:t>9、陕西省工程建设标准《通用安装工程工程量计算标准》（DB 61/T 5130-2025）；</w:t>
            </w:r>
          </w:p>
          <w:p>
            <w:pPr>
              <w:pStyle w:val="null3"/>
            </w:pPr>
            <w:r>
              <w:rPr>
                <w:rFonts w:ascii="仿宋_GB2312" w:hAnsi="仿宋_GB2312" w:cs="仿宋_GB2312" w:eastAsia="仿宋_GB2312"/>
              </w:rPr>
              <w:t>10、陕西省工程建设标准《园林绿化工程工程量计算标准》（DB 61/T 5131-2025）；</w:t>
            </w:r>
          </w:p>
          <w:p>
            <w:pPr>
              <w:pStyle w:val="null3"/>
            </w:pPr>
            <w:r>
              <w:rPr>
                <w:rFonts w:ascii="仿宋_GB2312" w:hAnsi="仿宋_GB2312" w:cs="仿宋_GB2312" w:eastAsia="仿宋_GB2312"/>
              </w:rPr>
              <w:t>11、《陕西省房屋建筑与装饰工程消耗量定额(2025)》；</w:t>
            </w:r>
          </w:p>
          <w:p>
            <w:pPr>
              <w:pStyle w:val="null3"/>
            </w:pPr>
            <w:r>
              <w:rPr>
                <w:rFonts w:ascii="仿宋_GB2312" w:hAnsi="仿宋_GB2312" w:cs="仿宋_GB2312" w:eastAsia="仿宋_GB2312"/>
              </w:rPr>
              <w:t>12、《陕西省市政工程消耗量定额(2025)》；</w:t>
            </w:r>
          </w:p>
          <w:p>
            <w:pPr>
              <w:pStyle w:val="null3"/>
            </w:pPr>
            <w:r>
              <w:rPr>
                <w:rFonts w:ascii="仿宋_GB2312" w:hAnsi="仿宋_GB2312" w:cs="仿宋_GB2312" w:eastAsia="仿宋_GB2312"/>
              </w:rPr>
              <w:t>13、《陕西省园林绿化工程消耗量定额(2025)》；</w:t>
            </w:r>
          </w:p>
          <w:p>
            <w:pPr>
              <w:pStyle w:val="null3"/>
            </w:pPr>
            <w:r>
              <w:rPr>
                <w:rFonts w:ascii="仿宋_GB2312" w:hAnsi="仿宋_GB2312" w:cs="仿宋_GB2312" w:eastAsia="仿宋_GB2312"/>
              </w:rPr>
              <w:t>14、《陕西省建通用安装工程消耗量定额》(2025)；</w:t>
            </w:r>
          </w:p>
          <w:p>
            <w:pPr>
              <w:pStyle w:val="null3"/>
            </w:pPr>
            <w:r>
              <w:rPr>
                <w:rFonts w:ascii="仿宋_GB2312" w:hAnsi="仿宋_GB2312" w:cs="仿宋_GB2312" w:eastAsia="仿宋_GB2312"/>
              </w:rPr>
              <w:t>15、《陕西省建设工程施工机械台班费用定额》(2025)；</w:t>
            </w:r>
          </w:p>
          <w:p>
            <w:pPr>
              <w:pStyle w:val="null3"/>
            </w:pPr>
            <w:r>
              <w:rPr>
                <w:rFonts w:ascii="仿宋_GB2312" w:hAnsi="仿宋_GB2312" w:cs="仿宋_GB2312" w:eastAsia="仿宋_GB2312"/>
              </w:rPr>
              <w:t>16、《陕西省建设工程施工仪器仪表台班费用定额》(2025)；</w:t>
            </w:r>
          </w:p>
          <w:p>
            <w:pPr>
              <w:pStyle w:val="null3"/>
            </w:pPr>
            <w:r>
              <w:rPr>
                <w:rFonts w:ascii="仿宋_GB2312" w:hAnsi="仿宋_GB2312" w:cs="仿宋_GB2312" w:eastAsia="仿宋_GB2312"/>
              </w:rPr>
              <w:t>17、与本工程有关的标准、规范、图集、技术资料；</w:t>
            </w:r>
          </w:p>
          <w:p>
            <w:pPr>
              <w:pStyle w:val="null3"/>
            </w:pPr>
            <w:r>
              <w:rPr>
                <w:rFonts w:ascii="仿宋_GB2312" w:hAnsi="仿宋_GB2312" w:cs="仿宋_GB2312" w:eastAsia="仿宋_GB2312"/>
              </w:rPr>
              <w:t>18、正常的施工工艺和施工方法。</w:t>
            </w:r>
          </w:p>
          <w:p>
            <w:pPr>
              <w:pStyle w:val="null3"/>
            </w:pPr>
            <w:r>
              <w:rPr>
                <w:rFonts w:ascii="仿宋_GB2312" w:hAnsi="仿宋_GB2312" w:cs="仿宋_GB2312" w:eastAsia="仿宋_GB2312"/>
              </w:rPr>
              <w:t>19、主要材料价格依据《陕西工程造价信息》2026年第4期及市场价。</w:t>
            </w:r>
          </w:p>
          <w:p>
            <w:pPr>
              <w:pStyle w:val="null3"/>
            </w:pPr>
            <w:r>
              <w:rPr>
                <w:rFonts w:ascii="仿宋_GB2312" w:hAnsi="仿宋_GB2312" w:cs="仿宋_GB2312" w:eastAsia="仿宋_GB2312"/>
              </w:rPr>
              <w:t>二、其他说明</w:t>
            </w:r>
          </w:p>
          <w:p>
            <w:pPr>
              <w:pStyle w:val="null3"/>
            </w:pPr>
            <w:r>
              <w:rPr>
                <w:rFonts w:ascii="仿宋_GB2312" w:hAnsi="仿宋_GB2312" w:cs="仿宋_GB2312" w:eastAsia="仿宋_GB2312"/>
              </w:rPr>
              <w:t>1、本项目所有混凝土均采用商品混凝土；</w:t>
            </w:r>
          </w:p>
          <w:p>
            <w:pPr>
              <w:pStyle w:val="null3"/>
            </w:pPr>
            <w:r>
              <w:rPr>
                <w:rFonts w:ascii="仿宋_GB2312" w:hAnsi="仿宋_GB2312" w:cs="仿宋_GB2312" w:eastAsia="仿宋_GB2312"/>
              </w:rPr>
              <w:t>2、本项目均采用预拌砂浆；</w:t>
            </w:r>
          </w:p>
          <w:p>
            <w:pPr>
              <w:pStyle w:val="null3"/>
            </w:pPr>
            <w:r>
              <w:rPr>
                <w:rFonts w:ascii="仿宋_GB2312" w:hAnsi="仿宋_GB2312" w:cs="仿宋_GB2312" w:eastAsia="仿宋_GB2312"/>
              </w:rPr>
              <w:t>3、采用广联达计价软件GCCP7.0(版本:7.5000.23.3)。</w:t>
            </w:r>
          </w:p>
          <w:p>
            <w:pPr>
              <w:pStyle w:val="null3"/>
            </w:pPr>
            <w:r>
              <w:rPr>
                <w:rFonts w:ascii="仿宋_GB2312" w:hAnsi="仿宋_GB2312" w:cs="仿宋_GB2312" w:eastAsia="仿宋_GB2312"/>
              </w:rPr>
              <w:t>4、暂列金：122773.65元（不含税）。</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支付约定：工程竣工验收合格结算完成后支付至结算金额的97%,剩余3%作为质保金，工程竣工验收合格满两年确无质量问题时退还。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质量标准：符合国家及地方现行有关施工质量验收规范“合格”要求。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合同价款应是采购范围内全部工作内容的价格体现。包括人工费、材料费、机械费、设备费、安装费、管理费、社保费、代理服务费、税金等其他一切相关费用。供应商所报的价格应考虑到可能发生的所有与完成本项目相关服务及履行合同义务有关的一切费用。任何有选择的报价将不予接受，按无效磋商处理。 2、项目属性：工程 3、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按照西安市财政局关于促进政府采购公平竞争优化营商环境的通知&gt;(市财函(2021)431号)规定:投标人登记免费领取招标文件的，如不参与项目投标，应在递交投标文件截止时间前一日以书面形式告知采购代理机构。否则，采购代理机构可以向财政部门反映情况并提供相应的佐证。投标人一年内累计出现三次该情形，将被监管部门记录为失信行为。 5、本项目是否属于信用担保试点范围：否。 6、若为授权代表参加磋商，响应文件中需提供被授权代表开标前三个月内任意一个月在本单位的社保缴纳证明。 7、供应商提交二次最终报价时，须同步上传更新后的已标价工程量清单。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法定代表人（负责人）授权委托书/法定代表人（负责人）身份证明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法定代表人授权书（附法定代表人、被授权人身份证复印件）（法定代表人直接参加协商，须提供法定代表人身份证明）；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供应商须同时具备建设行政主管部门颁发的建筑工程施工总承包三级及以上资质，且具备合格有效的安全生产许可证；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拟派项目经理具备房屋建筑工程专业注册建造师二级及以上执业资格及其本人具有有效的安全生产考核合格证（建安B证），在本单位注册且无在建工程；</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施工组织设计 中小企业声明函 业绩 商务条款偏离表 响应文件封面 资格证明文件 残疾人福利性单位声明函 报价函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供应商提供的响应文件内容无实质性遗漏</w:t>
            </w:r>
          </w:p>
        </w:tc>
        <w:tc>
          <w:tcPr>
            <w:tcW w:type="dxa" w:w="1661"/>
          </w:tcPr>
          <w:p>
            <w:pPr>
              <w:pStyle w:val="null3"/>
            </w:pPr>
            <w:r>
              <w:rPr>
                <w:rFonts w:ascii="仿宋_GB2312" w:hAnsi="仿宋_GB2312" w:cs="仿宋_GB2312" w:eastAsia="仿宋_GB2312"/>
              </w:rPr>
              <w:t>已标价工程量清单 施工组织设计 中小企业声明函 业绩 商务条款偏离表 响应文件封面 资格证明文件 残疾人福利性单位声明函 报价函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中小企业声明函 业绩 商务条款偏离表 响应文件封面 资格证明文件 残疾人福利性单位声明函 报价函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中小企业声明函 业绩 商务条款偏离表 响应文件封面 资格证明文件 残疾人福利性单位声明函 报价函 其它说明 标的清单 陕西省政府采购供应商拒绝政府采购领域商业贿赂承诺书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施工实施方案</w:t>
            </w:r>
          </w:p>
        </w:tc>
        <w:tc>
          <w:tcPr>
            <w:tcW w:type="dxa" w:w="2492"/>
          </w:tcPr>
          <w:p>
            <w:pPr>
              <w:pStyle w:val="null3"/>
            </w:pPr>
            <w:r>
              <w:rPr>
                <w:rFonts w:ascii="仿宋_GB2312" w:hAnsi="仿宋_GB2312" w:cs="仿宋_GB2312" w:eastAsia="仿宋_GB2312"/>
              </w:rPr>
              <w:t>一、评审内容 供应商针对本项目编制完善的施工实施方案，内容包含： ①施工部署；②施工方案；③进度计划和工期保证措施；④项目的材料及机具配备保证措施。 二、评审标准 1.完整性：方案必须全面，对评审内容中的各项要求有详细描述； 2.可实施性：切合本项目实际情况，提出步骤清晰、合理的方案； 3.针对性：方案能够紧扣项目实际情况，内容科学合理。 三、赋分标准 ①施工部署：每完全满足一个评审标准得2分，有瑕疵得1分，有缺项漏项得0分。满分6分； ②施工方案：每完全满足一个评审标准得2分，有瑕疵得1分，有缺项漏项得0分。满分6分； ③进度计划和工期保证措施：每完全满足一个评审标准得2分，有瑕疵得1分，有缺项漏项得0分。满分6分； ④项目的材料及机具配备保证措施：每完全满足一个评审标准得2分，有瑕疵得1分，有缺项漏项得0分。满分6分；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保障管理方案</w:t>
            </w:r>
          </w:p>
        </w:tc>
        <w:tc>
          <w:tcPr>
            <w:tcW w:type="dxa" w:w="2492"/>
          </w:tcPr>
          <w:p>
            <w:pPr>
              <w:pStyle w:val="null3"/>
            </w:pPr>
            <w:r>
              <w:rPr>
                <w:rFonts w:ascii="仿宋_GB2312" w:hAnsi="仿宋_GB2312" w:cs="仿宋_GB2312" w:eastAsia="仿宋_GB2312"/>
              </w:rPr>
              <w:t>一、评审内容 供应商针对本项目编制完善的保障管理方案，内容包含： ①施工质量保证措施； ②安全文明施工方案； ③现场环保（噪音、扬尘）措施及运输保证措施； ④项目周边关系协调方案； ⑤突发事件应急保证措施。 二、评审标准 1.完整性：方案必须全面，对评审内容中的各项要求有详细描述； 2.可实施性：切合本项目实际情况，提出步骤清晰、合理的方案； 3.针对性：方案能够紧扣项目实际情况，内容科学合理。 三、赋分标准 ①施工质量保证措施：每完全满足一个评审标准得2分，有瑕疵得1分，有缺项漏项得0分。满分6分； ②安全文明施工方案：每完全满足一个评审标准得2分，有瑕疵得1分，有缺项漏项得0分。满分6分； ③现场环保（噪音、扬尘）措施及运输保证措施：每完全满足一个评审标准得2分，有瑕疵得1分，有缺项漏项得0分。满分6分； ④项目周边关系协调方案：每完全满足一个评审标准得2分，有瑕疵得1分，有缺项漏项得0分。满分6分； ⑤突发事件应急保证措施：每完全满足一个评审标准得2分，有瑕疵得1分，有缺项漏项得0分。满分6分。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项目部人员团队组成</w:t>
            </w:r>
          </w:p>
        </w:tc>
        <w:tc>
          <w:tcPr>
            <w:tcW w:type="dxa" w:w="2492"/>
          </w:tcPr>
          <w:p>
            <w:pPr>
              <w:pStyle w:val="null3"/>
            </w:pPr>
            <w:r>
              <w:rPr>
                <w:rFonts w:ascii="仿宋_GB2312" w:hAnsi="仿宋_GB2312" w:cs="仿宋_GB2312" w:eastAsia="仿宋_GB2312"/>
              </w:rPr>
              <w:t>一、评审内容： 项目部人员组成及架构。 二、评审标准： 1、完整性：组织机构的运行配备完善、各岗位人员分工明确合理。 2、针对性：人员数量充足，人员资格/年龄等符合采购需求。 3、专业性：人员相关岗位经验丰富，切合本项目实际情况。 三、赋分标准： 每完全满足一项评审标准得2分，有瑕疵得1分，有缺项漏项得0分。满分6分。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提供2023年1月1日（以合同签订时间为准）以来的类似施工项目业绩（以合同关键页的扫描件为计分依据），每个有效业绩得5分，满分10分。 注：合同关键页须包括首页、金额页、加盖甲乙双方公章或合同章的合同关键页。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