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CBB03">
      <w:pPr>
        <w:adjustRightInd w:val="0"/>
        <w:snapToGrid w:val="0"/>
        <w:spacing w:line="360" w:lineRule="auto"/>
        <w:jc w:val="right"/>
        <w:rPr>
          <w:rFonts w:ascii="宋体" w:cs="Times New Roman"/>
          <w:b/>
          <w:bCs/>
          <w:color w:val="auto"/>
          <w:sz w:val="30"/>
          <w:szCs w:val="30"/>
        </w:rPr>
      </w:pPr>
      <w:bookmarkStart w:id="0" w:name="OLE_LINK9"/>
      <w:bookmarkStart w:id="206" w:name="_GoBack"/>
      <w:bookmarkEnd w:id="206"/>
      <w:r>
        <w:rPr>
          <w:rFonts w:hint="eastAsia" w:ascii="宋体" w:hAnsi="宋体" w:cs="宋体"/>
          <w:b/>
          <w:bCs/>
          <w:color w:val="auto"/>
          <w:sz w:val="30"/>
          <w:szCs w:val="30"/>
        </w:rPr>
        <w:t>政府采购项目</w:t>
      </w:r>
    </w:p>
    <w:p w14:paraId="6A4CAE50">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2"/>
          <w:szCs w:val="32"/>
          <w:lang w:eastAsia="zh-CN"/>
        </w:rPr>
        <w:t>项目编号：AKSH2026-ZCS-042</w:t>
      </w:r>
      <w:r>
        <w:rPr>
          <w:rFonts w:hint="eastAsia" w:ascii="宋体" w:cs="Times New Roman"/>
          <w:b/>
          <w:bCs/>
          <w:color w:val="auto"/>
          <w:sz w:val="44"/>
          <w:szCs w:val="44"/>
        </w:rPr>
        <w:tab/>
      </w:r>
    </w:p>
    <w:p w14:paraId="6F47915C">
      <w:pPr>
        <w:pStyle w:val="11"/>
        <w:rPr>
          <w:color w:val="auto"/>
        </w:rPr>
      </w:pPr>
    </w:p>
    <w:p w14:paraId="37A32AF2">
      <w:pPr>
        <w:pStyle w:val="11"/>
        <w:rPr>
          <w:color w:val="auto"/>
        </w:rPr>
      </w:pPr>
    </w:p>
    <w:p w14:paraId="79903E40">
      <w:pPr>
        <w:pStyle w:val="20"/>
        <w:keepNext w:val="0"/>
        <w:keepLines w:val="0"/>
        <w:pageBreakBefore w:val="0"/>
        <w:widowControl w:val="0"/>
        <w:kinsoku/>
        <w:wordWrap/>
        <w:overflowPunct/>
        <w:topLinePunct w:val="0"/>
        <w:autoSpaceDE/>
        <w:autoSpaceDN/>
        <w:bidi w:val="0"/>
        <w:adjustRightInd/>
        <w:snapToGrid w:val="0"/>
        <w:spacing w:before="268" w:beforeLines="80" w:line="700" w:lineRule="exact"/>
        <w:jc w:val="center"/>
        <w:textAlignment w:val="auto"/>
        <w:rPr>
          <w:rFonts w:hint="default" w:ascii="宋体" w:hAnsi="宋体" w:eastAsia="宋体" w:cs="宋体"/>
          <w:b/>
          <w:bCs/>
          <w:color w:val="auto"/>
          <w:kern w:val="2"/>
          <w:sz w:val="56"/>
          <w:szCs w:val="56"/>
          <w:lang w:val="en-US" w:eastAsia="zh-CN" w:bidi="ar-SA"/>
        </w:rPr>
      </w:pPr>
      <w:r>
        <w:rPr>
          <w:rFonts w:hint="eastAsia" w:ascii="宋体" w:hAnsi="宋体" w:cs="宋体"/>
          <w:b/>
          <w:bCs/>
          <w:color w:val="auto"/>
          <w:kern w:val="2"/>
          <w:sz w:val="56"/>
          <w:szCs w:val="56"/>
          <w:lang w:val="en-US" w:eastAsia="zh-CN" w:bidi="ar-SA"/>
        </w:rPr>
        <w:t>安康职业技术学院附属小学绿化升级改造项目</w:t>
      </w:r>
    </w:p>
    <w:p w14:paraId="3DEBAA8A">
      <w:pPr>
        <w:pStyle w:val="20"/>
        <w:jc w:val="center"/>
        <w:rPr>
          <w:rFonts w:hint="default"/>
          <w:color w:val="auto"/>
          <w:lang w:val="en-US"/>
        </w:rPr>
      </w:pPr>
    </w:p>
    <w:p w14:paraId="0F5EC295">
      <w:pPr>
        <w:pStyle w:val="20"/>
        <w:rPr>
          <w:color w:val="auto"/>
        </w:rPr>
      </w:pPr>
    </w:p>
    <w:p w14:paraId="28137793">
      <w:pPr>
        <w:pStyle w:val="20"/>
        <w:rPr>
          <w:color w:val="auto"/>
        </w:rPr>
      </w:pPr>
    </w:p>
    <w:p w14:paraId="4634BCB9">
      <w:pPr>
        <w:pStyle w:val="20"/>
        <w:rPr>
          <w:color w:val="auto"/>
        </w:rPr>
      </w:pPr>
    </w:p>
    <w:p w14:paraId="73B1E329">
      <w:pPr>
        <w:pStyle w:val="20"/>
        <w:rPr>
          <w:color w:val="auto"/>
        </w:rPr>
      </w:pPr>
    </w:p>
    <w:p w14:paraId="1B5769BB">
      <w:pPr>
        <w:pStyle w:val="20"/>
        <w:rPr>
          <w:color w:val="auto"/>
        </w:rPr>
      </w:pPr>
    </w:p>
    <w:p w14:paraId="7CD931C9">
      <w:pPr>
        <w:pStyle w:val="20"/>
        <w:rPr>
          <w:color w:val="auto"/>
        </w:rPr>
      </w:pPr>
    </w:p>
    <w:p w14:paraId="4AB04932">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599474" cy="1157901"/>
                    </a:xfrm>
                    <a:prstGeom prst="rect">
                      <a:avLst/>
                    </a:prstGeom>
                  </pic:spPr>
                </pic:pic>
              </a:graphicData>
            </a:graphic>
          </wp:anchor>
        </w:drawing>
      </w:r>
      <w:r>
        <w:rPr>
          <w:rFonts w:hint="eastAsia" w:ascii="宋体" w:cs="Times New Roman"/>
          <w:b/>
          <w:bCs/>
          <w:color w:val="auto"/>
          <w:sz w:val="52"/>
          <w:szCs w:val="52"/>
        </w:rPr>
        <w:t xml:space="preserve"> </w:t>
      </w:r>
    </w:p>
    <w:p w14:paraId="7BA40A56">
      <w:pPr>
        <w:adjustRightInd w:val="0"/>
        <w:snapToGrid w:val="0"/>
        <w:spacing w:line="360" w:lineRule="auto"/>
        <w:jc w:val="left"/>
        <w:rPr>
          <w:rFonts w:hint="eastAsia" w:ascii="宋体" w:cs="Times New Roman"/>
          <w:b/>
          <w:bCs/>
          <w:color w:val="auto"/>
          <w:sz w:val="52"/>
          <w:szCs w:val="52"/>
        </w:rPr>
      </w:pPr>
      <w:r>
        <w:rPr>
          <w:rFonts w:hint="eastAsia" w:ascii="宋体" w:cs="Times New Roman"/>
          <w:b/>
          <w:bCs/>
          <w:color w:val="auto"/>
          <w:sz w:val="52"/>
          <w:szCs w:val="52"/>
        </w:rPr>
        <w:t xml:space="preserve">          </w:t>
      </w:r>
    </w:p>
    <w:p w14:paraId="0A9798BC">
      <w:pPr>
        <w:pStyle w:val="11"/>
        <w:rPr>
          <w:color w:val="auto"/>
        </w:rPr>
      </w:pPr>
    </w:p>
    <w:p w14:paraId="62BE3946">
      <w:pPr>
        <w:tabs>
          <w:tab w:val="left" w:pos="0"/>
        </w:tabs>
        <w:adjustRightInd w:val="0"/>
        <w:snapToGrid w:val="0"/>
        <w:spacing w:line="360" w:lineRule="auto"/>
        <w:ind w:firstLine="2811" w:firstLineChars="500"/>
        <w:rPr>
          <w:rFonts w:hint="eastAsia" w:ascii="宋体" w:hAnsi="宋体" w:cs="宋体"/>
          <w:b/>
          <w:bCs/>
          <w:color w:val="auto"/>
          <w:sz w:val="56"/>
          <w:szCs w:val="56"/>
        </w:rPr>
      </w:pPr>
    </w:p>
    <w:p w14:paraId="5ABB4DDD">
      <w:pPr>
        <w:tabs>
          <w:tab w:val="left" w:pos="0"/>
        </w:tabs>
        <w:adjustRightInd w:val="0"/>
        <w:snapToGrid w:val="0"/>
        <w:spacing w:line="360" w:lineRule="auto"/>
        <w:ind w:firstLine="2811" w:firstLineChars="500"/>
        <w:rPr>
          <w:rFonts w:ascii="宋体" w:hAnsi="宋体" w:cs="宋体"/>
          <w:b/>
          <w:bCs/>
          <w:color w:val="auto"/>
          <w:sz w:val="56"/>
          <w:szCs w:val="56"/>
        </w:rPr>
      </w:pPr>
      <w:r>
        <w:rPr>
          <w:rFonts w:hint="eastAsia" w:ascii="宋体" w:hAnsi="宋体" w:cs="宋体"/>
          <w:b/>
          <w:bCs/>
          <w:color w:val="auto"/>
          <w:sz w:val="56"/>
          <w:szCs w:val="56"/>
        </w:rPr>
        <w:t>竞争性磋商文件</w:t>
      </w:r>
    </w:p>
    <w:p w14:paraId="06ACC4DA">
      <w:pPr>
        <w:pStyle w:val="20"/>
        <w:rPr>
          <w:color w:val="auto"/>
        </w:rPr>
      </w:pPr>
    </w:p>
    <w:p w14:paraId="06EA8B86">
      <w:pPr>
        <w:pStyle w:val="20"/>
        <w:rPr>
          <w:color w:val="auto"/>
        </w:rPr>
      </w:pPr>
    </w:p>
    <w:p w14:paraId="44F4A091">
      <w:pPr>
        <w:pStyle w:val="20"/>
        <w:rPr>
          <w:color w:val="auto"/>
        </w:rPr>
      </w:pPr>
    </w:p>
    <w:p w14:paraId="78C9CDD7">
      <w:pPr>
        <w:pStyle w:val="20"/>
        <w:rPr>
          <w:color w:val="auto"/>
        </w:rPr>
      </w:pPr>
    </w:p>
    <w:p w14:paraId="5F27DA37">
      <w:pPr>
        <w:pStyle w:val="20"/>
        <w:rPr>
          <w:color w:val="auto"/>
        </w:rPr>
      </w:pPr>
    </w:p>
    <w:p w14:paraId="31948178">
      <w:pPr>
        <w:pStyle w:val="20"/>
        <w:rPr>
          <w:color w:val="auto"/>
        </w:rPr>
      </w:pPr>
    </w:p>
    <w:p w14:paraId="0A9D1EC7">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hint="eastAsia"/>
          <w:color w:val="auto"/>
          <w:sz w:val="22"/>
          <w:szCs w:val="22"/>
        </w:rPr>
      </w:pPr>
      <w:r>
        <w:rPr>
          <w:rFonts w:hint="eastAsia" w:ascii="宋体" w:hAnsi="宋体" w:cs="宋体"/>
          <w:b/>
          <w:bCs/>
          <w:color w:val="auto"/>
          <w:sz w:val="32"/>
          <w:szCs w:val="32"/>
        </w:rPr>
        <w:t>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人：</w:t>
      </w:r>
      <w:r>
        <w:rPr>
          <w:rFonts w:hint="eastAsia" w:ascii="宋体" w:hAnsi="宋体" w:cs="宋体"/>
          <w:b/>
          <w:bCs/>
          <w:color w:val="auto"/>
          <w:sz w:val="32"/>
          <w:szCs w:val="32"/>
          <w:lang w:val="en-US" w:eastAsia="zh-CN"/>
        </w:rPr>
        <w:t>安康职业技术学院附属小学</w:t>
      </w:r>
    </w:p>
    <w:p w14:paraId="6618C29D">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ascii="宋体" w:hAnsi="宋体" w:cs="宋体"/>
          <w:b/>
          <w:bCs/>
          <w:color w:val="auto"/>
          <w:sz w:val="32"/>
          <w:szCs w:val="32"/>
        </w:rPr>
      </w:pPr>
      <w:r>
        <w:rPr>
          <w:rFonts w:hint="eastAsia" w:ascii="宋体" w:hAnsi="宋体" w:cs="宋体"/>
          <w:b/>
          <w:bCs/>
          <w:color w:val="auto"/>
          <w:sz w:val="32"/>
          <w:szCs w:val="32"/>
        </w:rPr>
        <w:t>代理机构：安康尚昊招标代理有限公司</w:t>
      </w:r>
    </w:p>
    <w:p w14:paraId="5ECF79F1">
      <w:pPr>
        <w:keepNext w:val="0"/>
        <w:keepLines w:val="0"/>
        <w:pageBreakBefore w:val="0"/>
        <w:widowControl w:val="0"/>
        <w:kinsoku/>
        <w:wordWrap/>
        <w:overflowPunct/>
        <w:topLinePunct w:val="0"/>
        <w:autoSpaceDE/>
        <w:autoSpaceDN/>
        <w:bidi w:val="0"/>
        <w:adjustRightInd w:val="0"/>
        <w:snapToGrid w:val="0"/>
        <w:spacing w:line="480" w:lineRule="auto"/>
        <w:ind w:firstLine="1928" w:firstLineChars="600"/>
        <w:jc w:val="left"/>
        <w:textAlignment w:val="auto"/>
        <w:rPr>
          <w:rFonts w:hint="eastAsia" w:ascii="宋体" w:eastAsia="宋体" w:cs="Times New Roman"/>
          <w:b/>
          <w:bCs/>
          <w:color w:val="auto"/>
          <w:sz w:val="30"/>
          <w:szCs w:val="30"/>
          <w:lang w:eastAsia="zh-CN"/>
        </w:rPr>
        <w:sectPr>
          <w:headerReference r:id="rId4" w:type="first"/>
          <w:headerReference r:id="rId3" w:type="default"/>
          <w:footerReference r:id="rId5" w:type="default"/>
          <w:pgSz w:w="11906" w:h="16838"/>
          <w:pgMar w:top="1417" w:right="1417" w:bottom="1417" w:left="1417" w:header="850" w:footer="992" w:gutter="0"/>
          <w:cols w:space="0" w:num="1"/>
          <w:titlePg/>
          <w:rtlGutter w:val="0"/>
          <w:docGrid w:type="lines" w:linePitch="333" w:charSpace="0"/>
        </w:sectPr>
      </w:pPr>
      <w:r>
        <w:rPr>
          <w:rFonts w:hint="eastAsia" w:ascii="宋体" w:hAnsi="宋体" w:cs="宋体"/>
          <w:b/>
          <w:bCs/>
          <w:color w:val="auto"/>
          <w:sz w:val="32"/>
          <w:szCs w:val="32"/>
          <w:lang w:val="en-US" w:eastAsia="zh-CN"/>
        </w:rPr>
        <w:t>时    间：</w:t>
      </w:r>
      <w:r>
        <w:rPr>
          <w:rFonts w:hint="eastAsia" w:ascii="宋体" w:hAnsi="宋体" w:cs="宋体"/>
          <w:b/>
          <w:bCs/>
          <w:color w:val="auto"/>
          <w:sz w:val="32"/>
          <w:szCs w:val="32"/>
          <w:lang w:eastAsia="zh-CN"/>
        </w:rPr>
        <w:t>二〇二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lang w:eastAsia="zh-CN"/>
        </w:rPr>
        <w:t>年</w:t>
      </w:r>
      <w:r>
        <w:rPr>
          <w:rFonts w:hint="eastAsia" w:ascii="宋体" w:hAnsi="宋体" w:cs="宋体"/>
          <w:b/>
          <w:bCs/>
          <w:color w:val="auto"/>
          <w:sz w:val="32"/>
          <w:szCs w:val="32"/>
          <w:lang w:val="en-US" w:eastAsia="zh-CN"/>
        </w:rPr>
        <w:t>五</w:t>
      </w:r>
      <w:r>
        <w:rPr>
          <w:rFonts w:hint="eastAsia" w:ascii="宋体" w:hAnsi="宋体" w:cs="宋体"/>
          <w:b/>
          <w:bCs/>
          <w:color w:val="auto"/>
          <w:sz w:val="32"/>
          <w:szCs w:val="32"/>
          <w:lang w:eastAsia="zh-CN"/>
        </w:rPr>
        <w:t>月</w:t>
      </w:r>
    </w:p>
    <w:p w14:paraId="3068AD59">
      <w:pPr>
        <w:pStyle w:val="22"/>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5CF517A5">
      <w:pPr>
        <w:pStyle w:val="22"/>
        <w:tabs>
          <w:tab w:val="center" w:pos="4819"/>
          <w:tab w:val="left" w:pos="6069"/>
          <w:tab w:val="right" w:leader="dot" w:pos="8306"/>
        </w:tabs>
        <w:spacing w:before="0" w:after="0" w:line="480" w:lineRule="exact"/>
        <w:jc w:val="center"/>
        <w:rPr>
          <w:rFonts w:ascii="宋体" w:hAnsi="宋体" w:cs="宋体"/>
          <w:b w:val="0"/>
          <w:bCs w:val="0"/>
          <w:color w:val="auto"/>
          <w:sz w:val="48"/>
          <w:szCs w:val="52"/>
        </w:rPr>
      </w:pPr>
      <w:r>
        <w:rPr>
          <w:rFonts w:hint="eastAsia" w:ascii="宋体" w:hAnsi="宋体" w:cs="宋体"/>
          <w:b w:val="0"/>
          <w:bCs w:val="0"/>
          <w:color w:val="auto"/>
          <w:sz w:val="48"/>
          <w:szCs w:val="52"/>
        </w:rPr>
        <w:t xml:space="preserve">目 </w:t>
      </w:r>
      <w:r>
        <w:rPr>
          <w:rFonts w:ascii="宋体" w:hAnsi="宋体" w:cs="宋体"/>
          <w:b w:val="0"/>
          <w:bCs w:val="0"/>
          <w:color w:val="auto"/>
          <w:sz w:val="48"/>
          <w:szCs w:val="52"/>
        </w:rPr>
        <w:t xml:space="preserve"> </w:t>
      </w:r>
      <w:r>
        <w:rPr>
          <w:rFonts w:hint="eastAsia" w:ascii="宋体" w:hAnsi="宋体" w:cs="宋体"/>
          <w:b w:val="0"/>
          <w:bCs w:val="0"/>
          <w:color w:val="auto"/>
          <w:sz w:val="48"/>
          <w:szCs w:val="52"/>
        </w:rPr>
        <w:t>录</w:t>
      </w:r>
    </w:p>
    <w:p w14:paraId="304F0F7F">
      <w:pPr>
        <w:rPr>
          <w:color w:val="auto"/>
          <w:sz w:val="18"/>
          <w:szCs w:val="18"/>
        </w:rPr>
      </w:pPr>
    </w:p>
    <w:p w14:paraId="21CE62DA">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bookmarkStart w:id="1" w:name="_Toc536429369"/>
      <w:bookmarkStart w:id="2" w:name="_Toc536202282"/>
      <w:bookmarkStart w:id="3" w:name="_Toc19543333"/>
      <w:bookmarkStart w:id="4" w:name="_Toc536202376"/>
      <w:bookmarkStart w:id="5" w:name="OLE_LINK3"/>
      <w:bookmarkStart w:id="6" w:name="_Toc30089"/>
      <w:bookmarkStart w:id="7" w:name="_Toc438048787"/>
      <w:r>
        <w:rPr>
          <w:rFonts w:hint="eastAsia" w:ascii="宋体" w:hAnsi="宋体" w:eastAsia="宋体" w:cs="宋体"/>
          <w:caps w:val="0"/>
          <w:color w:val="auto"/>
          <w:sz w:val="24"/>
          <w:szCs w:val="24"/>
        </w:rPr>
        <w:fldChar w:fldCharType="begin"/>
      </w:r>
      <w:r>
        <w:rPr>
          <w:rFonts w:hint="eastAsia" w:ascii="宋体" w:hAnsi="宋体" w:eastAsia="宋体" w:cs="宋体"/>
          <w:caps w:val="0"/>
          <w:color w:val="auto"/>
          <w:sz w:val="24"/>
          <w:szCs w:val="24"/>
        </w:rPr>
        <w:instrText xml:space="preserve"> TOC \o "1-1" \h \z \u </w:instrText>
      </w:r>
      <w:r>
        <w:rPr>
          <w:rFonts w:hint="eastAsia" w:ascii="宋体" w:hAnsi="宋体" w:eastAsia="宋体" w:cs="宋体"/>
          <w:caps w:val="0"/>
          <w:color w:val="auto"/>
          <w:sz w:val="24"/>
          <w:szCs w:val="24"/>
        </w:rPr>
        <w:fldChar w:fldCharType="separate"/>
      </w:r>
      <w:r>
        <w:rPr>
          <w:rFonts w:hint="eastAsia" w:ascii="宋体" w:hAnsi="宋体" w:eastAsia="宋体" w:cs="宋体"/>
          <w:b w:val="0"/>
          <w:bCs w:val="0"/>
          <w:caps w:val="0"/>
          <w:color w:val="auto"/>
          <w:sz w:val="28"/>
          <w:szCs w:val="48"/>
        </w:rPr>
        <w:fldChar w:fldCharType="begin"/>
      </w:r>
      <w:r>
        <w:rPr>
          <w:rFonts w:hint="eastAsia" w:ascii="宋体" w:hAnsi="宋体" w:eastAsia="宋体" w:cs="宋体"/>
          <w:b w:val="0"/>
          <w:bCs w:val="0"/>
          <w:caps w:val="0"/>
          <w:color w:val="auto"/>
          <w:sz w:val="28"/>
          <w:szCs w:val="48"/>
        </w:rPr>
        <w:instrText xml:space="preserve"> HYPERLINK \l _Toc23261 </w:instrText>
      </w:r>
      <w:r>
        <w:rPr>
          <w:rFonts w:hint="eastAsia" w:ascii="宋体" w:hAnsi="宋体" w:eastAsia="宋体" w:cs="宋体"/>
          <w:b w:val="0"/>
          <w:bCs w:val="0"/>
          <w:caps w:val="0"/>
          <w:color w:val="auto"/>
          <w:sz w:val="28"/>
          <w:szCs w:val="48"/>
        </w:rPr>
        <w:fldChar w:fldCharType="separate"/>
      </w:r>
      <w:r>
        <w:rPr>
          <w:rFonts w:hint="eastAsia"/>
          <w:b w:val="0"/>
          <w:bCs w:val="0"/>
          <w:color w:val="auto"/>
          <w:sz w:val="28"/>
          <w:szCs w:val="28"/>
        </w:rPr>
        <w:t>第一部分  竞争性</w:t>
      </w:r>
      <w:r>
        <w:rPr>
          <w:b w:val="0"/>
          <w:bCs w:val="0"/>
          <w:color w:val="auto"/>
          <w:sz w:val="28"/>
          <w:szCs w:val="28"/>
        </w:rPr>
        <w:t>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_Toc23261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rFonts w:hint="eastAsia" w:ascii="宋体" w:hAnsi="宋体" w:eastAsia="宋体" w:cs="宋体"/>
          <w:b w:val="0"/>
          <w:bCs w:val="0"/>
          <w:caps w:val="0"/>
          <w:color w:val="auto"/>
          <w:sz w:val="28"/>
          <w:szCs w:val="48"/>
        </w:rPr>
        <w:fldChar w:fldCharType="end"/>
      </w:r>
    </w:p>
    <w:p w14:paraId="2AE1BD5D">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_Toc29239 </w:instrText>
      </w:r>
      <w:r>
        <w:rPr>
          <w:rFonts w:hint="eastAsia" w:ascii="宋体" w:hAnsi="宋体" w:eastAsia="宋体" w:cs="宋体"/>
          <w:b w:val="0"/>
          <w:bCs w:val="0"/>
          <w:caps/>
          <w:color w:val="auto"/>
          <w:kern w:val="2"/>
          <w:sz w:val="28"/>
          <w:szCs w:val="48"/>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_Toc29239 \h </w:instrText>
      </w:r>
      <w:r>
        <w:rPr>
          <w:b w:val="0"/>
          <w:bCs w:val="0"/>
          <w:color w:val="auto"/>
          <w:sz w:val="28"/>
          <w:szCs w:val="28"/>
        </w:rPr>
        <w:fldChar w:fldCharType="separate"/>
      </w:r>
      <w:r>
        <w:rPr>
          <w:b w:val="0"/>
          <w:bCs w:val="0"/>
          <w:color w:val="auto"/>
          <w:sz w:val="28"/>
          <w:szCs w:val="28"/>
        </w:rPr>
        <w:t>5</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1023A365">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_Toc23902 </w:instrText>
      </w:r>
      <w:r>
        <w:rPr>
          <w:rFonts w:hint="eastAsia" w:ascii="宋体" w:hAnsi="宋体" w:eastAsia="宋体" w:cs="宋体"/>
          <w:b w:val="0"/>
          <w:bCs w:val="0"/>
          <w:caps/>
          <w:color w:val="auto"/>
          <w:kern w:val="2"/>
          <w:sz w:val="28"/>
          <w:szCs w:val="48"/>
        </w:rPr>
        <w:fldChar w:fldCharType="separate"/>
      </w:r>
      <w:r>
        <w:rPr>
          <w:rFonts w:hint="eastAsia" w:ascii="宋体" w:hAnsi="宋体" w:cs="宋体"/>
          <w:b w:val="0"/>
          <w:bCs w:val="0"/>
          <w:color w:val="auto"/>
          <w:sz w:val="28"/>
          <w:szCs w:val="28"/>
        </w:rPr>
        <w:t xml:space="preserve">第三部分 </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_Toc23902 \h </w:instrText>
      </w:r>
      <w:r>
        <w:rPr>
          <w:b w:val="0"/>
          <w:bCs w:val="0"/>
          <w:color w:val="auto"/>
          <w:sz w:val="28"/>
          <w:szCs w:val="28"/>
        </w:rPr>
        <w:fldChar w:fldCharType="separate"/>
      </w:r>
      <w:r>
        <w:rPr>
          <w:b w:val="0"/>
          <w:bCs w:val="0"/>
          <w:color w:val="auto"/>
          <w:sz w:val="28"/>
          <w:szCs w:val="28"/>
        </w:rPr>
        <w:t>8</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1D1D8E07">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_Toc31992 </w:instrText>
      </w:r>
      <w:r>
        <w:rPr>
          <w:rFonts w:hint="eastAsia" w:ascii="宋体" w:hAnsi="宋体" w:eastAsia="宋体" w:cs="宋体"/>
          <w:b w:val="0"/>
          <w:bCs w:val="0"/>
          <w:caps/>
          <w:color w:val="auto"/>
          <w:kern w:val="2"/>
          <w:sz w:val="28"/>
          <w:szCs w:val="48"/>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_Toc31992 \h </w:instrText>
      </w:r>
      <w:r>
        <w:rPr>
          <w:b w:val="0"/>
          <w:bCs w:val="0"/>
          <w:color w:val="auto"/>
          <w:sz w:val="28"/>
          <w:szCs w:val="28"/>
        </w:rPr>
        <w:fldChar w:fldCharType="separate"/>
      </w:r>
      <w:r>
        <w:rPr>
          <w:b w:val="0"/>
          <w:bCs w:val="0"/>
          <w:color w:val="auto"/>
          <w:sz w:val="28"/>
          <w:szCs w:val="28"/>
        </w:rPr>
        <w:t>25</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7C4CCDC7">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_Toc23786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第五部分 </w:t>
      </w:r>
      <w:r>
        <w:rPr>
          <w:rFonts w:hint="eastAsia"/>
          <w:b w:val="0"/>
          <w:bCs w:val="0"/>
          <w:color w:val="auto"/>
          <w:sz w:val="28"/>
          <w:szCs w:val="28"/>
          <w:lang w:val="en-US" w:eastAsia="zh-CN"/>
        </w:rPr>
        <w:t xml:space="preserve"> </w:t>
      </w:r>
      <w:r>
        <w:rPr>
          <w:rFonts w:hint="eastAsia" w:eastAsia="宋体"/>
          <w:b w:val="0"/>
          <w:bCs w:val="0"/>
          <w:color w:val="auto"/>
          <w:sz w:val="28"/>
          <w:szCs w:val="28"/>
        </w:rPr>
        <w:t>采购内容及</w:t>
      </w:r>
      <w:r>
        <w:rPr>
          <w:rFonts w:hint="eastAsia" w:eastAsia="宋体"/>
          <w:b w:val="0"/>
          <w:bCs w:val="0"/>
          <w:color w:val="auto"/>
          <w:sz w:val="28"/>
          <w:szCs w:val="28"/>
          <w:lang w:eastAsia="zh-CN"/>
        </w:rPr>
        <w:t>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_Toc23786 \h </w:instrText>
      </w:r>
      <w:r>
        <w:rPr>
          <w:b w:val="0"/>
          <w:bCs w:val="0"/>
          <w:color w:val="auto"/>
          <w:sz w:val="28"/>
          <w:szCs w:val="28"/>
        </w:rPr>
        <w:fldChar w:fldCharType="separate"/>
      </w:r>
      <w:r>
        <w:rPr>
          <w:b w:val="0"/>
          <w:bCs w:val="0"/>
          <w:color w:val="auto"/>
          <w:sz w:val="28"/>
          <w:szCs w:val="28"/>
        </w:rPr>
        <w:t>28</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0D3A9C21">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_Toc10937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第六部分 </w:t>
      </w:r>
      <w:r>
        <w:rPr>
          <w:rFonts w:hint="eastAsia"/>
          <w:b w:val="0"/>
          <w:bCs w:val="0"/>
          <w:color w:val="auto"/>
          <w:sz w:val="28"/>
          <w:szCs w:val="28"/>
          <w:lang w:val="en-US" w:eastAsia="zh-CN"/>
        </w:rPr>
        <w:t xml:space="preserve"> </w:t>
      </w:r>
      <w:r>
        <w:rPr>
          <w:rFonts w:hint="eastAsia" w:eastAsia="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_Toc10937 \h </w:instrText>
      </w:r>
      <w:r>
        <w:rPr>
          <w:b w:val="0"/>
          <w:bCs w:val="0"/>
          <w:color w:val="auto"/>
          <w:sz w:val="28"/>
          <w:szCs w:val="28"/>
        </w:rPr>
        <w:fldChar w:fldCharType="separate"/>
      </w:r>
      <w:r>
        <w:rPr>
          <w:b w:val="0"/>
          <w:bCs w:val="0"/>
          <w:color w:val="auto"/>
          <w:sz w:val="28"/>
          <w:szCs w:val="28"/>
        </w:rPr>
        <w:t>39</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783E18E9">
      <w:pPr>
        <w:pStyle w:val="22"/>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color w:val="auto"/>
          <w:sz w:val="16"/>
          <w:szCs w:val="16"/>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_Toc7097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第七部分 </w:t>
      </w:r>
      <w:r>
        <w:rPr>
          <w:rFonts w:hint="eastAsia"/>
          <w:b w:val="0"/>
          <w:bCs w:val="0"/>
          <w:color w:val="auto"/>
          <w:sz w:val="28"/>
          <w:szCs w:val="28"/>
          <w:lang w:val="en-US" w:eastAsia="zh-CN"/>
        </w:rPr>
        <w:t xml:space="preserve"> </w:t>
      </w:r>
      <w:r>
        <w:rPr>
          <w:rFonts w:hint="eastAsia" w:eastAsia="宋体"/>
          <w:b w:val="0"/>
          <w:bCs w:val="0"/>
          <w:color w:val="auto"/>
          <w:sz w:val="28"/>
          <w:szCs w:val="28"/>
        </w:rPr>
        <w:t>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_Toc7097 \h </w:instrText>
      </w:r>
      <w:r>
        <w:rPr>
          <w:b w:val="0"/>
          <w:bCs w:val="0"/>
          <w:color w:val="auto"/>
          <w:sz w:val="28"/>
          <w:szCs w:val="28"/>
        </w:rPr>
        <w:fldChar w:fldCharType="separate"/>
      </w:r>
      <w:r>
        <w:rPr>
          <w:b w:val="0"/>
          <w:bCs w:val="0"/>
          <w:color w:val="auto"/>
          <w:sz w:val="28"/>
          <w:szCs w:val="28"/>
        </w:rPr>
        <w:t>45</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7ABEF56B">
      <w:pPr>
        <w:pStyle w:val="2"/>
        <w:pageBreakBefore w:val="0"/>
        <w:widowControl w:val="0"/>
        <w:tabs>
          <w:tab w:val="left" w:pos="206"/>
        </w:tabs>
        <w:kinsoku/>
        <w:wordWrap/>
        <w:overflowPunct/>
        <w:topLinePunct w:val="0"/>
        <w:autoSpaceDE/>
        <w:autoSpaceDN/>
        <w:bidi w:val="0"/>
        <w:adjustRightInd/>
        <w:snapToGrid/>
        <w:spacing w:line="360" w:lineRule="auto"/>
        <w:jc w:val="left"/>
        <w:textAlignment w:val="auto"/>
        <w:rPr>
          <w:color w:val="auto"/>
        </w:rPr>
        <w:sectPr>
          <w:headerReference r:id="rId7" w:type="first"/>
          <w:footerReference r:id="rId9" w:type="first"/>
          <w:headerReference r:id="rId6" w:type="default"/>
          <w:footerReference r:id="rId8" w:type="default"/>
          <w:pgSz w:w="11906" w:h="16838"/>
          <w:pgMar w:top="1417" w:right="1417" w:bottom="1417" w:left="1417" w:header="1134" w:footer="992" w:gutter="0"/>
          <w:pgNumType w:fmt="decimal" w:start="1"/>
          <w:cols w:space="0" w:num="1"/>
          <w:titlePg/>
          <w:rtlGutter w:val="0"/>
          <w:docGrid w:type="lines" w:linePitch="333" w:charSpace="0"/>
        </w:sectPr>
      </w:pPr>
      <w:r>
        <w:rPr>
          <w:rFonts w:hint="eastAsia" w:ascii="宋体" w:hAnsi="宋体" w:eastAsia="宋体" w:cs="宋体"/>
          <w:caps/>
          <w:color w:val="auto"/>
          <w:kern w:val="2"/>
          <w:sz w:val="24"/>
          <w:szCs w:val="24"/>
        </w:rPr>
        <w:fldChar w:fldCharType="end"/>
      </w:r>
    </w:p>
    <w:p w14:paraId="3455E34C">
      <w:pPr>
        <w:pStyle w:val="2"/>
        <w:tabs>
          <w:tab w:val="left" w:pos="206"/>
        </w:tabs>
        <w:spacing w:line="360" w:lineRule="auto"/>
        <w:jc w:val="left"/>
        <w:rPr>
          <w:color w:val="auto"/>
        </w:rPr>
      </w:pPr>
      <w:r>
        <w:rPr>
          <w:rFonts w:hint="eastAsia"/>
          <w:color w:val="auto"/>
        </w:rPr>
        <w:tab/>
      </w:r>
      <w:r>
        <w:rPr>
          <w:rFonts w:hint="eastAsia"/>
          <w:color w:val="auto"/>
        </w:rPr>
        <w:t xml:space="preserve">                  </w:t>
      </w:r>
      <w:bookmarkStart w:id="8" w:name="_Toc23261"/>
      <w:r>
        <w:rPr>
          <w:rFonts w:hint="eastAsia"/>
          <w:color w:val="auto"/>
        </w:rPr>
        <w:t xml:space="preserve">第一部分  </w:t>
      </w:r>
      <w:bookmarkStart w:id="9" w:name="OLE_LINK4"/>
      <w:bookmarkStart w:id="10" w:name="OLE_LINK1"/>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36202283"/>
      <w:bookmarkStart w:id="12" w:name="_Toc536429317"/>
      <w:bookmarkStart w:id="13" w:name="_Toc536202377"/>
      <w:bookmarkStart w:id="14" w:name="_Toc5018"/>
      <w:bookmarkStart w:id="15" w:name="_Toc536429370"/>
      <w:r>
        <w:rPr>
          <w:rStyle w:val="37"/>
          <w:rFonts w:hint="eastAsia" w:ascii="宋体" w:hAnsi="宋体" w:eastAsia="宋体" w:cs="宋体"/>
          <w:b/>
          <w:bCs/>
          <w:i w:val="0"/>
          <w:iCs w:val="0"/>
          <w:caps w:val="0"/>
          <w:color w:val="auto"/>
          <w:spacing w:val="0"/>
          <w:sz w:val="24"/>
          <w:szCs w:val="24"/>
          <w:shd w:val="clear" w:fill="FFFFFF"/>
        </w:rPr>
        <w:t>项目概况</w:t>
      </w:r>
    </w:p>
    <w:p w14:paraId="2DEC2EC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安康职业技术学院附属小学绿化升级改造项目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一、项目基本情况</w:t>
      </w:r>
    </w:p>
    <w:p w14:paraId="3C835A6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AKSH2026-ZCS-042</w:t>
      </w:r>
    </w:p>
    <w:p w14:paraId="017A096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安康职业技术学院附属小学绿化升级改造项目</w:t>
      </w:r>
    </w:p>
    <w:p w14:paraId="54EF656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500000.00</w:t>
      </w:r>
      <w:r>
        <w:rPr>
          <w:rFonts w:hint="eastAsia" w:ascii="宋体" w:hAnsi="宋体" w:eastAsia="宋体" w:cs="宋体"/>
          <w:i w:val="0"/>
          <w:iCs w:val="0"/>
          <w:caps w:val="0"/>
          <w:color w:val="auto"/>
          <w:spacing w:val="0"/>
          <w:sz w:val="24"/>
          <w:szCs w:val="24"/>
          <w:shd w:val="clear" w:fill="FFFFFF"/>
        </w:rPr>
        <w:t>元</w:t>
      </w:r>
    </w:p>
    <w:p w14:paraId="27C43D9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安康职业技术学院附属小学绿化升级改造项目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500000.00</w:t>
      </w:r>
      <w:r>
        <w:rPr>
          <w:rFonts w:hint="eastAsia" w:ascii="宋体" w:hAnsi="宋体" w:eastAsia="宋体" w:cs="宋体"/>
          <w:i w:val="0"/>
          <w:iCs w:val="0"/>
          <w:caps w:val="0"/>
          <w:color w:val="auto"/>
          <w:spacing w:val="0"/>
          <w:sz w:val="24"/>
          <w:szCs w:val="24"/>
          <w:shd w:val="clear" w:fill="FFFFFF"/>
        </w:rPr>
        <w:t>元</w:t>
      </w:r>
    </w:p>
    <w:p w14:paraId="5DB2643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w:t>
      </w:r>
      <w:r>
        <w:rPr>
          <w:rFonts w:hint="eastAsia" w:cs="宋体"/>
          <w:i w:val="0"/>
          <w:iCs w:val="0"/>
          <w:caps w:val="0"/>
          <w:color w:val="auto"/>
          <w:spacing w:val="0"/>
          <w:sz w:val="24"/>
          <w:szCs w:val="24"/>
          <w:shd w:val="clear" w:fill="FFFFFF"/>
          <w:lang w:eastAsia="zh-CN"/>
        </w:rPr>
        <w:t>500000.00</w:t>
      </w:r>
      <w:r>
        <w:rPr>
          <w:rFonts w:hint="eastAsia" w:ascii="宋体" w:hAnsi="宋体" w:eastAsia="宋体" w:cs="宋体"/>
          <w:i w:val="0"/>
          <w:iCs w:val="0"/>
          <w:caps w:val="0"/>
          <w:color w:val="auto"/>
          <w:spacing w:val="0"/>
          <w:sz w:val="24"/>
          <w:szCs w:val="24"/>
          <w:shd w:val="clear" w:fill="FFFFFF"/>
        </w:rPr>
        <w:t>元</w:t>
      </w:r>
    </w:p>
    <w:tbl>
      <w:tblPr>
        <w:tblStyle w:val="34"/>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7"/>
        <w:gridCol w:w="1868"/>
        <w:gridCol w:w="2905"/>
        <w:gridCol w:w="773"/>
        <w:gridCol w:w="1620"/>
        <w:gridCol w:w="1373"/>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其他</w:t>
            </w:r>
            <w:r>
              <w:rPr>
                <w:rFonts w:hint="eastAsia" w:ascii="宋体" w:hAnsi="宋体" w:cs="宋体"/>
                <w:color w:val="auto"/>
                <w:kern w:val="0"/>
                <w:sz w:val="24"/>
                <w:szCs w:val="24"/>
                <w:lang w:val="en-US" w:eastAsia="zh-CN" w:bidi="ar"/>
              </w:rPr>
              <w:t>专业施工</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安康职业技术学院附属小学绿化升级改造项目</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500000.00</w:t>
            </w:r>
          </w:p>
        </w:tc>
      </w:tr>
    </w:tbl>
    <w:p w14:paraId="3AF48CF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自合同签订生效之日起30日历天</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二、申请人的资格要求：</w:t>
      </w:r>
    </w:p>
    <w:p w14:paraId="58D6ACE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安康职业技术学院附属小学绿化升级改造项目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w:t>
      </w:r>
      <w:r>
        <w:rPr>
          <w:rFonts w:hint="eastAsia" w:cs="宋体"/>
          <w:i w:val="0"/>
          <w:iCs w:val="0"/>
          <w:caps w:val="0"/>
          <w:color w:val="auto"/>
          <w:spacing w:val="0"/>
          <w:sz w:val="24"/>
          <w:szCs w:val="24"/>
          <w:shd w:val="clear" w:fill="FFFFFF"/>
          <w:lang w:val="en-US" w:eastAsia="zh-CN"/>
        </w:rPr>
        <w:t xml:space="preserve">0 </w:t>
      </w:r>
      <w:r>
        <w:rPr>
          <w:rFonts w:hint="eastAsia" w:ascii="宋体" w:hAnsi="宋体" w:eastAsia="宋体" w:cs="宋体"/>
          <w:i w:val="0"/>
          <w:iCs w:val="0"/>
          <w:caps w:val="0"/>
          <w:color w:val="auto"/>
          <w:spacing w:val="0"/>
          <w:sz w:val="24"/>
          <w:szCs w:val="24"/>
          <w:shd w:val="clear" w:fill="FFFFFF"/>
        </w:rPr>
        <w:t>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 财办采〔2020〕15 号）、陕西省财政厅关于印发《陕西省中小企业政府采购信用融资办法》（陕财办采〔2018〕23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安康职业技术学院附属小学绿化升级改造项目</w:t>
      </w:r>
      <w:r>
        <w:rPr>
          <w:rFonts w:hint="eastAsia" w:ascii="宋体" w:hAnsi="宋体" w:eastAsia="宋体" w:cs="宋体"/>
          <w:i w:val="0"/>
          <w:iCs w:val="0"/>
          <w:caps w:val="0"/>
          <w:color w:val="auto"/>
          <w:spacing w:val="0"/>
          <w:sz w:val="24"/>
          <w:szCs w:val="24"/>
          <w:shd w:val="clear" w:fill="FFFFFF"/>
        </w:rPr>
        <w:t>)特定资格要求如下:</w:t>
      </w:r>
    </w:p>
    <w:p w14:paraId="2E82DB5A">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7579B391">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270FB1B">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提供2024年度或2025年度经审计的财务审计报告</w:t>
      </w:r>
      <w:r>
        <w:rPr>
          <w:rFonts w:hint="eastAsia" w:ascii="宋体" w:hAnsi="宋体" w:eastAsia="宋体" w:cs="宋体"/>
          <w:i w:val="0"/>
          <w:iCs w:val="0"/>
          <w:caps w:val="0"/>
          <w:color w:val="auto"/>
          <w:spacing w:val="0"/>
          <w:sz w:val="24"/>
          <w:szCs w:val="24"/>
          <w:shd w:val="clear" w:fill="FFFFFF"/>
        </w:rPr>
        <w:t>（成立时间至提交响应文件截止时间不足一年的可提供成立后任意时段的资产负债表）或其基本存款账户开户银行出具的资信证明。</w:t>
      </w:r>
    </w:p>
    <w:p w14:paraId="191BFED5">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0AA6BDF">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3C6851A8">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（1</w:t>
      </w:r>
      <w:r>
        <w:rPr>
          <w:rFonts w:hint="eastAsia" w:cs="宋体"/>
          <w:color w:val="auto"/>
          <w:kern w:val="0"/>
          <w:sz w:val="24"/>
          <w:szCs w:val="24"/>
          <w:lang w:val="en-US" w:eastAsia="zh-CN" w:bidi="ar-SA"/>
        </w:rPr>
        <w:t>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三、获取采购文件</w:t>
      </w:r>
    </w:p>
    <w:p w14:paraId="38481D2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6年5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四、响应文件提交</w:t>
      </w:r>
    </w:p>
    <w:p w14:paraId="7562574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7EC8120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五、开启</w:t>
      </w:r>
    </w:p>
    <w:p w14:paraId="46FA966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6D39338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六、公告期限</w:t>
      </w:r>
    </w:p>
    <w:p w14:paraId="1FCF01E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七、其他补充事宜</w:t>
      </w:r>
    </w:p>
    <w:p w14:paraId="2834D71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招标代理有限公司(安康市高新区高新观澜8栋2单元801室，邮箱：</w:t>
      </w:r>
      <w:r>
        <w:rPr>
          <w:rFonts w:hint="eastAsia" w:ascii="宋体" w:hAnsi="宋体" w:cs="宋体"/>
          <w:b w:val="0"/>
          <w:bCs w:val="0"/>
          <w:color w:val="auto"/>
          <w:sz w:val="24"/>
          <w:szCs w:val="24"/>
          <w:lang w:val="en-US" w:eastAsia="zh-CN"/>
        </w:rPr>
        <w:t>365060958</w:t>
      </w:r>
      <w:r>
        <w:rPr>
          <w:rFonts w:hint="eastAsia" w:ascii="宋体" w:hAnsi="宋体" w:eastAsia="宋体" w:cs="宋体"/>
          <w:b w:val="0"/>
          <w:bCs w:val="0"/>
          <w:color w:val="auto"/>
          <w:sz w:val="24"/>
          <w:szCs w:val="24"/>
          <w:lang w:val="en-US" w:eastAsia="zh-CN"/>
        </w:rPr>
        <w:t>@qq.com)，确认完毕后采购代理机构将通过邮箱传送磋商文件，请注意查收。</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val="en-US" w:eastAsia="zh-CN"/>
        </w:rPr>
        <w:t>安康职业技术学院附属小学</w:t>
      </w:r>
    </w:p>
    <w:p w14:paraId="2B020AE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auto"/>
          <w:kern w:val="0"/>
          <w:sz w:val="24"/>
          <w:szCs w:val="24"/>
          <w:highlight w:val="none"/>
          <w:lang w:val="en-US" w:eastAsia="zh-CN"/>
        </w:rPr>
        <w:t>安康市汉滨区安康大道东段南侧</w:t>
      </w:r>
    </w:p>
    <w:p w14:paraId="09840E5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cs="宋体"/>
          <w:color w:val="auto"/>
          <w:kern w:val="0"/>
          <w:sz w:val="24"/>
          <w:szCs w:val="24"/>
          <w:highlight w:val="none"/>
          <w:lang w:val="en-US" w:eastAsia="zh-CN"/>
        </w:rPr>
        <w:t>17309150608</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4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29C94020">
      <w:pPr>
        <w:pageBreakBefore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5</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8</w:t>
      </w:r>
      <w:r>
        <w:rPr>
          <w:rFonts w:hint="eastAsia" w:ascii="宋体" w:hAnsi="宋体" w:eastAsia="宋体" w:cs="宋体"/>
          <w:color w:val="auto"/>
          <w:kern w:val="0"/>
          <w:sz w:val="24"/>
          <w:szCs w:val="24"/>
          <w:lang w:val="en-US" w:eastAsia="zh-CN" w:bidi="ar-SA"/>
        </w:rPr>
        <w:t>日</w:t>
      </w:r>
    </w:p>
    <w:p w14:paraId="24173EF8">
      <w:pPr>
        <w:pStyle w:val="11"/>
        <w:rPr>
          <w:rFonts w:hint="eastAsia" w:ascii="宋体" w:hAnsi="宋体" w:eastAsia="宋体" w:cs="宋体"/>
          <w:color w:val="auto"/>
          <w:kern w:val="0"/>
          <w:sz w:val="24"/>
          <w:szCs w:val="24"/>
          <w:lang w:val="en-US" w:eastAsia="zh-CN" w:bidi="ar-SA"/>
        </w:rPr>
      </w:pPr>
    </w:p>
    <w:p w14:paraId="5AFF69EE">
      <w:pPr>
        <w:rPr>
          <w:rFonts w:hint="eastAsia" w:ascii="宋体" w:hAnsi="宋体" w:eastAsia="宋体" w:cs="宋体"/>
          <w:color w:val="auto"/>
          <w:kern w:val="0"/>
          <w:sz w:val="24"/>
          <w:szCs w:val="24"/>
          <w:lang w:val="en-US" w:eastAsia="zh-CN" w:bidi="ar-SA"/>
        </w:rPr>
      </w:pPr>
    </w:p>
    <w:p w14:paraId="0870AB3C">
      <w:pPr>
        <w:pStyle w:val="11"/>
        <w:rPr>
          <w:rFonts w:hint="eastAsia" w:ascii="宋体" w:hAnsi="宋体" w:eastAsia="宋体" w:cs="宋体"/>
          <w:color w:val="auto"/>
          <w:kern w:val="0"/>
          <w:sz w:val="24"/>
          <w:szCs w:val="24"/>
          <w:lang w:val="en-US" w:eastAsia="zh-CN" w:bidi="ar-SA"/>
        </w:rPr>
      </w:pPr>
    </w:p>
    <w:p w14:paraId="1DA96431">
      <w:pPr>
        <w:rPr>
          <w:rFonts w:hint="eastAsia" w:ascii="宋体" w:hAnsi="宋体" w:eastAsia="宋体" w:cs="宋体"/>
          <w:color w:val="auto"/>
          <w:kern w:val="0"/>
          <w:sz w:val="24"/>
          <w:szCs w:val="24"/>
          <w:lang w:val="en-US" w:eastAsia="zh-CN" w:bidi="ar-SA"/>
        </w:rPr>
      </w:pPr>
    </w:p>
    <w:p w14:paraId="2AEED76D">
      <w:pPr>
        <w:rPr>
          <w:rFonts w:hint="eastAsia" w:ascii="宋体" w:hAnsi="宋体" w:eastAsia="宋体" w:cs="宋体"/>
          <w:color w:val="auto"/>
          <w:kern w:val="0"/>
          <w:sz w:val="24"/>
          <w:szCs w:val="24"/>
          <w:lang w:val="en-US" w:eastAsia="zh-CN" w:bidi="ar-SA"/>
        </w:rPr>
      </w:pPr>
    </w:p>
    <w:p w14:paraId="0CB4127C">
      <w:pPr>
        <w:rPr>
          <w:rFonts w:hint="eastAsia" w:ascii="宋体" w:hAnsi="宋体" w:eastAsia="宋体" w:cs="宋体"/>
          <w:color w:val="auto"/>
          <w:kern w:val="0"/>
          <w:sz w:val="24"/>
          <w:szCs w:val="24"/>
          <w:lang w:val="en-US" w:eastAsia="zh-CN" w:bidi="ar-SA"/>
        </w:rPr>
      </w:pPr>
    </w:p>
    <w:p w14:paraId="14BF6A6B">
      <w:pPr>
        <w:rPr>
          <w:rFonts w:hint="eastAsia" w:ascii="宋体" w:hAnsi="宋体" w:eastAsia="宋体" w:cs="宋体"/>
          <w:color w:val="auto"/>
          <w:kern w:val="0"/>
          <w:sz w:val="24"/>
          <w:szCs w:val="24"/>
          <w:lang w:val="en-US" w:eastAsia="zh-CN" w:bidi="ar-SA"/>
        </w:rPr>
      </w:pPr>
    </w:p>
    <w:p w14:paraId="005FF3FD">
      <w:pPr>
        <w:rPr>
          <w:rFonts w:hint="eastAsia" w:ascii="宋体" w:hAnsi="宋体" w:eastAsia="宋体" w:cs="宋体"/>
          <w:color w:val="auto"/>
          <w:kern w:val="0"/>
          <w:sz w:val="24"/>
          <w:szCs w:val="24"/>
          <w:lang w:val="en-US" w:eastAsia="zh-CN" w:bidi="ar-SA"/>
        </w:rPr>
      </w:pPr>
    </w:p>
    <w:p w14:paraId="330CA43F">
      <w:pPr>
        <w:rPr>
          <w:rFonts w:hint="eastAsia" w:ascii="宋体" w:hAnsi="宋体" w:eastAsia="宋体" w:cs="宋体"/>
          <w:color w:val="auto"/>
          <w:kern w:val="0"/>
          <w:sz w:val="24"/>
          <w:szCs w:val="24"/>
          <w:lang w:val="en-US" w:eastAsia="zh-CN" w:bidi="ar-SA"/>
        </w:rPr>
      </w:pPr>
    </w:p>
    <w:p w14:paraId="74E28C18">
      <w:pPr>
        <w:rPr>
          <w:rFonts w:hint="eastAsia" w:ascii="宋体" w:hAnsi="宋体" w:eastAsia="宋体" w:cs="宋体"/>
          <w:color w:val="auto"/>
          <w:kern w:val="0"/>
          <w:sz w:val="24"/>
          <w:szCs w:val="24"/>
          <w:lang w:val="en-US" w:eastAsia="zh-CN" w:bidi="ar-SA"/>
        </w:rPr>
      </w:pPr>
    </w:p>
    <w:p w14:paraId="56A3C9DF">
      <w:pPr>
        <w:rPr>
          <w:rFonts w:hint="eastAsia" w:ascii="宋体" w:hAnsi="宋体" w:eastAsia="宋体" w:cs="宋体"/>
          <w:color w:val="auto"/>
          <w:kern w:val="0"/>
          <w:sz w:val="24"/>
          <w:szCs w:val="24"/>
          <w:lang w:val="en-US" w:eastAsia="zh-CN" w:bidi="ar-SA"/>
        </w:rPr>
      </w:pPr>
    </w:p>
    <w:p w14:paraId="21BF83FE">
      <w:pPr>
        <w:rPr>
          <w:rFonts w:hint="eastAsia" w:ascii="宋体" w:hAnsi="宋体" w:eastAsia="宋体" w:cs="宋体"/>
          <w:color w:val="auto"/>
          <w:kern w:val="0"/>
          <w:sz w:val="24"/>
          <w:szCs w:val="24"/>
          <w:lang w:val="en-US" w:eastAsia="zh-CN" w:bidi="ar-SA"/>
        </w:rPr>
      </w:pPr>
    </w:p>
    <w:p w14:paraId="006C337D">
      <w:pPr>
        <w:rPr>
          <w:rFonts w:hint="eastAsia" w:ascii="宋体" w:hAnsi="宋体" w:eastAsia="宋体" w:cs="宋体"/>
          <w:color w:val="auto"/>
          <w:kern w:val="0"/>
          <w:sz w:val="24"/>
          <w:szCs w:val="24"/>
          <w:lang w:val="en-US" w:eastAsia="zh-CN" w:bidi="ar-SA"/>
        </w:rPr>
      </w:pPr>
    </w:p>
    <w:p w14:paraId="58B5B343">
      <w:pPr>
        <w:pStyle w:val="33"/>
        <w:rPr>
          <w:rFonts w:hint="eastAsia" w:ascii="宋体" w:hAnsi="宋体" w:eastAsia="宋体" w:cs="宋体"/>
          <w:color w:val="auto"/>
          <w:kern w:val="0"/>
          <w:sz w:val="24"/>
          <w:szCs w:val="24"/>
          <w:lang w:val="en-US" w:eastAsia="zh-CN" w:bidi="ar-SA"/>
        </w:rPr>
      </w:pPr>
    </w:p>
    <w:p w14:paraId="5E30E07A">
      <w:pPr>
        <w:pStyle w:val="33"/>
        <w:rPr>
          <w:rFonts w:hint="eastAsia" w:ascii="宋体" w:hAnsi="宋体" w:eastAsia="宋体" w:cs="宋体"/>
          <w:color w:val="auto"/>
          <w:kern w:val="0"/>
          <w:sz w:val="24"/>
          <w:szCs w:val="24"/>
          <w:lang w:val="en-US" w:eastAsia="zh-CN" w:bidi="ar-SA"/>
        </w:rPr>
      </w:pPr>
    </w:p>
    <w:p w14:paraId="255B65F8">
      <w:pPr>
        <w:pStyle w:val="33"/>
        <w:rPr>
          <w:rFonts w:hint="eastAsia" w:ascii="宋体" w:hAnsi="宋体" w:eastAsia="宋体" w:cs="宋体"/>
          <w:color w:val="auto"/>
          <w:kern w:val="0"/>
          <w:sz w:val="24"/>
          <w:szCs w:val="24"/>
          <w:lang w:val="en-US" w:eastAsia="zh-CN" w:bidi="ar-SA"/>
        </w:rPr>
      </w:pPr>
    </w:p>
    <w:p w14:paraId="3C234D48">
      <w:pPr>
        <w:pStyle w:val="2"/>
        <w:spacing w:line="360" w:lineRule="auto"/>
        <w:rPr>
          <w:rFonts w:ascii="宋体" w:hAnsi="宋体" w:cs="宋体"/>
          <w:color w:val="auto"/>
        </w:rPr>
      </w:pPr>
      <w:bookmarkStart w:id="16" w:name="_Toc29239"/>
      <w:bookmarkStart w:id="17" w:name="_Toc19543334"/>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77"/>
        <w:tblW w:w="9643" w:type="dxa"/>
        <w:jc w:val="center"/>
        <w:tblLayout w:type="fixed"/>
        <w:tblCellMar>
          <w:top w:w="147" w:type="dxa"/>
          <w:left w:w="108" w:type="dxa"/>
          <w:bottom w:w="56" w:type="dxa"/>
          <w:right w:w="0" w:type="dxa"/>
        </w:tblCellMar>
      </w:tblPr>
      <w:tblGrid>
        <w:gridCol w:w="704"/>
        <w:gridCol w:w="1990"/>
        <w:gridCol w:w="6949"/>
      </w:tblGrid>
      <w:tr w14:paraId="51481DAE">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819F91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537D3FF7">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408C5EA5">
            <w:pPr>
              <w:spacing w:line="259" w:lineRule="auto"/>
              <w:ind w:left="840"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25F2EBF">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54201E">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789903D">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1BA8E135">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安康职业技术学院附属小学</w:t>
            </w:r>
          </w:p>
        </w:tc>
      </w:tr>
      <w:tr w14:paraId="2C44E802">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0AC3A2">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1BC534">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3174647">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15F711FB">
        <w:tblPrEx>
          <w:tblCellMar>
            <w:top w:w="147" w:type="dxa"/>
            <w:left w:w="108" w:type="dxa"/>
            <w:bottom w:w="56" w:type="dxa"/>
            <w:right w:w="0" w:type="dxa"/>
          </w:tblCellMar>
        </w:tblPrEx>
        <w:trPr>
          <w:trHeight w:val="51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052FD6">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091715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40CE53A2">
            <w:pPr>
              <w:pStyle w:val="76"/>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val="en-US" w:eastAsia="zh-CN"/>
              </w:rPr>
              <w:t>安康职业技术学院附属小学绿化升级改造项目</w:t>
            </w:r>
            <w:r>
              <w:rPr>
                <w:rFonts w:hint="eastAsia" w:ascii="宋体" w:hAnsi="宋体" w:cs="Times New Roman"/>
                <w:color w:val="auto"/>
                <w:sz w:val="24"/>
                <w:szCs w:val="24"/>
              </w:rPr>
              <w:t xml:space="preserve"> </w:t>
            </w:r>
          </w:p>
        </w:tc>
      </w:tr>
      <w:tr w14:paraId="630392B1">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D592BD">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42B623C">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669F739">
            <w:pPr>
              <w:widowControl/>
              <w:tabs>
                <w:tab w:val="left" w:pos="1620"/>
              </w:tabs>
              <w:snapToGrid w:val="0"/>
              <w:spacing w:line="400" w:lineRule="exact"/>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lang w:val="en-US" w:eastAsia="zh-CN"/>
              </w:rPr>
              <w:t>安康职业技术学院附属小学绿化升级改造项目</w:t>
            </w:r>
            <w:r>
              <w:rPr>
                <w:rFonts w:hint="eastAsia" w:cs="宋体" w:asciiTheme="minorEastAsia" w:hAnsiTheme="minorEastAsia" w:eastAsiaTheme="minorEastAsia"/>
                <w:color w:val="auto"/>
                <w:kern w:val="0"/>
                <w:sz w:val="24"/>
                <w:szCs w:val="24"/>
              </w:rPr>
              <w:t>（采购内容详见第五部分采购内容及技术要求）</w:t>
            </w:r>
          </w:p>
        </w:tc>
      </w:tr>
      <w:tr w14:paraId="4CEB2918">
        <w:tblPrEx>
          <w:tblCellMar>
            <w:top w:w="147" w:type="dxa"/>
            <w:left w:w="108" w:type="dxa"/>
            <w:bottom w:w="56" w:type="dxa"/>
            <w:right w:w="0" w:type="dxa"/>
          </w:tblCellMar>
        </w:tblPrEx>
        <w:trPr>
          <w:trHeight w:val="53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6055C4">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FFCD02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09B02B3F">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val="en-US" w:eastAsia="zh-CN" w:bidi="ar-SA"/>
              </w:rPr>
              <w:t>500000.00元</w:t>
            </w:r>
          </w:p>
        </w:tc>
      </w:tr>
      <w:tr w14:paraId="45B64BA6">
        <w:tblPrEx>
          <w:tblCellMar>
            <w:top w:w="147" w:type="dxa"/>
            <w:left w:w="108" w:type="dxa"/>
            <w:bottom w:w="56" w:type="dxa"/>
            <w:right w:w="0" w:type="dxa"/>
          </w:tblCellMar>
        </w:tblPrEx>
        <w:trPr>
          <w:trHeight w:val="51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6552681">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BFDE086">
            <w:pPr>
              <w:spacing w:line="259" w:lineRule="auto"/>
              <w:ind w:right="111"/>
              <w:jc w:val="center"/>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最高限价</w:t>
            </w:r>
          </w:p>
        </w:tc>
        <w:tc>
          <w:tcPr>
            <w:tcW w:w="6949" w:type="dxa"/>
            <w:tcBorders>
              <w:top w:val="single" w:color="000000" w:sz="4" w:space="0"/>
              <w:left w:val="single" w:color="000000" w:sz="4" w:space="0"/>
              <w:bottom w:val="single" w:color="000000" w:sz="4" w:space="0"/>
              <w:right w:val="single" w:color="000000" w:sz="4" w:space="0"/>
            </w:tcBorders>
            <w:vAlign w:val="center"/>
          </w:tcPr>
          <w:p w14:paraId="2F353A7C">
            <w:pPr>
              <w:spacing w:line="259" w:lineRule="auto"/>
              <w:ind w:right="111"/>
              <w:jc w:val="left"/>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500000.00元</w:t>
            </w:r>
          </w:p>
        </w:tc>
      </w:tr>
      <w:tr w14:paraId="0968552B">
        <w:tblPrEx>
          <w:tblCellMar>
            <w:top w:w="147" w:type="dxa"/>
            <w:left w:w="108" w:type="dxa"/>
            <w:bottom w:w="56" w:type="dxa"/>
            <w:right w:w="0" w:type="dxa"/>
          </w:tblCellMar>
        </w:tblPrEx>
        <w:trPr>
          <w:trHeight w:val="661"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F5CC82">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FB5F9F6">
            <w:pPr>
              <w:spacing w:line="259" w:lineRule="auto"/>
              <w:ind w:right="111"/>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w:t>
            </w:r>
            <w:r>
              <w:rPr>
                <w:rFonts w:hint="eastAsia" w:asciiTheme="minorEastAsia" w:hAnsiTheme="minorEastAsia" w:eastAsiaTheme="minorEastAsia"/>
                <w:color w:val="auto"/>
                <w:sz w:val="24"/>
                <w:szCs w:val="24"/>
                <w:lang w:eastAsia="zh-CN"/>
              </w:rPr>
              <w:t>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4B52BF4B">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自合同签订生效之日起30日历天</w:t>
            </w:r>
          </w:p>
          <w:p w14:paraId="067A8F1B">
            <w:pPr>
              <w:widowControl/>
              <w:tabs>
                <w:tab w:val="left" w:pos="1620"/>
              </w:tabs>
              <w:snapToGrid w:val="0"/>
              <w:spacing w:line="400" w:lineRule="exact"/>
              <w:jc w:val="left"/>
              <w:rPr>
                <w:rFonts w:hint="eastAsia" w:asciiTheme="minorEastAsia" w:hAnsiTheme="minorEastAsia" w:eastAsiaTheme="minorEastAsia"/>
                <w:color w:val="auto"/>
                <w:sz w:val="24"/>
                <w:szCs w:val="24"/>
                <w:lang w:eastAsia="zh-CN"/>
              </w:rPr>
            </w:pPr>
          </w:p>
        </w:tc>
      </w:tr>
      <w:tr w14:paraId="03CECF7A">
        <w:tblPrEx>
          <w:tblCellMar>
            <w:top w:w="147" w:type="dxa"/>
            <w:left w:w="108" w:type="dxa"/>
            <w:bottom w:w="56" w:type="dxa"/>
            <w:right w:w="0" w:type="dxa"/>
          </w:tblCellMar>
        </w:tblPrEx>
        <w:trPr>
          <w:trHeight w:val="58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577553">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39C50BC4">
            <w:pPr>
              <w:keepNext w:val="0"/>
              <w:keepLines w:val="0"/>
              <w:pageBreakBefore w:val="0"/>
              <w:kinsoku/>
              <w:wordWrap/>
              <w:overflowPunct/>
              <w:topLinePunct w:val="0"/>
              <w:autoSpaceDE/>
              <w:autoSpaceDN/>
              <w:bidi w:val="0"/>
              <w:adjustRightInd/>
              <w:snapToGrid/>
              <w:spacing w:line="360" w:lineRule="auto"/>
              <w:ind w:right="111" w:rightChars="0"/>
              <w:jc w:val="center"/>
              <w:textAlignment w:val="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工程</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49D8F355">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eastAsia="zh-CN"/>
              </w:rPr>
            </w:pPr>
            <w:r>
              <w:rPr>
                <w:rFonts w:hint="eastAsia" w:ascii="宋体" w:hAnsi="宋体" w:cs="宋体"/>
                <w:color w:val="auto"/>
                <w:kern w:val="0"/>
                <w:sz w:val="24"/>
                <w:szCs w:val="24"/>
                <w:lang w:val="en-US" w:eastAsia="zh-CN"/>
              </w:rPr>
              <w:t>安康职业技术学院附属小学</w:t>
            </w:r>
          </w:p>
        </w:tc>
      </w:tr>
      <w:tr w14:paraId="3A489A98">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9B1BAE">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BEE6672">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firstLine="480" w:firstLineChars="200"/>
              <w:jc w:val="both"/>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lang w:val="en-US" w:eastAsia="zh-CN"/>
              </w:rPr>
              <w:t>质保期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5BFE4B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asciiTheme="minorEastAsia" w:hAnsiTheme="minorEastAsia" w:eastAsiaTheme="minorEastAsia"/>
                <w:color w:val="auto"/>
                <w:sz w:val="24"/>
                <w:szCs w:val="24"/>
              </w:rPr>
            </w:pPr>
            <w:r>
              <w:rPr>
                <w:rFonts w:hint="eastAsia" w:ascii="宋体" w:hAnsi="宋体" w:cs="宋体"/>
                <w:color w:val="auto"/>
                <w:kern w:val="2"/>
                <w:sz w:val="24"/>
                <w:szCs w:val="24"/>
                <w:lang w:val="en-US" w:eastAsia="zh-CN" w:bidi="ar"/>
              </w:rPr>
              <w:t>遵照国家现行法定标准</w:t>
            </w:r>
          </w:p>
        </w:tc>
      </w:tr>
      <w:tr w14:paraId="79AFF2A6">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C89DABA">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3CD071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41CD1922">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0E46D108">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546B59">
            <w:pPr>
              <w:pStyle w:val="76"/>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4F13BD">
            <w:pPr>
              <w:spacing w:line="259" w:lineRule="auto"/>
              <w:ind w:right="2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投标人资质要求</w:t>
            </w:r>
          </w:p>
        </w:tc>
        <w:tc>
          <w:tcPr>
            <w:tcW w:w="6949" w:type="dxa"/>
            <w:tcBorders>
              <w:top w:val="single" w:color="000000" w:sz="4" w:space="0"/>
              <w:left w:val="single" w:color="000000" w:sz="4" w:space="0"/>
              <w:bottom w:val="single" w:color="000000" w:sz="4" w:space="0"/>
              <w:right w:val="single" w:color="000000" w:sz="4" w:space="0"/>
            </w:tcBorders>
          </w:tcPr>
          <w:p w14:paraId="49140C44">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0B4A0947">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58F3018D">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7D744354">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3F13BACD">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提供2024年度或2025年度经审计的财务审计报告</w:t>
            </w:r>
            <w:r>
              <w:rPr>
                <w:rFonts w:hint="eastAsia" w:ascii="宋体" w:hAnsi="宋体" w:eastAsia="宋体" w:cs="宋体"/>
                <w:i w:val="0"/>
                <w:iCs w:val="0"/>
                <w:caps w:val="0"/>
                <w:color w:val="auto"/>
                <w:spacing w:val="0"/>
                <w:sz w:val="24"/>
                <w:szCs w:val="24"/>
                <w:shd w:val="clear" w:fill="FFFFFF"/>
              </w:rPr>
              <w:t>（成立时间至提交响应文件截止时间不足一年的可提供成立后任意时段的资产负债表）或其基本存款账户开户银行出具的资信证明。</w:t>
            </w:r>
          </w:p>
          <w:p w14:paraId="794C2CF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73307F0E">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0DF7CFA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6D749561">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75D8D657">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i w:val="0"/>
                <w:iCs w:val="0"/>
                <w:caps w:val="0"/>
                <w:color w:val="auto"/>
                <w:spacing w:val="0"/>
                <w:kern w:val="0"/>
                <w:sz w:val="24"/>
                <w:szCs w:val="24"/>
                <w:shd w:val="clear" w:fill="FFFFFF"/>
                <w:lang w:val="en-US" w:eastAsia="zh-CN" w:bidi="ar-SA"/>
              </w:rPr>
              <w:t>（10）</w:t>
            </w:r>
            <w:r>
              <w:rPr>
                <w:rFonts w:hint="eastAsia" w:ascii="宋体" w:hAnsi="宋体" w:eastAsia="宋体" w:cs="宋体"/>
                <w:i w:val="0"/>
                <w:iCs w:val="0"/>
                <w:caps w:val="0"/>
                <w:color w:val="auto"/>
                <w:spacing w:val="0"/>
                <w:sz w:val="24"/>
                <w:szCs w:val="24"/>
                <w:shd w:val="clear" w:fill="FFFFFF"/>
              </w:rPr>
              <w:t>本</w:t>
            </w:r>
            <w:r>
              <w:rPr>
                <w:rFonts w:hint="eastAsia" w:ascii="宋体" w:hAnsi="宋体" w:eastAsia="宋体" w:cs="宋体"/>
                <w:i w:val="0"/>
                <w:iCs w:val="0"/>
                <w:caps w:val="0"/>
                <w:color w:val="auto"/>
                <w:spacing w:val="0"/>
                <w:kern w:val="0"/>
                <w:sz w:val="24"/>
                <w:szCs w:val="24"/>
                <w:shd w:val="clear" w:fill="FFFFFF"/>
                <w:lang w:val="en-US" w:eastAsia="zh-CN" w:bidi="ar-SA"/>
              </w:rPr>
              <w:t>项目</w:t>
            </w:r>
            <w:r>
              <w:rPr>
                <w:rFonts w:hint="eastAsia" w:ascii="宋体" w:hAnsi="宋体" w:eastAsia="宋体" w:cs="宋体"/>
                <w:i w:val="0"/>
                <w:iCs w:val="0"/>
                <w:caps w:val="0"/>
                <w:color w:val="auto"/>
                <w:spacing w:val="0"/>
                <w:sz w:val="24"/>
                <w:szCs w:val="24"/>
                <w:shd w:val="clear" w:fill="FFFFFF"/>
              </w:rPr>
              <w:t>专门面向中小企业采购，投标人须提供《中小企业声明函》。</w:t>
            </w:r>
          </w:p>
          <w:p w14:paraId="6C1F3139">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294F7AE5">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32E41C">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06A469C7">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2B9D95DE">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D5FDAAD">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不接受联合体磋商</w:t>
            </w:r>
          </w:p>
        </w:tc>
      </w:tr>
      <w:tr w14:paraId="2554E22C">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1DA7FA">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65B95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7A55A1E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16693FCE">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4CB61E8">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18D608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3A26FCC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hint="eastAsia" w:asciiTheme="minorEastAsia" w:hAnsiTheme="minorEastAsia" w:eastAsiaTheme="minorEastAsia"/>
                <w:color w:val="auto"/>
                <w:sz w:val="24"/>
                <w:szCs w:val="24"/>
              </w:rPr>
              <w:t>年</w:t>
            </w: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lang w:val="en-US" w:eastAsia="zh-CN"/>
              </w:rPr>
              <w:t>20</w:t>
            </w:r>
            <w:r>
              <w:rPr>
                <w:rFonts w:hint="eastAsia" w:asciiTheme="minorEastAsia" w:hAnsiTheme="minorEastAsia" w:eastAsiaTheme="minorEastAsia"/>
                <w:color w:val="auto"/>
                <w:sz w:val="24"/>
                <w:szCs w:val="24"/>
              </w:rPr>
              <w:t>日</w:t>
            </w:r>
            <w:r>
              <w:rPr>
                <w:rFonts w:hint="eastAsia" w:asciiTheme="minorEastAsia" w:hAnsiTheme="minorEastAsia" w:eastAsiaTheme="minorEastAsia"/>
                <w:color w:val="auto"/>
                <w:sz w:val="24"/>
                <w:szCs w:val="24"/>
                <w:lang w:val="en-US" w:eastAsia="zh-CN"/>
              </w:rPr>
              <w:t>09</w:t>
            </w:r>
            <w:r>
              <w:rPr>
                <w:rFonts w:hint="eastAsia" w:asciiTheme="minorEastAsia" w:hAnsiTheme="minorEastAsia" w:eastAsiaTheme="minorEastAsia"/>
                <w:color w:val="auto"/>
                <w:sz w:val="24"/>
                <w:szCs w:val="24"/>
              </w:rPr>
              <w:t>时</w:t>
            </w:r>
            <w:r>
              <w:rPr>
                <w:rFonts w:hint="eastAsia" w:asciiTheme="minorEastAsia" w:hAnsiTheme="minorEastAsia" w:eastAsiaTheme="minorEastAsia"/>
                <w:color w:val="auto"/>
                <w:sz w:val="24"/>
                <w:szCs w:val="24"/>
                <w:lang w:val="en-US" w:eastAsia="zh-CN"/>
              </w:rPr>
              <w:t>00</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z w:val="24"/>
                <w:szCs w:val="24"/>
                <w:lang w:eastAsia="zh-CN"/>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6BAB226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lang w:eastAsia="zh-CN"/>
              </w:rPr>
              <w:t>安康市高新区高新观澜8幢2单元801室</w:t>
            </w:r>
          </w:p>
          <w:p w14:paraId="1FE72B36">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18BC0692">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B7F679D">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C8BBB9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D5FD474">
            <w:pPr>
              <w:spacing w:line="259" w:lineRule="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lang w:val="en-US" w:eastAsia="zh-CN"/>
              </w:rPr>
              <w:t>：2026年5月20日09时00分止</w:t>
            </w:r>
          </w:p>
          <w:p w14:paraId="11D583DC">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递交地点：</w:t>
            </w:r>
            <w:r>
              <w:rPr>
                <w:rFonts w:hint="eastAsia" w:ascii="宋体" w:hAnsi="宋体" w:cs="宋体"/>
                <w:color w:val="auto"/>
                <w:sz w:val="24"/>
                <w:szCs w:val="24"/>
                <w:lang w:eastAsia="zh-CN"/>
              </w:rPr>
              <w:t>安康市高新区高新观澜8幢2单元801室</w:t>
            </w:r>
            <w:r>
              <w:rPr>
                <w:rFonts w:hint="eastAsia" w:asciiTheme="minorEastAsia" w:hAnsiTheme="minorEastAsia" w:eastAsiaTheme="minorEastAsia"/>
                <w:color w:val="auto"/>
                <w:sz w:val="24"/>
                <w:szCs w:val="24"/>
              </w:rPr>
              <w:t xml:space="preserve"> </w:t>
            </w:r>
          </w:p>
        </w:tc>
      </w:tr>
      <w:tr w14:paraId="5D70D1C0">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074FF46">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59087E4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130DEB26">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u w:val="none" w:color="auto"/>
                <w:lang w:val="en-US" w:eastAsia="zh-CN"/>
              </w:rPr>
              <w:t>90</w:t>
            </w:r>
            <w:r>
              <w:rPr>
                <w:rFonts w:asciiTheme="minorEastAsia" w:hAnsiTheme="minorEastAsia" w:eastAsiaTheme="minorEastAsia"/>
                <w:color w:val="auto"/>
                <w:sz w:val="24"/>
                <w:szCs w:val="24"/>
              </w:rPr>
              <w:t xml:space="preserve">日历天（从提交响应文件日起计算） </w:t>
            </w:r>
          </w:p>
        </w:tc>
      </w:tr>
      <w:tr w14:paraId="0899F16B">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5709B31">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180683B">
            <w:pPr>
              <w:spacing w:line="259" w:lineRule="auto"/>
              <w:jc w:val="center"/>
              <w:rPr>
                <w:rFonts w:hint="eastAsia" w:ascii="宋体" w:hAnsi="宋体" w:eastAsia="宋体"/>
                <w:color w:val="auto"/>
                <w:sz w:val="24"/>
                <w:szCs w:val="24"/>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center"/>
          </w:tcPr>
          <w:p w14:paraId="0D7F8BD1">
            <w:pPr>
              <w:spacing w:line="259" w:lineRule="auto"/>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，电子版</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U盘</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rPr>
              <w:t>壹份</w:t>
            </w:r>
          </w:p>
        </w:tc>
      </w:tr>
      <w:tr w14:paraId="10ADA05F">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8D1590">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EA440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380200E4">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cs="宋体" w:eastAsiaTheme="minorEastAsia"/>
                <w:color w:val="auto"/>
                <w:kern w:val="0"/>
                <w:sz w:val="24"/>
                <w:szCs w:val="24"/>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4C3C9C4A">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cs="宋体" w:eastAsiaTheme="minorEastAsia"/>
                <w:color w:val="auto"/>
                <w:kern w:val="0"/>
                <w:sz w:val="24"/>
                <w:szCs w:val="24"/>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tc>
      </w:tr>
      <w:tr w14:paraId="0E8DC0E5">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ECDA72">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33567B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lang w:val="zh-CN"/>
              </w:rPr>
              <w:t>封套上应写明的内容</w:t>
            </w:r>
          </w:p>
        </w:tc>
        <w:tc>
          <w:tcPr>
            <w:tcW w:w="6949" w:type="dxa"/>
            <w:tcBorders>
              <w:top w:val="single" w:color="000000" w:sz="4" w:space="0"/>
              <w:left w:val="single" w:color="000000" w:sz="4" w:space="0"/>
              <w:bottom w:val="single" w:color="000000" w:sz="4" w:space="0"/>
              <w:right w:val="single" w:color="000000" w:sz="4" w:space="0"/>
            </w:tcBorders>
            <w:vAlign w:val="top"/>
          </w:tcPr>
          <w:p w14:paraId="0E86E378">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14:paraId="0DDA232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14:paraId="6029B1F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14:paraId="31F0B9C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14:paraId="0109549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p>
        </w:tc>
      </w:tr>
      <w:tr w14:paraId="434A8F08">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59D3E9">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0F316D8">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6949" w:type="dxa"/>
            <w:tcBorders>
              <w:top w:val="single" w:color="000000" w:sz="4" w:space="0"/>
              <w:left w:val="single" w:color="000000" w:sz="4" w:space="0"/>
              <w:bottom w:val="single" w:color="000000" w:sz="4" w:space="0"/>
              <w:right w:val="single" w:color="000000" w:sz="4" w:space="0"/>
            </w:tcBorders>
          </w:tcPr>
          <w:p w14:paraId="1F37151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427D05F5">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31FCD2">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62D54E69">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7691790">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Theme="minorEastAsia" w:hAnsiTheme="minorEastAsia" w:eastAsiaTheme="minorEastAsia"/>
                <w:color w:val="auto"/>
                <w:sz w:val="24"/>
                <w:szCs w:val="24"/>
                <w:lang w:val="en-US" w:eastAsia="zh-CN"/>
              </w:rPr>
              <w:t>政府采购竞争性磋商采购方式管理暂行办法</w:t>
            </w:r>
            <w:r>
              <w:rPr>
                <w:rFonts w:asciiTheme="minorEastAsia" w:hAnsiTheme="minorEastAsia" w:eastAsiaTheme="minorEastAsia"/>
                <w:color w:val="auto"/>
                <w:sz w:val="24"/>
                <w:szCs w:val="24"/>
              </w:rPr>
              <w:t>》等有关法律规定组建磋商小组</w:t>
            </w:r>
          </w:p>
        </w:tc>
      </w:tr>
      <w:tr w14:paraId="452B4C4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3098FE2">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098CC3">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jc w:val="center"/>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1F2965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Theme="minorEastAsia" w:hAnsiTheme="minorEastAsia" w:eastAsiaTheme="minorEastAsia"/>
                <w:color w:val="auto"/>
                <w:sz w:val="24"/>
                <w:szCs w:val="24"/>
                <w:lang w:eastAsia="zh-CN"/>
              </w:rPr>
            </w:pPr>
            <w:r>
              <w:rPr>
                <w:rFonts w:hint="eastAsia" w:ascii="宋体" w:hAnsi="宋体" w:cs="宋体"/>
                <w:snapToGrid w:val="0"/>
                <w:color w:val="auto"/>
                <w:kern w:val="0"/>
                <w:sz w:val="24"/>
                <w:szCs w:val="24"/>
                <w:lang w:val="en-US" w:eastAsia="zh-CN"/>
              </w:rPr>
              <w:t>合同签订生效支付合同总额的40%；工程完工验收通过后，经审计定价，支付至审计价的97%，剩余审计价的3%一年后付清</w:t>
            </w:r>
          </w:p>
        </w:tc>
      </w:tr>
      <w:tr w14:paraId="7E23EDB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C98EA32">
            <w:pPr>
              <w:pStyle w:val="76"/>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2A86AC7">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6949" w:type="dxa"/>
            <w:tcBorders>
              <w:top w:val="single" w:color="000000" w:sz="4" w:space="0"/>
              <w:left w:val="single" w:color="000000" w:sz="4" w:space="0"/>
              <w:bottom w:val="single" w:color="000000" w:sz="4" w:space="0"/>
              <w:right w:val="single" w:color="000000" w:sz="4" w:space="0"/>
            </w:tcBorders>
          </w:tcPr>
          <w:p w14:paraId="34539A16">
            <w:pPr>
              <w:spacing w:line="259" w:lineRule="auto"/>
              <w:ind w:right="-11"/>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1DD0DC7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09A99D">
            <w:pPr>
              <w:pStyle w:val="76"/>
              <w:numPr>
                <w:ilvl w:val="0"/>
                <w:numId w:val="1"/>
              </w:numPr>
              <w:spacing w:line="259" w:lineRule="auto"/>
              <w:ind w:left="420" w:leftChars="0" w:hanging="420" w:firstLineChars="0"/>
              <w:jc w:val="center"/>
              <w:rPr>
                <w:rFonts w:asciiTheme="minorEastAsia" w:hAnsiTheme="minorEastAsia" w:eastAsiaTheme="minorEastAsia"/>
                <w:color w:val="auto"/>
                <w:sz w:val="24"/>
                <w:szCs w:val="24"/>
              </w:rPr>
            </w:pPr>
            <w:bookmarkStart w:id="18" w:name="_Toc536202378"/>
            <w:bookmarkStart w:id="19" w:name="_Toc536429318"/>
            <w:bookmarkStart w:id="20" w:name="_Toc19272"/>
            <w:bookmarkStart w:id="21" w:name="_Toc536429371"/>
            <w:bookmarkStart w:id="22" w:name="_Toc21495"/>
            <w:bookmarkStart w:id="23" w:name="_Toc536202284"/>
          </w:p>
        </w:tc>
        <w:tc>
          <w:tcPr>
            <w:tcW w:w="1990" w:type="dxa"/>
            <w:tcBorders>
              <w:top w:val="single" w:color="000000" w:sz="4" w:space="0"/>
              <w:left w:val="single" w:color="000000" w:sz="4" w:space="0"/>
              <w:bottom w:val="single" w:color="000000" w:sz="4" w:space="0"/>
              <w:right w:val="single" w:color="000000" w:sz="4" w:space="0"/>
            </w:tcBorders>
            <w:vAlign w:val="center"/>
          </w:tcPr>
          <w:p w14:paraId="70CC3547">
            <w:pPr>
              <w:spacing w:line="259" w:lineRule="auto"/>
              <w:ind w:right="109" w:rightChars="0"/>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其他说明事项</w:t>
            </w:r>
          </w:p>
        </w:tc>
        <w:tc>
          <w:tcPr>
            <w:tcW w:w="6949" w:type="dxa"/>
            <w:tcBorders>
              <w:top w:val="single" w:color="000000" w:sz="4" w:space="0"/>
              <w:left w:val="single" w:color="000000" w:sz="4" w:space="0"/>
              <w:bottom w:val="single" w:color="000000" w:sz="4" w:space="0"/>
              <w:right w:val="single" w:color="000000" w:sz="4" w:space="0"/>
            </w:tcBorders>
            <w:vAlign w:val="top"/>
          </w:tcPr>
          <w:p w14:paraId="14527D4D">
            <w:pPr>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采购标的对应的中小企业划分标准所属行业为建筑业。</w:t>
            </w:r>
          </w:p>
          <w:p w14:paraId="37B15C0E">
            <w:pPr>
              <w:pageBreakBefore w:val="0"/>
              <w:kinsoku/>
              <w:wordWrap/>
              <w:overflowPunct/>
              <w:topLinePunct w:val="0"/>
              <w:autoSpaceDE/>
              <w:autoSpaceDN/>
              <w:bidi w:val="0"/>
              <w:adjustRightInd w:val="0"/>
              <w:snapToGrid w:val="0"/>
              <w:spacing w:line="440" w:lineRule="exact"/>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2"/>
                <w:lang w:val="en-US" w:eastAsia="zh-CN"/>
              </w:rPr>
              <w:t>建筑业的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76696554">
      <w:pPr>
        <w:pStyle w:val="11"/>
        <w:rPr>
          <w:color w:val="auto"/>
          <w:kern w:val="44"/>
          <w:sz w:val="32"/>
          <w:szCs w:val="32"/>
        </w:rPr>
      </w:pPr>
      <w:r>
        <w:rPr>
          <w:color w:val="auto"/>
        </w:rPr>
        <w:br w:type="page"/>
      </w:r>
    </w:p>
    <w:p w14:paraId="17DAAA99">
      <w:pPr>
        <w:pStyle w:val="2"/>
        <w:keepLines w:val="0"/>
        <w:spacing w:line="400" w:lineRule="exact"/>
        <w:rPr>
          <w:rFonts w:ascii="宋体"/>
          <w:color w:val="auto"/>
        </w:rPr>
      </w:pPr>
      <w:bookmarkStart w:id="24" w:name="_Toc19543335"/>
      <w:bookmarkStart w:id="25" w:name="_Toc23902"/>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8"/>
      <w:bookmarkEnd w:id="19"/>
      <w:bookmarkEnd w:id="20"/>
      <w:bookmarkEnd w:id="21"/>
      <w:bookmarkEnd w:id="22"/>
      <w:bookmarkEnd w:id="23"/>
      <w:bookmarkEnd w:id="24"/>
      <w:bookmarkEnd w:id="25"/>
    </w:p>
    <w:p w14:paraId="1D8A4FFB">
      <w:pPr>
        <w:widowControl/>
        <w:numPr>
          <w:ilvl w:val="0"/>
          <w:numId w:val="2"/>
        </w:numPr>
        <w:spacing w:line="400" w:lineRule="exact"/>
        <w:ind w:firstLine="643" w:firstLineChars="200"/>
        <w:jc w:val="center"/>
        <w:outlineLvl w:val="1"/>
        <w:rPr>
          <w:rFonts w:ascii="宋体" w:cs="Times New Roman"/>
          <w:b/>
          <w:bCs/>
          <w:color w:val="auto"/>
          <w:kern w:val="0"/>
          <w:sz w:val="32"/>
          <w:szCs w:val="32"/>
        </w:rPr>
      </w:pPr>
      <w:bookmarkStart w:id="26" w:name="_Toc536202285"/>
      <w:bookmarkStart w:id="27" w:name="_Toc26739"/>
      <w:bookmarkStart w:id="28" w:name="_Toc536429319"/>
      <w:bookmarkStart w:id="29" w:name="_Toc536429372"/>
      <w:bookmarkStart w:id="30" w:name="_Toc19543336"/>
      <w:bookmarkStart w:id="31" w:name="_Toc17059"/>
      <w:bookmarkStart w:id="32" w:name="_Toc536202379"/>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4F8E1D2D">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适用范围</w:t>
      </w:r>
    </w:p>
    <w:p w14:paraId="585C91E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373FFF41">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71445DA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eastAsia="宋体" w:cs="宋体"/>
          <w:b/>
          <w:bCs/>
          <w:color w:val="auto"/>
          <w:sz w:val="24"/>
          <w:szCs w:val="24"/>
        </w:rPr>
        <w:t>定义</w:t>
      </w:r>
    </w:p>
    <w:p w14:paraId="622CA6E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2.1采购人：</w:t>
      </w:r>
      <w:r>
        <w:rPr>
          <w:rFonts w:hint="eastAsia" w:ascii="宋体" w:hAnsi="宋体" w:cs="宋体"/>
          <w:bCs/>
          <w:color w:val="auto"/>
          <w:sz w:val="24"/>
          <w:szCs w:val="24"/>
          <w:lang w:eastAsia="zh-CN"/>
        </w:rPr>
        <w:t>安康职业技术学院附属小学。</w:t>
      </w:r>
    </w:p>
    <w:p w14:paraId="3ABB41D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2.2采购代理机构：安康尚昊招标代理有限公司</w:t>
      </w:r>
      <w:r>
        <w:rPr>
          <w:rFonts w:hint="eastAsia" w:ascii="宋体" w:hAnsi="宋体" w:cs="宋体"/>
          <w:bCs/>
          <w:color w:val="auto"/>
          <w:sz w:val="24"/>
          <w:szCs w:val="24"/>
          <w:lang w:eastAsia="zh-CN"/>
        </w:rPr>
        <w:t>。</w:t>
      </w:r>
    </w:p>
    <w:p w14:paraId="1D3DB9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r>
        <w:rPr>
          <w:rFonts w:hint="eastAsia" w:ascii="宋体" w:hAnsi="宋体" w:cs="宋体"/>
          <w:bCs/>
          <w:color w:val="auto"/>
          <w:sz w:val="24"/>
          <w:szCs w:val="24"/>
          <w:lang w:eastAsia="zh-CN"/>
        </w:rPr>
        <w:t>。</w:t>
      </w:r>
    </w:p>
    <w:p w14:paraId="2FF0964C">
      <w:pPr>
        <w:pageBreakBefore w:val="0"/>
        <w:widowControl/>
        <w:wordWrap/>
        <w:topLinePunct w:val="0"/>
        <w:autoSpaceDE/>
        <w:autoSpaceDN/>
        <w:bidi w:val="0"/>
        <w:snapToGrid w:val="0"/>
        <w:spacing w:line="360" w:lineRule="auto"/>
        <w:ind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108BDBB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货物：是指本次投标所需的各种形态和种类的物品。</w:t>
      </w:r>
    </w:p>
    <w:p w14:paraId="7660BFA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3605982A">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eastAsia="宋体" w:cs="宋体"/>
          <w:b/>
          <w:bCs/>
          <w:color w:val="auto"/>
          <w:sz w:val="24"/>
          <w:szCs w:val="24"/>
        </w:rPr>
        <w:t>3．合格的投标人、合格的工程</w:t>
      </w:r>
    </w:p>
    <w:p w14:paraId="4489916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3.1 合格的投标人 </w:t>
      </w:r>
    </w:p>
    <w:p w14:paraId="3E3DA91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3.1.1 依照《中华人民共和国公司法》注册、具有法人资格、符合《中华人民共和国政府采购法》第二十二条要求具备的条件、并具备国家规定的相关该行业必备资质。</w:t>
      </w:r>
    </w:p>
    <w:p w14:paraId="29C66F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3.1.2资</w:t>
      </w:r>
      <w:r>
        <w:rPr>
          <w:rFonts w:hint="eastAsia" w:ascii="宋体" w:hAnsi="宋体" w:cs="宋体"/>
          <w:bCs/>
          <w:color w:val="auto"/>
          <w:sz w:val="24"/>
          <w:szCs w:val="24"/>
          <w:lang w:val="en-US" w:eastAsia="zh-CN"/>
        </w:rPr>
        <w:t>格</w:t>
      </w:r>
      <w:r>
        <w:rPr>
          <w:rFonts w:hint="eastAsia" w:ascii="宋体" w:hAnsi="宋体" w:eastAsia="宋体" w:cs="宋体"/>
          <w:bCs/>
          <w:color w:val="auto"/>
          <w:sz w:val="24"/>
          <w:szCs w:val="24"/>
        </w:rPr>
        <w:t>要求</w:t>
      </w:r>
    </w:p>
    <w:p w14:paraId="40B61420">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61653212">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6F5BEF0E">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4EC0ED4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8D6E2DD">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提供2024年度或2025年度经审计的财务审计报告</w:t>
      </w:r>
      <w:r>
        <w:rPr>
          <w:rFonts w:hint="eastAsia" w:ascii="宋体" w:hAnsi="宋体" w:eastAsia="宋体" w:cs="宋体"/>
          <w:i w:val="0"/>
          <w:iCs w:val="0"/>
          <w:caps w:val="0"/>
          <w:color w:val="auto"/>
          <w:spacing w:val="0"/>
          <w:sz w:val="24"/>
          <w:szCs w:val="24"/>
          <w:shd w:val="clear" w:fill="FFFFFF"/>
        </w:rPr>
        <w:t>（成立时间至提交响应文件截止时间不足一年的可提供成立后任意时段的资产负债表）或其基本存款账户开户银行出具的资信证明。</w:t>
      </w:r>
    </w:p>
    <w:p w14:paraId="67E6AE1E">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7C0E08CC">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13CF719A">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2360636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i w:val="0"/>
          <w:iCs w:val="0"/>
          <w:caps w:val="0"/>
          <w:color w:val="auto"/>
          <w:spacing w:val="0"/>
          <w:sz w:val="24"/>
          <w:szCs w:val="24"/>
          <w:shd w:val="clear" w:fill="FFFFFF"/>
        </w:rPr>
        <w:t>本项目不接受联合体投标。</w:t>
      </w:r>
    </w:p>
    <w:p w14:paraId="7639C72A">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cs="宋体"/>
          <w:color w:val="auto"/>
          <w:kern w:val="0"/>
          <w:sz w:val="24"/>
          <w:szCs w:val="24"/>
          <w:lang w:val="en-US" w:eastAsia="zh-CN" w:bidi="ar-SA"/>
        </w:rPr>
        <w:t>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FDE1F69">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3.1.3 投标人必须从采购代理机构获取磋商文件，未从采购代理机构获取磋商文件的潜在投标人均无资格参加磋商。</w:t>
      </w:r>
    </w:p>
    <w:p w14:paraId="162C5CAE">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3.1.4 本项目不接受联合体磋商。</w:t>
      </w:r>
    </w:p>
    <w:p w14:paraId="50F095DB">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 合格的工程</w:t>
      </w:r>
    </w:p>
    <w:p w14:paraId="355E0355">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3.2.1 工程项目建设依据：采购人提供的资料齐全，可满足施工需要。</w:t>
      </w:r>
    </w:p>
    <w:p w14:paraId="369423A9">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3.2.2 工程范围及工期、质量要求</w:t>
      </w:r>
    </w:p>
    <w:p w14:paraId="44C0DD17">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（1）工程范围：详见工程量清单</w:t>
      </w:r>
    </w:p>
    <w:p w14:paraId="07738ABF">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（2）质量要求：合格</w:t>
      </w:r>
    </w:p>
    <w:p w14:paraId="44C8CE76">
      <w:pPr>
        <w:pStyle w:val="44"/>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bCs/>
          <w:color w:val="auto"/>
          <w:sz w:val="24"/>
          <w:szCs w:val="24"/>
        </w:rPr>
      </w:pPr>
      <w:r>
        <w:rPr>
          <w:rFonts w:hint="eastAsia" w:ascii="宋体" w:hAnsi="宋体" w:eastAsia="宋体" w:cs="宋体"/>
          <w:color w:val="auto"/>
          <w:kern w:val="0"/>
          <w:sz w:val="24"/>
          <w:szCs w:val="24"/>
          <w:lang w:val="en-US" w:eastAsia="zh-CN"/>
        </w:rPr>
        <w:t>a.本工程的工程质量应符合国家工程质量验收标准合格以上要求，投标人应按现行的国家施工验收规范和质量评定标准和施工说明书、设备说明书等技术文件为依据施</w:t>
      </w:r>
      <w:r>
        <w:rPr>
          <w:rFonts w:hint="eastAsia" w:ascii="宋体" w:hAnsi="宋体" w:eastAsia="宋体" w:cs="宋体"/>
          <w:bCs/>
          <w:color w:val="auto"/>
          <w:sz w:val="24"/>
          <w:szCs w:val="24"/>
        </w:rPr>
        <w:t>工。</w:t>
      </w:r>
    </w:p>
    <w:p w14:paraId="77D6363B">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5 %支付赔偿金。</w:t>
      </w:r>
    </w:p>
    <w:p w14:paraId="3E205C4E">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w:t>
      </w:r>
      <w:r>
        <w:rPr>
          <w:rFonts w:hint="eastAsia" w:ascii="宋体" w:hAnsi="宋体" w:eastAsia="宋体" w:cs="宋体"/>
          <w:bCs/>
          <w:color w:val="auto"/>
          <w:sz w:val="24"/>
          <w:szCs w:val="24"/>
          <w:highlight w:val="none"/>
        </w:rPr>
        <w:t xml:space="preserve">.工期：    </w:t>
      </w:r>
      <w:r>
        <w:rPr>
          <w:rFonts w:hint="eastAsia" w:ascii="宋体" w:hAnsi="宋体" w:eastAsia="宋体" w:cs="宋体"/>
          <w:bCs/>
          <w:color w:val="auto"/>
          <w:sz w:val="24"/>
          <w:szCs w:val="24"/>
        </w:rPr>
        <w:t xml:space="preserve"> </w:t>
      </w:r>
    </w:p>
    <w:p w14:paraId="5F365A2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highlight w:val="red"/>
        </w:rPr>
      </w:pPr>
      <w:r>
        <w:rPr>
          <w:rFonts w:hint="eastAsia" w:ascii="宋体" w:hAnsi="宋体" w:eastAsia="宋体" w:cs="宋体"/>
          <w:bCs/>
          <w:color w:val="auto"/>
          <w:sz w:val="24"/>
          <w:szCs w:val="24"/>
        </w:rPr>
        <w:t>本工程按采购人要求施工总工期为</w:t>
      </w:r>
      <w:r>
        <w:rPr>
          <w:rFonts w:hint="eastAsia" w:ascii="宋体" w:hAnsi="宋体" w:cs="宋体"/>
          <w:color w:val="auto"/>
          <w:kern w:val="0"/>
          <w:sz w:val="24"/>
          <w:szCs w:val="24"/>
          <w:lang w:val="en-US" w:eastAsia="zh-CN"/>
        </w:rPr>
        <w:t>自合同签订生效之日起30日历天</w:t>
      </w:r>
      <w:r>
        <w:rPr>
          <w:rFonts w:hint="eastAsia" w:ascii="宋体" w:hAnsi="宋体" w:eastAsia="宋体" w:cs="宋体"/>
          <w:bCs/>
          <w:color w:val="auto"/>
          <w:sz w:val="24"/>
          <w:szCs w:val="24"/>
          <w:highlight w:val="none"/>
        </w:rPr>
        <w:t>。</w:t>
      </w:r>
    </w:p>
    <w:p w14:paraId="7C6BB2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工期延误，如果由于以下原因造成竣工日期推迟延误，经采购人代表确认后，投标人有理由延期完成工程或部分工程，采购人应同投标人协商决定延长竣工时间的期限。</w:t>
      </w:r>
    </w:p>
    <w:p w14:paraId="7382D97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（1）额外的或附加的工程数量。</w:t>
      </w:r>
    </w:p>
    <w:p w14:paraId="389EE79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（2）由采购人原因造成的延误、障碍、阻止。</w:t>
      </w:r>
    </w:p>
    <w:p w14:paraId="409AF8C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（3）不可抗力。</w:t>
      </w:r>
    </w:p>
    <w:p w14:paraId="1A8FA2D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（4）可能会出现的，不属投标人的过失或违约造成的。</w:t>
      </w:r>
    </w:p>
    <w:p w14:paraId="13DC391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3.2.3 踏勘现场</w:t>
      </w:r>
    </w:p>
    <w:p w14:paraId="17B071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2E10F34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采购人和采购代理机构向投标人提供的有关现场的数据和资料，是现有的能被投标人利用的资料，采购人和采购代理机构对投标人做出的任何推论、理解和结论均不承担责任。</w:t>
      </w:r>
    </w:p>
    <w:p w14:paraId="5505AA2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3</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经采购人允许，投标人可为踏勘目的进入项目现场，但投标人不得因此使采购人承担有关的责任和蒙受损失。投标人应承担踏勘现场的责任和风险。</w:t>
      </w:r>
    </w:p>
    <w:p w14:paraId="56B12F46">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）关于信用记录的查询和使用</w:t>
      </w:r>
    </w:p>
    <w:p w14:paraId="021978AE">
      <w:pPr>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采购人将在资格审查阶段通过【</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"http://www.creditchina.gov.cn" </w:instrText>
      </w:r>
      <w:r>
        <w:rPr>
          <w:rFonts w:hint="eastAsia" w:ascii="宋体" w:hAnsi="宋体"/>
          <w:color w:val="auto"/>
          <w:sz w:val="24"/>
          <w:szCs w:val="24"/>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"http://www.ccgp.gov.cn/cr/list" </w:instrText>
      </w:r>
      <w:r>
        <w:rPr>
          <w:rFonts w:hint="eastAsia" w:ascii="宋体" w:hAnsi="宋体"/>
          <w:color w:val="auto"/>
          <w:sz w:val="24"/>
          <w:szCs w:val="24"/>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w:t>
      </w:r>
      <w:r>
        <w:rPr>
          <w:rFonts w:hint="eastAsia" w:ascii="宋体" w:hAnsi="宋体"/>
          <w:color w:val="auto"/>
          <w:sz w:val="24"/>
          <w:szCs w:val="24"/>
          <w:lang w:val="en-US" w:eastAsia="zh-CN"/>
        </w:rPr>
        <w:t>信用记录</w:t>
      </w:r>
      <w:r>
        <w:rPr>
          <w:rFonts w:hint="eastAsia" w:ascii="宋体" w:hAnsi="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信用记录查询的结果，将以纸质截图或将截图保存至电子介质的形式留存。投标人未如实</w:t>
      </w:r>
      <w:r>
        <w:rPr>
          <w:rFonts w:hint="eastAsia" w:ascii="宋体" w:hAnsi="宋体"/>
          <w:color w:val="auto"/>
          <w:sz w:val="24"/>
          <w:szCs w:val="24"/>
          <w:lang w:val="en-US" w:eastAsia="zh-CN"/>
        </w:rPr>
        <w:t>提供</w:t>
      </w:r>
      <w:r>
        <w:rPr>
          <w:rFonts w:hint="eastAsia" w:ascii="宋体" w:hAnsi="宋体"/>
          <w:color w:val="auto"/>
          <w:sz w:val="24"/>
          <w:szCs w:val="24"/>
        </w:rPr>
        <w:t>的，视为“投标人提供虚假材料谋取中标、成交的”行为。</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12B32F0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33293E">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eastAsia="宋体" w:cs="宋体"/>
          <w:b/>
          <w:bCs/>
          <w:color w:val="auto"/>
          <w:sz w:val="24"/>
          <w:szCs w:val="24"/>
        </w:rPr>
        <w:t>费用承担</w:t>
      </w:r>
    </w:p>
    <w:p w14:paraId="2BB573A9">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2083F43A">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eastAsia="宋体" w:cs="宋体"/>
          <w:b/>
          <w:bCs/>
          <w:color w:val="auto"/>
          <w:sz w:val="24"/>
          <w:szCs w:val="24"/>
        </w:rPr>
        <w:t>保密</w:t>
      </w:r>
    </w:p>
    <w:p w14:paraId="5F6B15F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参与磋商活动的各方应对磋商文件和响应文件的商业和技术等秘密保密，违者应对由此造成的后果承担法律责任。</w:t>
      </w:r>
    </w:p>
    <w:p w14:paraId="55812C1C">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eastAsia="宋体" w:cs="宋体"/>
          <w:b/>
          <w:bCs/>
          <w:color w:val="auto"/>
          <w:sz w:val="24"/>
          <w:szCs w:val="24"/>
        </w:rPr>
        <w:t>语言文字</w:t>
      </w:r>
    </w:p>
    <w:p w14:paraId="57E7A39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5C63977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eastAsia="宋体" w:cs="宋体"/>
          <w:b/>
          <w:bCs/>
          <w:color w:val="auto"/>
          <w:sz w:val="24"/>
          <w:szCs w:val="24"/>
        </w:rPr>
        <w:t>计量单位</w:t>
      </w:r>
    </w:p>
    <w:p w14:paraId="7A0EBB0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1E6D1D6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eastAsia="宋体" w:cs="宋体"/>
          <w:b/>
          <w:bCs/>
          <w:color w:val="auto"/>
          <w:sz w:val="24"/>
          <w:szCs w:val="24"/>
        </w:rPr>
        <w:t>踏勘现场</w:t>
      </w:r>
    </w:p>
    <w:p w14:paraId="7CC99DF8">
      <w:pPr>
        <w:pStyle w:val="11"/>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021CE51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10.</w:t>
      </w:r>
      <w:r>
        <w:rPr>
          <w:rFonts w:hint="eastAsia" w:ascii="宋体" w:hAnsi="宋体" w:eastAsia="宋体" w:cs="宋体"/>
          <w:b/>
          <w:bCs/>
          <w:color w:val="auto"/>
          <w:sz w:val="24"/>
          <w:szCs w:val="24"/>
        </w:rPr>
        <w:t>偏离</w:t>
      </w:r>
    </w:p>
    <w:p w14:paraId="13E1C10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4863339E">
      <w:pPr>
        <w:pageBreakBefore w:val="0"/>
        <w:widowControl/>
        <w:numPr>
          <w:ilvl w:val="0"/>
          <w:numId w:val="2"/>
        </w:numPr>
        <w:wordWrap/>
        <w:topLinePunct w:val="0"/>
        <w:autoSpaceDE/>
        <w:autoSpaceDN/>
        <w:bidi w:val="0"/>
        <w:spacing w:line="360" w:lineRule="auto"/>
        <w:ind w:left="0" w:leftChars="0" w:right="0" w:rightChars="0" w:firstLine="643" w:firstLineChars="200"/>
        <w:jc w:val="center"/>
        <w:textAlignment w:val="auto"/>
        <w:outlineLvl w:val="1"/>
        <w:rPr>
          <w:rFonts w:hint="eastAsia" w:ascii="宋体" w:hAnsi="宋体" w:eastAsia="宋体" w:cs="宋体"/>
          <w:b/>
          <w:bCs/>
          <w:color w:val="auto"/>
          <w:kern w:val="0"/>
          <w:sz w:val="32"/>
          <w:szCs w:val="32"/>
        </w:rPr>
      </w:pPr>
      <w:bookmarkStart w:id="33" w:name="_Toc536429373"/>
      <w:bookmarkStart w:id="34" w:name="_Toc3976"/>
      <w:bookmarkStart w:id="35" w:name="_Toc19543337"/>
      <w:bookmarkStart w:id="36" w:name="_Toc536429320"/>
      <w:bookmarkStart w:id="37" w:name="_Toc536202288"/>
      <w:bookmarkStart w:id="38" w:name="_Toc536202380"/>
      <w:r>
        <w:rPr>
          <w:rFonts w:hint="eastAsia" w:ascii="宋体" w:hAnsi="宋体" w:eastAsia="宋体" w:cs="宋体"/>
          <w:b/>
          <w:bCs/>
          <w:color w:val="auto"/>
          <w:kern w:val="0"/>
          <w:sz w:val="32"/>
          <w:szCs w:val="32"/>
        </w:rPr>
        <w:t>竞争性磋商文件</w:t>
      </w:r>
      <w:bookmarkEnd w:id="33"/>
      <w:bookmarkEnd w:id="34"/>
      <w:bookmarkEnd w:id="35"/>
      <w:bookmarkEnd w:id="36"/>
      <w:bookmarkEnd w:id="37"/>
      <w:bookmarkEnd w:id="38"/>
    </w:p>
    <w:p w14:paraId="6F03BC46">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39" w:name="_Toc536202289"/>
      <w:bookmarkStart w:id="40" w:name="_Toc5801"/>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竞争性磋商文件的构成</w:t>
      </w:r>
      <w:bookmarkEnd w:id="39"/>
      <w:bookmarkEnd w:id="40"/>
    </w:p>
    <w:p w14:paraId="4FEFF53D">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3C5AB056">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竞争性磋商公告；</w:t>
      </w:r>
    </w:p>
    <w:p w14:paraId="44DD6D9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供应商须知前附表；</w:t>
      </w:r>
    </w:p>
    <w:p w14:paraId="27A11CB8">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w:t>
      </w:r>
    </w:p>
    <w:p w14:paraId="658C5530">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评分标准；</w:t>
      </w:r>
    </w:p>
    <w:p w14:paraId="36973854">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采购</w:t>
      </w:r>
      <w:r>
        <w:rPr>
          <w:rFonts w:hint="eastAsia" w:ascii="宋体" w:hAnsi="宋体" w:cs="宋体"/>
          <w:color w:val="auto"/>
          <w:sz w:val="24"/>
          <w:szCs w:val="28"/>
          <w:lang w:val="en-US" w:eastAsia="zh-CN"/>
        </w:rPr>
        <w:t>内容及</w:t>
      </w:r>
      <w:r>
        <w:rPr>
          <w:rFonts w:hint="eastAsia" w:ascii="宋体" w:hAnsi="宋体" w:eastAsia="宋体" w:cs="宋体"/>
          <w:color w:val="auto"/>
          <w:sz w:val="24"/>
          <w:szCs w:val="28"/>
        </w:rPr>
        <w:t>要求；</w:t>
      </w:r>
    </w:p>
    <w:p w14:paraId="63D58BBF">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eastAsia="宋体"/>
          <w:color w:val="auto"/>
          <w:sz w:val="24"/>
          <w:szCs w:val="24"/>
        </w:rPr>
        <w:t>商务及合同主要条款</w:t>
      </w:r>
      <w:r>
        <w:rPr>
          <w:rFonts w:hint="eastAsia" w:ascii="宋体" w:hAnsi="宋体" w:eastAsia="宋体" w:cs="宋体"/>
          <w:color w:val="auto"/>
          <w:sz w:val="24"/>
          <w:szCs w:val="28"/>
        </w:rPr>
        <w:t>；</w:t>
      </w:r>
    </w:p>
    <w:p w14:paraId="4A396AA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响应文件格式。</w:t>
      </w:r>
    </w:p>
    <w:p w14:paraId="3A74432E">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1" w:name="_Toc53620229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磋商文件的检查及阅读</w:t>
      </w:r>
      <w:bookmarkEnd w:id="41"/>
    </w:p>
    <w:p w14:paraId="53428C8C">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eastAsia="宋体" w:cs="宋体"/>
          <w:color w:val="auto"/>
          <w:sz w:val="24"/>
          <w:szCs w:val="28"/>
        </w:rPr>
        <w:t>实质性响应是供应商的风险。没有按照竞争性磋商文件要求作出实质性响应的响应文件应作</w:t>
      </w:r>
      <w:r>
        <w:rPr>
          <w:rFonts w:hint="eastAsia" w:ascii="宋体" w:hAnsi="宋体" w:cs="宋体"/>
          <w:color w:val="auto"/>
          <w:sz w:val="24"/>
          <w:szCs w:val="28"/>
          <w:lang w:val="en-US" w:eastAsia="zh-CN"/>
        </w:rPr>
        <w:t>无效文件</w:t>
      </w:r>
      <w:r>
        <w:rPr>
          <w:rFonts w:hint="eastAsia" w:ascii="宋体" w:hAnsi="宋体" w:eastAsia="宋体" w:cs="宋体"/>
          <w:color w:val="auto"/>
          <w:sz w:val="24"/>
          <w:szCs w:val="28"/>
        </w:rPr>
        <w:t>处理。</w:t>
      </w:r>
    </w:p>
    <w:p w14:paraId="29AE7D5F">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2" w:name="_Toc536202292"/>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现场踏勘及磋商文件答疑</w:t>
      </w:r>
      <w:bookmarkEnd w:id="42"/>
    </w:p>
    <w:p w14:paraId="383897CC">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3" w:name="_Toc19797"/>
      <w:bookmarkStart w:id="44" w:name="_Toc536202293"/>
      <w:r>
        <w:rPr>
          <w:rFonts w:hint="eastAsia" w:ascii="宋体" w:hAnsi="宋体" w:cs="宋体"/>
          <w:color w:val="auto"/>
          <w:sz w:val="24"/>
          <w:szCs w:val="28"/>
          <w:lang w:val="en-US" w:eastAsia="zh-CN"/>
        </w:rPr>
        <w:t>4.</w:t>
      </w:r>
      <w:r>
        <w:rPr>
          <w:rFonts w:hint="eastAsia" w:ascii="宋体" w:hAnsi="宋体" w:eastAsia="宋体" w:cs="宋体"/>
          <w:color w:val="auto"/>
          <w:sz w:val="24"/>
          <w:szCs w:val="28"/>
        </w:rPr>
        <w:t>竞争性磋商文件的澄清</w:t>
      </w:r>
      <w:bookmarkEnd w:id="43"/>
      <w:bookmarkEnd w:id="44"/>
    </w:p>
    <w:p w14:paraId="5AD088ED">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4.1供应商应认真阅读和充分理解竞争性磋商文件中所有的事项，如有问题或</w:t>
      </w:r>
      <w:r>
        <w:rPr>
          <w:rFonts w:hint="eastAsia" w:ascii="宋体" w:hAnsi="宋体" w:cs="宋体"/>
          <w:color w:val="auto"/>
          <w:sz w:val="24"/>
          <w:szCs w:val="28"/>
          <w:lang w:eastAsia="zh-CN"/>
        </w:rPr>
        <w:t>异议</w:t>
      </w:r>
      <w:r>
        <w:rPr>
          <w:rFonts w:hint="eastAsia" w:ascii="宋体" w:hAnsi="宋体" w:eastAsia="宋体" w:cs="宋体"/>
          <w:color w:val="auto"/>
          <w:sz w:val="24"/>
          <w:szCs w:val="28"/>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eastAsia="宋体" w:cs="宋体"/>
          <w:color w:val="auto"/>
          <w:sz w:val="24"/>
          <w:szCs w:val="28"/>
        </w:rPr>
        <w:t>因市场行情了解不清造成的后果和风险均由供应商自负。</w:t>
      </w:r>
    </w:p>
    <w:p w14:paraId="4046C612">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auto"/>
          <w:sz w:val="24"/>
          <w:szCs w:val="24"/>
        </w:rPr>
        <w:t>七个工作日内</w:t>
      </w:r>
      <w:r>
        <w:rPr>
          <w:rFonts w:hint="eastAsia" w:ascii="宋体" w:hAnsi="宋体" w:eastAsia="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4.3对于在规定时间内收到的投标人依法提出的询问或者质疑，采购代理机构将按程序及时</w:t>
      </w:r>
      <w:r>
        <w:rPr>
          <w:rFonts w:hint="eastAsia" w:ascii="宋体" w:hAnsi="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文件做出实质性变动，则按照相关规定延长投标截止时间。</w:t>
      </w:r>
    </w:p>
    <w:p w14:paraId="0CC6B133">
      <w:pPr>
        <w:pStyle w:val="9"/>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auto"/>
        </w:rPr>
      </w:pPr>
      <w:r>
        <w:rPr>
          <w:rFonts w:hint="eastAsia" w:ascii="宋体" w:hAnsi="宋体" w:eastAsia="宋体" w:cs="宋体"/>
          <w:color w:val="auto"/>
          <w:sz w:val="24"/>
          <w:szCs w:val="24"/>
        </w:rPr>
        <w:t>4.4投标人提出质疑应当有明确的请求和必要的证明材料。</w:t>
      </w:r>
    </w:p>
    <w:p w14:paraId="42D9D888">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5" w:name="_Toc536202294"/>
      <w:bookmarkStart w:id="46" w:name="_Toc6390"/>
      <w:r>
        <w:rPr>
          <w:rFonts w:hint="eastAsia" w:ascii="宋体" w:hAnsi="宋体" w:cs="宋体"/>
          <w:color w:val="auto"/>
          <w:sz w:val="24"/>
          <w:szCs w:val="28"/>
          <w:lang w:val="en-US" w:eastAsia="zh-CN"/>
        </w:rPr>
        <w:t>5.</w:t>
      </w:r>
      <w:r>
        <w:rPr>
          <w:rFonts w:hint="eastAsia" w:ascii="宋体" w:hAnsi="宋体" w:eastAsia="宋体" w:cs="宋体"/>
          <w:color w:val="auto"/>
          <w:sz w:val="24"/>
          <w:szCs w:val="28"/>
        </w:rPr>
        <w:t>竞争性磋商文件的修改</w:t>
      </w:r>
      <w:bookmarkEnd w:id="45"/>
      <w:bookmarkEnd w:id="46"/>
    </w:p>
    <w:p w14:paraId="0564909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rPr>
        <w:t>不足5日的，顺延提交响应文件的截止时间</w:t>
      </w:r>
      <w:r>
        <w:rPr>
          <w:rFonts w:hint="eastAsia" w:ascii="宋体" w:hAnsi="宋体" w:eastAsia="宋体" w:cs="宋体"/>
          <w:color w:val="auto"/>
          <w:sz w:val="24"/>
          <w:szCs w:val="28"/>
        </w:rPr>
        <w:t>，并</w:t>
      </w:r>
      <w:r>
        <w:rPr>
          <w:rFonts w:hint="eastAsia" w:ascii="宋体" w:hAnsi="宋体" w:eastAsia="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磋商文件的单位。该澄清或者修改的内容为</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文件的组成部分。</w:t>
      </w:r>
    </w:p>
    <w:p w14:paraId="53420E7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文件的修改书将构成</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文件的一部分，对采购人和投标人都具有约束力。</w:t>
      </w:r>
    </w:p>
    <w:p w14:paraId="2F466682">
      <w:pPr>
        <w:pageBreakBefore w:val="0"/>
        <w:wordWrap/>
        <w:topLinePunct w:val="0"/>
        <w:autoSpaceDE/>
        <w:autoSpaceDN/>
        <w:bidi w:val="0"/>
        <w:spacing w:line="360" w:lineRule="auto"/>
        <w:ind w:left="0" w:leftChars="0" w:right="0" w:rightChars="0" w:firstLine="480" w:firstLineChars="200"/>
        <w:textAlignment w:val="auto"/>
        <w:rPr>
          <w:rFonts w:hint="eastAsia"/>
          <w:color w:val="auto"/>
        </w:rPr>
      </w:pPr>
      <w:r>
        <w:rPr>
          <w:rFonts w:hint="eastAsia" w:ascii="宋体" w:hAnsi="宋体" w:eastAsia="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w:t>
      </w:r>
    </w:p>
    <w:p w14:paraId="0EBB0DD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7" w:name="_Toc536202295"/>
      <w:bookmarkStart w:id="48" w:name="_Toc31188"/>
      <w:r>
        <w:rPr>
          <w:rFonts w:hint="eastAsia" w:ascii="宋体" w:hAnsi="宋体" w:cs="宋体"/>
          <w:color w:val="auto"/>
          <w:sz w:val="24"/>
          <w:szCs w:val="28"/>
          <w:lang w:val="en-US" w:eastAsia="zh-CN"/>
        </w:rPr>
        <w:t>6.</w:t>
      </w:r>
      <w:r>
        <w:rPr>
          <w:rFonts w:hint="eastAsia" w:ascii="宋体" w:hAnsi="宋体" w:eastAsia="宋体" w:cs="宋体"/>
          <w:color w:val="auto"/>
          <w:sz w:val="24"/>
          <w:szCs w:val="28"/>
        </w:rPr>
        <w:t>质疑</w:t>
      </w:r>
    </w:p>
    <w:p w14:paraId="146EDD23">
      <w:pPr>
        <w:pStyle w:val="4"/>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eastAsia="宋体" w:cs="宋体"/>
          <w:b w:val="0"/>
          <w:color w:val="auto"/>
          <w:sz w:val="24"/>
          <w:szCs w:val="28"/>
        </w:rPr>
        <w:t>条执行。</w:t>
      </w:r>
    </w:p>
    <w:p w14:paraId="15F09EA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竞争性磋商文件的获取</w:t>
      </w:r>
      <w:bookmarkEnd w:id="47"/>
      <w:bookmarkEnd w:id="48"/>
    </w:p>
    <w:p w14:paraId="13FC0228">
      <w:pPr>
        <w:pageBreakBefore w:val="0"/>
        <w:widowControl/>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eastAsia="宋体" w:cs="宋体"/>
          <w:color w:val="auto"/>
          <w:sz w:val="24"/>
          <w:szCs w:val="28"/>
        </w:rPr>
        <w:t>竞争性磋商文件，供应商自行转让或复制竞争性磋商文件视为无效。竞争性磋商文件仅作为本次竞争性磋商使用。</w:t>
      </w:r>
    </w:p>
    <w:p w14:paraId="336CE1B0">
      <w:pPr>
        <w:pStyle w:val="9"/>
        <w:pageBreakBefore w:val="0"/>
        <w:wordWrap/>
        <w:topLinePunct w:val="0"/>
        <w:autoSpaceDE/>
        <w:autoSpaceDN/>
        <w:bidi w:val="0"/>
        <w:spacing w:line="360" w:lineRule="auto"/>
        <w:ind w:left="0" w:leftChars="0" w:right="0" w:rightChars="0" w:firstLine="482" w:firstLineChars="200"/>
        <w:jc w:val="left"/>
        <w:textAlignment w:val="auto"/>
        <w:rPr>
          <w:rFonts w:hint="eastAsia" w:ascii="宋体" w:hAnsi="宋体" w:eastAsia="宋体" w:cs="宋体"/>
          <w:color w:val="auto"/>
          <w:sz w:val="24"/>
          <w:szCs w:val="28"/>
        </w:rPr>
      </w:pPr>
      <w:bookmarkStart w:id="49" w:name="_Toc536202296"/>
      <w:bookmarkStart w:id="50" w:name="_Toc5095"/>
      <w:r>
        <w:rPr>
          <w:rFonts w:hint="eastAsia" w:ascii="宋体" w:hAnsi="宋体" w:cs="宋体"/>
          <w:b/>
          <w:bCs/>
          <w:color w:val="auto"/>
          <w:sz w:val="24"/>
          <w:szCs w:val="28"/>
          <w:lang w:eastAsia="zh-CN"/>
        </w:rPr>
        <w:t>8.</w:t>
      </w:r>
      <w:r>
        <w:rPr>
          <w:rFonts w:hint="eastAsia" w:ascii="宋体" w:hAnsi="宋体" w:eastAsia="宋体" w:cs="宋体"/>
          <w:b/>
          <w:bCs/>
          <w:color w:val="auto"/>
          <w:sz w:val="24"/>
          <w:szCs w:val="28"/>
        </w:rPr>
        <w:t>竞争性磋商文件的解释权归代理机构</w:t>
      </w:r>
      <w:bookmarkEnd w:id="49"/>
      <w:bookmarkEnd w:id="50"/>
      <w:r>
        <w:rPr>
          <w:rFonts w:hint="eastAsia" w:ascii="宋体" w:hAnsi="宋体" w:eastAsia="宋体" w:cs="宋体"/>
          <w:color w:val="auto"/>
          <w:sz w:val="24"/>
          <w:szCs w:val="28"/>
        </w:rPr>
        <w:t>（ 如发现</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8"/>
        </w:rPr>
        <w:t>内容与现行法律法规不相符的情况，以现行法律法规为准</w:t>
      </w:r>
      <w:r>
        <w:rPr>
          <w:rFonts w:hint="eastAsia" w:ascii="宋体" w:hAnsi="宋体" w:cs="宋体"/>
          <w:color w:val="auto"/>
          <w:sz w:val="24"/>
          <w:szCs w:val="28"/>
          <w:lang w:eastAsia="zh-CN"/>
        </w:rPr>
        <w:t>）。</w:t>
      </w:r>
    </w:p>
    <w:p w14:paraId="34DE26E2">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51" w:name="_Toc536429374"/>
      <w:bookmarkStart w:id="52" w:name="_Toc622"/>
      <w:bookmarkStart w:id="53" w:name="_Toc19543338"/>
      <w:bookmarkStart w:id="54" w:name="_Toc536202381"/>
      <w:bookmarkStart w:id="55" w:name="_Toc536429321"/>
      <w:bookmarkStart w:id="56" w:name="_Toc536202297"/>
      <w:r>
        <w:rPr>
          <w:rFonts w:hint="eastAsia" w:ascii="宋体" w:hAnsi="宋体" w:eastAsia="宋体" w:cs="宋体"/>
          <w:b/>
          <w:bCs/>
          <w:color w:val="auto"/>
          <w:kern w:val="0"/>
          <w:sz w:val="28"/>
          <w:szCs w:val="32"/>
        </w:rPr>
        <w:t>响应文件</w:t>
      </w:r>
      <w:bookmarkEnd w:id="51"/>
      <w:bookmarkEnd w:id="52"/>
      <w:bookmarkEnd w:id="53"/>
      <w:bookmarkEnd w:id="54"/>
      <w:bookmarkEnd w:id="55"/>
      <w:bookmarkEnd w:id="56"/>
    </w:p>
    <w:p w14:paraId="201D3C0C">
      <w:pPr>
        <w:pStyle w:val="4"/>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0A87C19F">
      <w:pPr>
        <w:pStyle w:val="4"/>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31B0193C">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响应文件构成和格式</w:t>
      </w:r>
    </w:p>
    <w:p w14:paraId="5EE2CD74">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val="en-US" w:eastAsia="zh-CN"/>
        </w:rPr>
        <w:t>响应</w:t>
      </w:r>
      <w:r>
        <w:rPr>
          <w:rFonts w:hint="eastAsia" w:ascii="宋体" w:hAnsi="宋体" w:eastAsia="宋体" w:cs="宋体"/>
          <w:bCs/>
          <w:color w:val="auto"/>
          <w:kern w:val="0"/>
          <w:sz w:val="24"/>
          <w:szCs w:val="24"/>
        </w:rPr>
        <w:t>文件，不得缺少</w:t>
      </w:r>
      <w:r>
        <w:rPr>
          <w:rFonts w:hint="eastAsia" w:ascii="宋体" w:hAnsi="宋体" w:cs="宋体"/>
          <w:bCs/>
          <w:color w:val="auto"/>
          <w:kern w:val="0"/>
          <w:sz w:val="24"/>
          <w:szCs w:val="24"/>
          <w:lang w:val="en-US" w:eastAsia="zh-CN"/>
        </w:rPr>
        <w:t>竞争性磋商</w:t>
      </w:r>
      <w:r>
        <w:rPr>
          <w:rFonts w:hint="eastAsia" w:ascii="宋体" w:hAnsi="宋体" w:eastAsia="宋体" w:cs="宋体"/>
          <w:bCs/>
          <w:color w:val="auto"/>
          <w:kern w:val="0"/>
          <w:sz w:val="24"/>
          <w:szCs w:val="24"/>
        </w:rPr>
        <w:t>文件要求填写的表格或提交的资料。</w:t>
      </w:r>
    </w:p>
    <w:p w14:paraId="01DD586C">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57" w:name="_Toc536202299"/>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磋商报价</w:t>
      </w:r>
      <w:bookmarkEnd w:id="57"/>
    </w:p>
    <w:p w14:paraId="6D72EA44">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8"/>
          <w:szCs w:val="22"/>
        </w:rPr>
      </w:pPr>
      <w:bookmarkStart w:id="58" w:name="_Toc29200"/>
      <w:bookmarkStart w:id="59" w:name="_Toc536202300"/>
      <w:r>
        <w:rPr>
          <w:rFonts w:hint="eastAsia" w:ascii="宋体" w:hAnsi="宋体" w:eastAsia="宋体" w:cs="宋体"/>
          <w:color w:val="auto"/>
          <w:sz w:val="24"/>
        </w:rPr>
        <w:t>（1）磋商报价为供应商充分考虑磋商文件的各项条款和所掌握的市场情况及本项目的实际情况，根据自身情况自主报价。</w:t>
      </w:r>
    </w:p>
    <w:p w14:paraId="72965CC1">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（2）供应商应在响应报价表中标明本次招标所要求的货物、服务且验收合格的所有费用。</w:t>
      </w:r>
    </w:p>
    <w:p w14:paraId="2E04AA37">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auto"/>
          <w:spacing w:val="4"/>
          <w:sz w:val="24"/>
        </w:rPr>
        <w:t>供应商应考虑全部材料的风险，供应商一旦成交，采购人将不再对此部分进行调整；供应商的报价应将此差异考虑在综合单价内，</w:t>
      </w:r>
      <w:r>
        <w:rPr>
          <w:rFonts w:hint="eastAsia" w:ascii="宋体" w:hAnsi="宋体" w:eastAsia="宋体" w:cs="宋体"/>
          <w:color w:val="auto"/>
          <w:sz w:val="24"/>
          <w:szCs w:val="24"/>
        </w:rPr>
        <w:t>采购人及学院不再</w:t>
      </w:r>
      <w:r>
        <w:rPr>
          <w:rFonts w:hint="eastAsia" w:ascii="宋体" w:hAnsi="宋体" w:cs="宋体"/>
          <w:color w:val="auto"/>
          <w:sz w:val="24"/>
          <w:szCs w:val="24"/>
          <w:lang w:eastAsia="zh-CN"/>
        </w:rPr>
        <w:t>承担其他任何</w:t>
      </w:r>
      <w:r>
        <w:rPr>
          <w:rFonts w:hint="eastAsia" w:ascii="宋体" w:hAnsi="宋体" w:eastAsia="宋体" w:cs="宋体"/>
          <w:color w:val="auto"/>
          <w:sz w:val="24"/>
          <w:szCs w:val="24"/>
        </w:rPr>
        <w:t>费用</w:t>
      </w:r>
      <w:r>
        <w:rPr>
          <w:rFonts w:hint="eastAsia" w:ascii="宋体" w:hAnsi="宋体" w:eastAsia="宋体" w:cs="宋体"/>
          <w:color w:val="auto"/>
          <w:spacing w:val="4"/>
          <w:sz w:val="24"/>
        </w:rPr>
        <w:t>。</w:t>
      </w:r>
    </w:p>
    <w:p w14:paraId="7407AF31">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（4）响应报价表应有法定代表人或被授权人的签字。</w:t>
      </w:r>
    </w:p>
    <w:p w14:paraId="6BCE4049">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磋商货币</w:t>
      </w:r>
      <w:bookmarkEnd w:id="58"/>
      <w:bookmarkEnd w:id="59"/>
    </w:p>
    <w:p w14:paraId="3CA0B5E1">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eastAsia="宋体" w:cs="宋体"/>
          <w:color w:val="auto"/>
          <w:kern w:val="0"/>
          <w:sz w:val="24"/>
          <w:szCs w:val="28"/>
        </w:rPr>
        <w:t>采购人只接受人民币作为唯一磋商货币。以人民币为投标货币。以元为报价单位，保留小数点后两位。</w:t>
      </w:r>
    </w:p>
    <w:p w14:paraId="01548AB3">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0" w:name="_Toc536202302"/>
      <w:r>
        <w:rPr>
          <w:rFonts w:hint="eastAsia" w:ascii="宋体" w:hAnsi="宋体" w:cs="宋体"/>
          <w:color w:val="auto"/>
          <w:sz w:val="24"/>
          <w:szCs w:val="28"/>
          <w:lang w:val="en-US" w:eastAsia="zh-CN"/>
        </w:rPr>
        <w:t>4.</w:t>
      </w:r>
      <w:r>
        <w:rPr>
          <w:rFonts w:hint="eastAsia" w:ascii="宋体" w:hAnsi="宋体" w:eastAsia="宋体" w:cs="宋体"/>
          <w:color w:val="auto"/>
          <w:sz w:val="24"/>
          <w:szCs w:val="28"/>
        </w:rPr>
        <w:t>响应有效期</w:t>
      </w:r>
      <w:bookmarkEnd w:id="60"/>
    </w:p>
    <w:p w14:paraId="13D34F8F">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1" w:name="_Toc24827"/>
      <w:bookmarkStart w:id="62" w:name="_Toc536202303"/>
      <w:r>
        <w:rPr>
          <w:rFonts w:hint="eastAsia" w:ascii="宋体" w:hAnsi="宋体" w:cs="宋体"/>
          <w:color w:val="auto"/>
          <w:sz w:val="24"/>
          <w:szCs w:val="28"/>
          <w:lang w:val="en-US" w:eastAsia="zh-CN"/>
        </w:rPr>
        <w:t>5.</w:t>
      </w:r>
      <w:r>
        <w:rPr>
          <w:rFonts w:hint="eastAsia" w:ascii="宋体" w:hAnsi="宋体" w:eastAsia="宋体" w:cs="宋体"/>
          <w:color w:val="auto"/>
          <w:sz w:val="24"/>
          <w:szCs w:val="28"/>
        </w:rPr>
        <w:t>响应文件的格式、装订、密封和签署</w:t>
      </w:r>
      <w:bookmarkEnd w:id="61"/>
      <w:bookmarkEnd w:id="62"/>
    </w:p>
    <w:p w14:paraId="0E78D8F1">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auto"/>
          <w:sz w:val="24"/>
          <w:szCs w:val="28"/>
        </w:rPr>
        <w:t>；所有的副本可以为正本的复印件。</w:t>
      </w:r>
    </w:p>
    <w:p w14:paraId="62050336">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.2响应文件的装订</w:t>
      </w:r>
    </w:p>
    <w:p w14:paraId="0FC912A1">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kern w:val="2"/>
          <w:sz w:val="24"/>
          <w:szCs w:val="24"/>
          <w:lang w:val="en-US" w:eastAsia="zh-CN" w:bidi="ar-SA"/>
        </w:rPr>
        <w:t>响应文件正本壹份、副本贰份，分别胶装装订成册，且封面须清楚地标明“正本”、“副本”；若正本和副本不符，以正本为准；同时提供与正本内容一致的电子版（电子文件内容须为签字齐全并加盖响应单位公章（鲜章）正本响应文件全部内容的扫描件，格式为PDF），电子版放置正本密封袋内</w:t>
      </w:r>
      <w:r>
        <w:rPr>
          <w:rFonts w:hint="eastAsia" w:ascii="宋体" w:hAnsi="宋体" w:cs="宋体"/>
          <w:color w:val="auto"/>
          <w:kern w:val="2"/>
          <w:sz w:val="24"/>
          <w:szCs w:val="24"/>
          <w:lang w:val="en-US" w:eastAsia="zh-CN" w:bidi="ar-SA"/>
        </w:rPr>
        <w:t>。</w:t>
      </w:r>
    </w:p>
    <w:p w14:paraId="452E79DB">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.3响应文件的签署</w:t>
      </w:r>
    </w:p>
    <w:p w14:paraId="023E7E61">
      <w:pPr>
        <w:pageBreakBefore w:val="0"/>
        <w:numPr>
          <w:ilvl w:val="0"/>
          <w:numId w:val="4"/>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供应商应在</w:t>
      </w:r>
      <w:r>
        <w:rPr>
          <w:rFonts w:hint="eastAsia" w:ascii="宋体" w:hAnsi="宋体" w:cs="宋体"/>
          <w:color w:val="auto"/>
          <w:sz w:val="24"/>
          <w:szCs w:val="28"/>
          <w:lang w:val="en-US" w:eastAsia="zh-CN"/>
        </w:rPr>
        <w:t>响应</w:t>
      </w:r>
      <w:r>
        <w:rPr>
          <w:rFonts w:hint="eastAsia" w:ascii="宋体" w:hAnsi="宋体" w:eastAsia="宋体" w:cs="宋体"/>
          <w:color w:val="auto"/>
          <w:sz w:val="24"/>
          <w:szCs w:val="28"/>
        </w:rPr>
        <w:t>文件中指定的页面落款处填写供应商全称，并按要求加盖公章及签字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eastAsia="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的封面）侧面还需加盖骑缝章。</w:t>
      </w:r>
    </w:p>
    <w:p w14:paraId="784B00C7">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响应文件应字迹清楚、内容齐全、不得涂改或增删。如有修改和增删，必须有供应商公章及法定代表人或其授权代表签字。</w:t>
      </w:r>
    </w:p>
    <w:p w14:paraId="2CDCB9C2">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因响应文件字迹潦草或表达不清所引起的不利后果由供应商承担。</w:t>
      </w:r>
    </w:p>
    <w:p w14:paraId="50ACAD6C">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.4响应文件的密封</w:t>
      </w:r>
    </w:p>
    <w:p w14:paraId="1469CDBD">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auto"/>
          <w:kern w:val="0"/>
          <w:sz w:val="24"/>
          <w:szCs w:val="28"/>
        </w:rPr>
      </w:pP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eastAsia="宋体" w:cs="宋体"/>
          <w:color w:val="auto"/>
          <w:sz w:val="24"/>
          <w:szCs w:val="28"/>
        </w:rPr>
        <w:t>、响应文件正本、副本应分开封装在单独的封袋中（封袋不得有破损），且在封袋正面标明“正本”“副本”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cs="宋体"/>
          <w:color w:val="auto"/>
          <w:sz w:val="24"/>
          <w:szCs w:val="28"/>
          <w:lang w:eastAsia="zh-CN"/>
        </w:rPr>
        <w:t>”</w:t>
      </w:r>
      <w:r>
        <w:rPr>
          <w:rFonts w:hint="eastAsia" w:ascii="宋体" w:hAnsi="宋体" w:eastAsia="宋体" w:cs="宋体"/>
          <w:color w:val="auto"/>
          <w:sz w:val="24"/>
          <w:szCs w:val="28"/>
        </w:rPr>
        <w:t>，电子版放置“正本”密封袋内。封袋应加贴封条，并在封线处加盖供应商</w:t>
      </w:r>
      <w:r>
        <w:rPr>
          <w:rFonts w:hint="eastAsia" w:ascii="宋体" w:hAnsi="宋体" w:eastAsia="宋体" w:cs="宋体"/>
          <w:color w:val="auto"/>
          <w:kern w:val="0"/>
          <w:sz w:val="24"/>
          <w:szCs w:val="28"/>
        </w:rPr>
        <w:t>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，封袋正面要粘贴供应商全称、项目名称、编号等标识</w:t>
      </w:r>
      <w:r>
        <w:rPr>
          <w:rFonts w:hint="eastAsia" w:ascii="宋体" w:hAnsi="宋体" w:cs="宋体"/>
          <w:color w:val="auto"/>
          <w:sz w:val="24"/>
          <w:szCs w:val="28"/>
          <w:lang w:eastAsia="zh-CN"/>
        </w:rPr>
        <w:t>且</w:t>
      </w:r>
      <w:r>
        <w:rPr>
          <w:rFonts w:hint="eastAsia" w:ascii="宋体" w:hAnsi="宋体" w:eastAsia="宋体" w:cs="宋体"/>
          <w:color w:val="auto"/>
          <w:kern w:val="0"/>
          <w:sz w:val="24"/>
          <w:szCs w:val="28"/>
        </w:rPr>
        <w:t>响应文件袋上应加盖供应商公章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kern w:val="0"/>
          <w:sz w:val="24"/>
          <w:szCs w:val="28"/>
        </w:rPr>
        <w:t>，如果未按上述规定进行密封，供应商的响应文件有权被拒绝</w:t>
      </w:r>
      <w:r>
        <w:rPr>
          <w:rFonts w:hint="eastAsia" w:ascii="宋体" w:hAnsi="宋体" w:eastAsia="宋体" w:cs="宋体"/>
          <w:color w:val="auto"/>
          <w:sz w:val="24"/>
          <w:szCs w:val="28"/>
        </w:rPr>
        <w:t>。</w:t>
      </w:r>
    </w:p>
    <w:p w14:paraId="77C4B044">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如果供应商未按上述要求密封及加写标记，误投或过早启封的响应文件，将自行承担其响应文件被视为无效响应文件的风险。</w:t>
      </w:r>
    </w:p>
    <w:p w14:paraId="5DD50AC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.5本次磋商只接受简体中文文字的响应文件；如响应文件中出现外文资料，必须配以中文译文。否则，由此引发的一切责任由供应商自负。</w:t>
      </w:r>
    </w:p>
    <w:p w14:paraId="7600413E">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cs="宋体"/>
          <w:color w:val="auto"/>
          <w:kern w:val="0"/>
          <w:sz w:val="24"/>
          <w:szCs w:val="28"/>
          <w:lang w:val="en-US" w:eastAsia="zh-CN"/>
        </w:rPr>
        <w:t>5</w:t>
      </w:r>
      <w:r>
        <w:rPr>
          <w:rFonts w:hint="eastAsia" w:ascii="宋体" w:hAnsi="宋体" w:eastAsia="宋体" w:cs="宋体"/>
          <w:color w:val="auto"/>
          <w:kern w:val="0"/>
          <w:sz w:val="24"/>
          <w:szCs w:val="28"/>
        </w:rPr>
        <w:t>.6拒绝接受以电话、传真、电子邮件形式的磋商。</w:t>
      </w:r>
    </w:p>
    <w:p w14:paraId="6B9C32B9">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63" w:name="_Toc4747"/>
      <w:bookmarkStart w:id="64" w:name="_Toc19543339"/>
      <w:bookmarkStart w:id="65" w:name="_Toc536202382"/>
      <w:bookmarkStart w:id="66" w:name="_Toc3565"/>
      <w:bookmarkStart w:id="67" w:name="_Toc536202305"/>
      <w:bookmarkStart w:id="68" w:name="_Toc536429375"/>
      <w:bookmarkStart w:id="69" w:name="_Toc536429322"/>
      <w:bookmarkStart w:id="70" w:name="_Toc3736"/>
      <w:r>
        <w:rPr>
          <w:rFonts w:hint="eastAsia" w:ascii="宋体" w:hAnsi="宋体" w:eastAsia="宋体" w:cs="宋体"/>
          <w:b/>
          <w:bCs/>
          <w:color w:val="auto"/>
          <w:kern w:val="0"/>
          <w:sz w:val="28"/>
          <w:szCs w:val="32"/>
        </w:rPr>
        <w:t>响应文件的递交</w:t>
      </w:r>
      <w:bookmarkEnd w:id="63"/>
      <w:bookmarkEnd w:id="64"/>
      <w:bookmarkEnd w:id="65"/>
      <w:bookmarkEnd w:id="66"/>
      <w:bookmarkEnd w:id="67"/>
      <w:bookmarkEnd w:id="68"/>
      <w:bookmarkEnd w:id="69"/>
      <w:r>
        <w:rPr>
          <w:rFonts w:hint="eastAsia" w:ascii="宋体" w:hAnsi="宋体" w:eastAsia="宋体" w:cs="宋体"/>
          <w:b/>
          <w:bCs/>
          <w:color w:val="auto"/>
          <w:kern w:val="0"/>
          <w:sz w:val="28"/>
          <w:szCs w:val="32"/>
        </w:rPr>
        <w:t xml:space="preserve"> </w:t>
      </w:r>
    </w:p>
    <w:bookmarkEnd w:id="70"/>
    <w:p w14:paraId="57536D52">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1" w:name="_Toc3685"/>
      <w:bookmarkStart w:id="72" w:name="_Toc536202306"/>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响应文件递交</w:t>
      </w:r>
      <w:bookmarkEnd w:id="71"/>
      <w:bookmarkEnd w:id="72"/>
    </w:p>
    <w:p w14:paraId="4E5F6DD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1.2代理机构在宣布递交响应文件时间截止之后，拒绝接收任何人送达、递交的响应文件及其他资料；</w:t>
      </w:r>
    </w:p>
    <w:p w14:paraId="0E993133">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1.3代理机构不接受邮寄的响应文件；</w:t>
      </w:r>
    </w:p>
    <w:p w14:paraId="5D6F751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1.4无论供应商成交与否，其响应文件恕不退还。</w:t>
      </w:r>
    </w:p>
    <w:p w14:paraId="0733FB3F">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3" w:name="_Toc12741"/>
      <w:bookmarkStart w:id="74" w:name="_Toc536202307"/>
      <w:r>
        <w:rPr>
          <w:rFonts w:hint="eastAsia" w:ascii="宋体" w:hAnsi="宋体" w:cs="宋体"/>
          <w:color w:val="auto"/>
          <w:sz w:val="24"/>
          <w:szCs w:val="28"/>
          <w:lang w:val="en-US" w:eastAsia="zh-CN"/>
        </w:rPr>
        <w:t>2.</w:t>
      </w:r>
      <w:r>
        <w:rPr>
          <w:rFonts w:hint="eastAsia" w:ascii="宋体" w:hAnsi="宋体" w:eastAsia="宋体" w:cs="宋体"/>
          <w:color w:val="auto"/>
          <w:sz w:val="24"/>
          <w:szCs w:val="28"/>
        </w:rPr>
        <w:t>响应文件的修改和撤回</w:t>
      </w:r>
      <w:bookmarkEnd w:id="73"/>
      <w:bookmarkEnd w:id="74"/>
    </w:p>
    <w:p w14:paraId="410C689E">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eastAsia="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1D4D0427">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2.4投标截止时间之后，供应商不得补充、修改响应文件。</w:t>
      </w:r>
    </w:p>
    <w:p w14:paraId="6EB0544A">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75" w:name="_Toc19543340"/>
      <w:bookmarkStart w:id="76" w:name="_Toc536429323"/>
      <w:bookmarkStart w:id="77" w:name="_Toc175"/>
      <w:bookmarkStart w:id="78" w:name="_Toc14415"/>
      <w:bookmarkStart w:id="79" w:name="_Toc536429376"/>
      <w:bookmarkStart w:id="80" w:name="_Toc536202308"/>
      <w:bookmarkStart w:id="81" w:name="_Toc27066"/>
      <w:bookmarkStart w:id="82" w:name="_Toc536202383"/>
      <w:r>
        <w:rPr>
          <w:rFonts w:hint="eastAsia" w:ascii="宋体" w:hAnsi="宋体" w:eastAsia="宋体" w:cs="宋体"/>
          <w:b/>
          <w:bCs/>
          <w:color w:val="auto"/>
          <w:kern w:val="0"/>
          <w:sz w:val="28"/>
          <w:szCs w:val="28"/>
        </w:rPr>
        <w:t>磋商、评审、定标</w:t>
      </w:r>
      <w:bookmarkEnd w:id="75"/>
      <w:bookmarkEnd w:id="76"/>
      <w:bookmarkEnd w:id="77"/>
      <w:bookmarkEnd w:id="78"/>
      <w:bookmarkEnd w:id="79"/>
      <w:bookmarkEnd w:id="80"/>
      <w:bookmarkEnd w:id="81"/>
      <w:bookmarkEnd w:id="82"/>
    </w:p>
    <w:p w14:paraId="6B088C2D">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3" w:name="_Toc536202309"/>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磋商</w:t>
      </w:r>
      <w:bookmarkEnd w:id="83"/>
    </w:p>
    <w:p w14:paraId="39B45FB8">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eastAsia="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密封情况是否与递交时一致，没有被提前启封等异常情况。</w:t>
      </w:r>
    </w:p>
    <w:p w14:paraId="025BCC27">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1.3经确认无误后，</w:t>
      </w:r>
      <w:r>
        <w:rPr>
          <w:rFonts w:hint="eastAsia" w:ascii="宋体" w:hAnsi="宋体" w:eastAsia="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将不予拆封。</w:t>
      </w:r>
    </w:p>
    <w:p w14:paraId="087672C5">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拆封后，宣读投标人名称</w:t>
      </w:r>
      <w:r>
        <w:rPr>
          <w:rFonts w:hint="eastAsia" w:ascii="宋体" w:hAnsi="宋体" w:eastAsia="宋体" w:cs="宋体"/>
          <w:bCs/>
          <w:color w:val="auto"/>
          <w:sz w:val="24"/>
          <w:szCs w:val="24"/>
        </w:rPr>
        <w:t>。</w:t>
      </w:r>
    </w:p>
    <w:p w14:paraId="2AAE68CA">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4" w:name="_Toc53620231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磋商小组</w:t>
      </w:r>
      <w:bookmarkEnd w:id="84"/>
    </w:p>
    <w:p w14:paraId="7ED537FD">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bookmarkStart w:id="85" w:name="_Toc28085"/>
      <w:bookmarkStart w:id="86" w:name="_Toc386129876"/>
      <w:bookmarkStart w:id="87" w:name="_Toc385958808"/>
      <w:bookmarkStart w:id="88" w:name="_Toc27940"/>
      <w:bookmarkStart w:id="89" w:name="_Toc536202311"/>
      <w:r>
        <w:rPr>
          <w:rFonts w:hint="eastAsia" w:ascii="宋体" w:hAnsi="宋体" w:eastAsia="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（1）要严格遵守政府采购相关法律制度，依法履行各自职责，公正、客观、审慎地组织和参与评审工作；</w:t>
      </w:r>
    </w:p>
    <w:p w14:paraId="696E30BD">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eastAsia="宋体" w:cs="宋体"/>
          <w:color w:val="auto"/>
          <w:sz w:val="24"/>
        </w:rPr>
        <w:t>；</w:t>
      </w:r>
    </w:p>
    <w:p w14:paraId="5F65456C">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（3）按磋商文件规定的评审方法和标准，进行比较和评价；对供应商的价格分等客观评分项的评分应当一致；</w:t>
      </w:r>
    </w:p>
    <w:p w14:paraId="6956CD98">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（4）要求供应商对响应文件有关事项作出解释或澄清；</w:t>
      </w:r>
    </w:p>
    <w:p w14:paraId="6349F60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（5）要依法独立评审，按照磋商文件的要求和评标标准进行评标，推荐成交候选供应商名单，对评审意见承担个人责任；</w:t>
      </w:r>
    </w:p>
    <w:p w14:paraId="2E3A91A4">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eastAsia="宋体" w:cs="宋体"/>
          <w:color w:val="auto"/>
          <w:sz w:val="24"/>
        </w:rPr>
        <w:t xml:space="preserve">结论。持不同意见的磋商小组成员应当在评审报告上签署不同意见并说明理由，否则视为同意； </w:t>
      </w:r>
    </w:p>
    <w:p w14:paraId="2EC7B1D6">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（7）对评审情况以及在评审过程中获悉的国家秘密、商业秘密负有保密责任；</w:t>
      </w:r>
    </w:p>
    <w:p w14:paraId="5928C6B1">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配合财政部门的投诉处理工作；</w:t>
      </w:r>
    </w:p>
    <w:p w14:paraId="44A00EE9">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9</w:t>
      </w:r>
      <w:r>
        <w:rPr>
          <w:rFonts w:hint="eastAsia" w:ascii="宋体" w:hAnsi="宋体" w:eastAsia="宋体" w:cs="宋体"/>
          <w:color w:val="auto"/>
          <w:sz w:val="24"/>
          <w:lang w:eastAsia="zh-CN"/>
        </w:rPr>
        <w:t>）</w:t>
      </w:r>
      <w:r>
        <w:rPr>
          <w:rFonts w:hint="eastAsia" w:ascii="宋体" w:hAnsi="宋体" w:eastAsia="宋体" w:cs="宋体"/>
          <w:color w:val="auto"/>
          <w:sz w:val="24"/>
        </w:rPr>
        <w:t>配合采购人、采购代理机构答复供应商提出的质疑。</w:t>
      </w:r>
    </w:p>
    <w:bookmarkEnd w:id="85"/>
    <w:bookmarkEnd w:id="86"/>
    <w:bookmarkEnd w:id="87"/>
    <w:bookmarkEnd w:id="88"/>
    <w:bookmarkEnd w:id="89"/>
    <w:p w14:paraId="57FE6785">
      <w:pPr>
        <w:pageBreakBefore w:val="0"/>
        <w:wordWrap/>
        <w:topLinePunct w:val="0"/>
        <w:autoSpaceDE/>
        <w:autoSpaceDN/>
        <w:bidi w:val="0"/>
        <w:spacing w:line="360" w:lineRule="auto"/>
        <w:ind w:right="0" w:rightChars="0" w:firstLine="482" w:firstLineChars="200"/>
        <w:textAlignment w:val="auto"/>
        <w:rPr>
          <w:rFonts w:hint="eastAsia" w:ascii="宋体" w:hAnsi="宋体" w:eastAsia="宋体" w:cs="宋体"/>
          <w:b/>
          <w:color w:val="auto"/>
          <w:sz w:val="24"/>
        </w:rPr>
      </w:pPr>
      <w:bookmarkStart w:id="90" w:name="_Toc536202313"/>
      <w:r>
        <w:rPr>
          <w:rFonts w:hint="eastAsia" w:ascii="宋体" w:hAnsi="宋体" w:cs="宋体"/>
          <w:b/>
          <w:color w:val="auto"/>
          <w:sz w:val="24"/>
          <w:lang w:eastAsia="zh-CN"/>
        </w:rPr>
        <w:t>3.</w:t>
      </w:r>
      <w:r>
        <w:rPr>
          <w:rFonts w:hint="eastAsia" w:ascii="宋体" w:hAnsi="宋体" w:eastAsia="宋体" w:cs="宋体"/>
          <w:b/>
          <w:color w:val="auto"/>
          <w:sz w:val="24"/>
        </w:rPr>
        <w:t>响应文件的初审</w:t>
      </w:r>
    </w:p>
    <w:p w14:paraId="6714E68C">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14:paraId="6F14F6BE">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w:t>
      </w:r>
      <w:r>
        <w:rPr>
          <w:rFonts w:hint="eastAsia" w:ascii="宋体" w:hAnsi="宋体" w:cs="宋体"/>
          <w:color w:val="auto"/>
          <w:sz w:val="24"/>
          <w:lang w:val="en-US" w:eastAsia="zh-CN"/>
        </w:rPr>
        <w:t>第二部分供应商须知前附表第11项</w:t>
      </w:r>
      <w:r>
        <w:rPr>
          <w:rFonts w:hint="eastAsia" w:ascii="宋体" w:hAnsi="宋体" w:eastAsia="宋体" w:cs="宋体"/>
          <w:color w:val="auto"/>
          <w:sz w:val="24"/>
        </w:rPr>
        <w:t>的规定，对供应商的资格证明文件进行审查，以确定供应商是否具备磋商资格。</w:t>
      </w:r>
    </w:p>
    <w:p w14:paraId="5C69E5BF">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（3）符合性审查：依据磋商文件规定，从响应文件的有效性、完整性和对磋商文件的响应程度进行审查。</w:t>
      </w:r>
    </w:p>
    <w:tbl>
      <w:tblPr>
        <w:tblStyle w:val="34"/>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54BD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ABB9E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76C5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1A67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C603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AF48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0D07D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B1AF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59" w:type="dxa"/>
            <w:tcBorders>
              <w:top w:val="single" w:color="auto" w:sz="4" w:space="0"/>
              <w:left w:val="single" w:color="auto" w:sz="4" w:space="0"/>
              <w:bottom w:val="single" w:color="auto" w:sz="4" w:space="0"/>
              <w:right w:val="single" w:color="auto" w:sz="4" w:space="0"/>
            </w:tcBorders>
            <w:vAlign w:val="center"/>
          </w:tcPr>
          <w:p w14:paraId="6BDAA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0F1F4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w:t>
            </w:r>
          </w:p>
        </w:tc>
        <w:tc>
          <w:tcPr>
            <w:tcW w:w="1002" w:type="dxa"/>
            <w:tcBorders>
              <w:top w:val="single" w:color="auto" w:sz="4" w:space="0"/>
              <w:left w:val="single" w:color="auto" w:sz="4" w:space="0"/>
              <w:bottom w:val="single" w:color="auto" w:sz="4" w:space="0"/>
              <w:right w:val="single" w:color="auto" w:sz="4" w:space="0"/>
            </w:tcBorders>
            <w:vAlign w:val="center"/>
          </w:tcPr>
          <w:p w14:paraId="558FB2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28D83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8BB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5FD2B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2359" w:type="dxa"/>
            <w:tcBorders>
              <w:top w:val="single" w:color="auto" w:sz="4" w:space="0"/>
              <w:left w:val="single" w:color="auto" w:sz="4" w:space="0"/>
              <w:bottom w:val="single" w:color="auto" w:sz="4" w:space="0"/>
              <w:right w:val="single" w:color="auto" w:sz="4" w:space="0"/>
            </w:tcBorders>
            <w:vAlign w:val="center"/>
          </w:tcPr>
          <w:p w14:paraId="353C08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封面、投标函、法定代表人委托授权书三处的项目名称、项目编号</w:t>
            </w:r>
          </w:p>
        </w:tc>
        <w:tc>
          <w:tcPr>
            <w:tcW w:w="3770" w:type="dxa"/>
            <w:tcBorders>
              <w:top w:val="single" w:color="auto" w:sz="4" w:space="0"/>
              <w:left w:val="single" w:color="auto" w:sz="4" w:space="0"/>
              <w:bottom w:val="single" w:color="auto" w:sz="4" w:space="0"/>
              <w:right w:val="single" w:color="auto" w:sz="4" w:space="0"/>
            </w:tcBorders>
            <w:vAlign w:val="center"/>
          </w:tcPr>
          <w:p w14:paraId="428F49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1002" w:type="dxa"/>
            <w:tcBorders>
              <w:top w:val="single" w:color="auto" w:sz="4" w:space="0"/>
              <w:left w:val="single" w:color="auto" w:sz="4" w:space="0"/>
              <w:bottom w:val="single" w:color="auto" w:sz="4" w:space="0"/>
              <w:right w:val="single" w:color="auto" w:sz="4" w:space="0"/>
            </w:tcBorders>
            <w:vAlign w:val="center"/>
          </w:tcPr>
          <w:p w14:paraId="3F044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53A30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EBF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8CCE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359" w:type="dxa"/>
            <w:tcBorders>
              <w:top w:val="single" w:color="auto" w:sz="4" w:space="0"/>
              <w:left w:val="single" w:color="auto" w:sz="4" w:space="0"/>
              <w:bottom w:val="single" w:color="auto" w:sz="4" w:space="0"/>
              <w:right w:val="single" w:color="auto" w:sz="4" w:space="0"/>
            </w:tcBorders>
            <w:vAlign w:val="center"/>
          </w:tcPr>
          <w:p w14:paraId="7B8748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签署、盖章</w:t>
            </w:r>
          </w:p>
        </w:tc>
        <w:tc>
          <w:tcPr>
            <w:tcW w:w="3770" w:type="dxa"/>
            <w:tcBorders>
              <w:top w:val="single" w:color="auto" w:sz="4" w:space="0"/>
              <w:left w:val="single" w:color="auto" w:sz="4" w:space="0"/>
              <w:bottom w:val="single" w:color="auto" w:sz="4" w:space="0"/>
              <w:right w:val="single" w:color="auto" w:sz="4" w:space="0"/>
            </w:tcBorders>
            <w:vAlign w:val="center"/>
          </w:tcPr>
          <w:p w14:paraId="4609FD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vAlign w:val="center"/>
          </w:tcPr>
          <w:p w14:paraId="6F5ABA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7EBC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6D6D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0557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359" w:type="dxa"/>
            <w:tcBorders>
              <w:top w:val="single" w:color="auto" w:sz="4" w:space="0"/>
              <w:left w:val="single" w:color="auto" w:sz="4" w:space="0"/>
              <w:bottom w:val="single" w:color="auto" w:sz="4" w:space="0"/>
              <w:right w:val="single" w:color="auto" w:sz="4" w:space="0"/>
            </w:tcBorders>
            <w:vAlign w:val="center"/>
          </w:tcPr>
          <w:p w14:paraId="1A67D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组成</w:t>
            </w:r>
          </w:p>
        </w:tc>
        <w:tc>
          <w:tcPr>
            <w:tcW w:w="3770" w:type="dxa"/>
            <w:tcBorders>
              <w:top w:val="single" w:color="auto" w:sz="4" w:space="0"/>
              <w:left w:val="single" w:color="auto" w:sz="4" w:space="0"/>
              <w:bottom w:val="single" w:color="auto" w:sz="4" w:space="0"/>
              <w:right w:val="single" w:color="auto" w:sz="4" w:space="0"/>
            </w:tcBorders>
            <w:vAlign w:val="center"/>
          </w:tcPr>
          <w:p w14:paraId="7A1DF7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应包含以下内容：</w:t>
            </w:r>
          </w:p>
          <w:p w14:paraId="24C08B33">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第一章   响应函</w:t>
            </w:r>
          </w:p>
          <w:p w14:paraId="024E6A0F">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第二章   响应报价表</w:t>
            </w:r>
          </w:p>
          <w:p w14:paraId="60E163EB">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第三章   </w:t>
            </w:r>
            <w:r>
              <w:rPr>
                <w:rFonts w:hint="eastAsia" w:ascii="宋体" w:hAnsi="宋体" w:eastAsia="宋体" w:cs="宋体"/>
                <w:b w:val="0"/>
                <w:bCs w:val="0"/>
                <w:color w:val="auto"/>
                <w:kern w:val="0"/>
                <w:sz w:val="24"/>
                <w:szCs w:val="24"/>
                <w:highlight w:val="none"/>
                <w:lang w:val="en-US" w:eastAsia="zh-CN"/>
              </w:rPr>
              <w:t>已标价工程量清单</w:t>
            </w:r>
          </w:p>
          <w:p w14:paraId="6F8E857F">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第四章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eastAsia="宋体" w:cs="宋体"/>
                <w:b w:val="0"/>
                <w:bCs w:val="0"/>
                <w:color w:val="auto"/>
                <w:kern w:val="0"/>
                <w:sz w:val="24"/>
                <w:szCs w:val="24"/>
                <w:highlight w:val="none"/>
              </w:rPr>
              <w:t>供应商</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p>
          <w:p w14:paraId="733008F1">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第五章</w:t>
            </w:r>
            <w:r>
              <w:rPr>
                <w:rFonts w:hint="eastAsia" w:ascii="宋体" w:hAnsi="宋体" w:eastAsia="宋体" w:cs="宋体"/>
                <w:b w:val="0"/>
                <w:bCs w:val="0"/>
                <w:color w:val="auto"/>
                <w:kern w:val="0"/>
                <w:sz w:val="24"/>
                <w:szCs w:val="24"/>
                <w:highlight w:val="none"/>
                <w:lang w:val="en-US" w:eastAsia="zh-CN"/>
              </w:rPr>
              <w:t xml:space="preserve">   商务响应偏离表</w:t>
            </w:r>
          </w:p>
          <w:p w14:paraId="70B08CB2">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第六章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eastAsia="宋体" w:cs="宋体"/>
                <w:b w:val="0"/>
                <w:bCs w:val="0"/>
                <w:color w:val="auto"/>
                <w:kern w:val="0"/>
                <w:sz w:val="24"/>
                <w:szCs w:val="24"/>
                <w:highlight w:val="none"/>
              </w:rPr>
              <w:t>投标方案</w:t>
            </w:r>
          </w:p>
          <w:p w14:paraId="0948D854">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第七章   </w:t>
            </w:r>
            <w:r>
              <w:rPr>
                <w:rFonts w:hint="eastAsia" w:ascii="宋体" w:hAnsi="宋体" w:eastAsia="宋体" w:cs="宋体"/>
                <w:b w:val="0"/>
                <w:bCs w:val="0"/>
                <w:color w:val="auto"/>
                <w:kern w:val="0"/>
                <w:sz w:val="24"/>
                <w:szCs w:val="24"/>
                <w:highlight w:val="none"/>
              </w:rPr>
              <w:t>供应商承诺书</w:t>
            </w:r>
          </w:p>
        </w:tc>
        <w:tc>
          <w:tcPr>
            <w:tcW w:w="1002" w:type="dxa"/>
            <w:tcBorders>
              <w:top w:val="single" w:color="auto" w:sz="4" w:space="0"/>
              <w:left w:val="single" w:color="auto" w:sz="4" w:space="0"/>
              <w:bottom w:val="single" w:color="auto" w:sz="4" w:space="0"/>
              <w:right w:val="single" w:color="auto" w:sz="4" w:space="0"/>
            </w:tcBorders>
            <w:vAlign w:val="center"/>
          </w:tcPr>
          <w:p w14:paraId="0FCB6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371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A64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4E9BB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2359" w:type="dxa"/>
            <w:tcBorders>
              <w:top w:val="single" w:color="auto" w:sz="4" w:space="0"/>
              <w:left w:val="single" w:color="auto" w:sz="4" w:space="0"/>
              <w:bottom w:val="single" w:color="auto" w:sz="4" w:space="0"/>
              <w:right w:val="single" w:color="auto" w:sz="4" w:space="0"/>
            </w:tcBorders>
            <w:vAlign w:val="center"/>
          </w:tcPr>
          <w:p w14:paraId="46C75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32F61D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C971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4DCDCC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6A5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6DBA9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2359" w:type="dxa"/>
            <w:tcBorders>
              <w:top w:val="single" w:color="auto" w:sz="4" w:space="0"/>
              <w:left w:val="single" w:color="auto" w:sz="4" w:space="0"/>
              <w:bottom w:val="single" w:color="auto" w:sz="4" w:space="0"/>
              <w:right w:val="single" w:color="auto" w:sz="4" w:space="0"/>
            </w:tcBorders>
            <w:vAlign w:val="center"/>
          </w:tcPr>
          <w:p w14:paraId="368139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投标报价</w:t>
            </w:r>
          </w:p>
        </w:tc>
        <w:tc>
          <w:tcPr>
            <w:tcW w:w="3770" w:type="dxa"/>
            <w:tcBorders>
              <w:top w:val="single" w:color="auto" w:sz="4" w:space="0"/>
              <w:left w:val="single" w:color="auto" w:sz="4" w:space="0"/>
              <w:bottom w:val="single" w:color="auto" w:sz="4" w:space="0"/>
              <w:right w:val="single" w:color="auto" w:sz="4" w:space="0"/>
            </w:tcBorders>
            <w:vAlign w:val="center"/>
          </w:tcPr>
          <w:p w14:paraId="78568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（1）投标报价符合唯一性要求：</w:t>
            </w:r>
          </w:p>
          <w:p w14:paraId="66901F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47C9C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（3）未超出采购预算或</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规定的最高限价；</w:t>
            </w:r>
          </w:p>
        </w:tc>
        <w:tc>
          <w:tcPr>
            <w:tcW w:w="1002" w:type="dxa"/>
            <w:tcBorders>
              <w:top w:val="single" w:color="auto" w:sz="4" w:space="0"/>
              <w:left w:val="single" w:color="auto" w:sz="4" w:space="0"/>
              <w:bottom w:val="single" w:color="auto" w:sz="4" w:space="0"/>
              <w:right w:val="single" w:color="auto" w:sz="4" w:space="0"/>
            </w:tcBorders>
            <w:vAlign w:val="center"/>
          </w:tcPr>
          <w:p w14:paraId="47ED0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6D3F25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38D48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3B2A1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2359" w:type="dxa"/>
            <w:tcBorders>
              <w:top w:val="single" w:color="auto" w:sz="4" w:space="0"/>
              <w:left w:val="single" w:color="auto" w:sz="4" w:space="0"/>
              <w:bottom w:val="single" w:color="auto" w:sz="4" w:space="0"/>
              <w:right w:val="single" w:color="auto" w:sz="4" w:space="0"/>
            </w:tcBorders>
            <w:vAlign w:val="center"/>
          </w:tcPr>
          <w:p w14:paraId="1E6CC0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763438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highlight w:val="none"/>
              </w:rPr>
              <w:t>文件要求的各项实质性条款。</w:t>
            </w:r>
          </w:p>
        </w:tc>
        <w:tc>
          <w:tcPr>
            <w:tcW w:w="1002" w:type="dxa"/>
            <w:tcBorders>
              <w:top w:val="single" w:color="auto" w:sz="4" w:space="0"/>
              <w:left w:val="single" w:color="auto" w:sz="4" w:space="0"/>
              <w:bottom w:val="single" w:color="auto" w:sz="4" w:space="0"/>
              <w:right w:val="single" w:color="auto" w:sz="4" w:space="0"/>
            </w:tcBorders>
            <w:vAlign w:val="center"/>
          </w:tcPr>
          <w:p w14:paraId="159CF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B8AD8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70CB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72EB6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359" w:type="dxa"/>
            <w:tcBorders>
              <w:top w:val="single" w:color="auto" w:sz="4" w:space="0"/>
              <w:left w:val="single" w:color="auto" w:sz="4" w:space="0"/>
              <w:bottom w:val="single" w:color="auto" w:sz="4" w:space="0"/>
              <w:right w:val="single" w:color="auto" w:sz="4" w:space="0"/>
            </w:tcBorders>
            <w:vAlign w:val="center"/>
          </w:tcPr>
          <w:p w14:paraId="1FED3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089564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1002" w:type="dxa"/>
            <w:tcBorders>
              <w:top w:val="single" w:color="auto" w:sz="4" w:space="0"/>
              <w:left w:val="single" w:color="auto" w:sz="4" w:space="0"/>
              <w:bottom w:val="single" w:color="auto" w:sz="4" w:space="0"/>
              <w:right w:val="single" w:color="auto" w:sz="4" w:space="0"/>
            </w:tcBorders>
            <w:vAlign w:val="center"/>
          </w:tcPr>
          <w:p w14:paraId="11CFF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03324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bl>
    <w:p w14:paraId="3AC6117B">
      <w:pPr>
        <w:pStyle w:val="11"/>
        <w:rPr>
          <w:rFonts w:hint="eastAsia"/>
          <w:color w:val="auto"/>
        </w:rPr>
      </w:pPr>
    </w:p>
    <w:p w14:paraId="1326881F">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14:paraId="33FC1D6E">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w:t>
      </w:r>
      <w:r>
        <w:rPr>
          <w:rFonts w:hint="eastAsia" w:ascii="宋体" w:hAnsi="宋体" w:eastAsia="宋体" w:cs="宋体"/>
          <w:color w:val="auto"/>
          <w:sz w:val="24"/>
        </w:rPr>
        <w:t>响应文件中响应报价表内容与响应文件中明细内容不一致的，以响应报价表为准；</w:t>
      </w:r>
    </w:p>
    <w:p w14:paraId="31065DD7">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w:t>
      </w:r>
      <w:r>
        <w:rPr>
          <w:rFonts w:hint="eastAsia" w:ascii="宋体" w:hAnsi="宋体" w:cs="宋体"/>
          <w:color w:val="auto"/>
          <w:sz w:val="24"/>
          <w:lang w:eastAsia="zh-CN"/>
        </w:rPr>
        <w:t>.</w:t>
      </w:r>
      <w:r>
        <w:rPr>
          <w:rFonts w:hint="eastAsia" w:ascii="宋体" w:hAnsi="宋体" w:eastAsia="宋体" w:cs="宋体"/>
          <w:color w:val="auto"/>
          <w:sz w:val="24"/>
        </w:rPr>
        <w:t>大写金额和小写金额不一致的，以大写金额为准；</w:t>
      </w:r>
    </w:p>
    <w:p w14:paraId="7FADD25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w:t>
      </w:r>
      <w:r>
        <w:rPr>
          <w:rFonts w:hint="eastAsia" w:ascii="宋体" w:hAnsi="宋体" w:cs="宋体"/>
          <w:color w:val="auto"/>
          <w:sz w:val="24"/>
          <w:lang w:eastAsia="zh-CN"/>
        </w:rPr>
        <w:t>.</w:t>
      </w:r>
      <w:r>
        <w:rPr>
          <w:rFonts w:hint="eastAsia" w:ascii="宋体" w:hAnsi="宋体" w:eastAsia="宋体" w:cs="宋体"/>
          <w:color w:val="auto"/>
          <w:sz w:val="24"/>
        </w:rPr>
        <w:t>单价金额小数点或者百分比有明显错位的，以响应报价表的总价为准，并修改单价；</w:t>
      </w:r>
    </w:p>
    <w:p w14:paraId="6593EE3C">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 xml:space="preserve">总价金额与按单价汇总金额不一致的，以单价金额计算结果为准； </w:t>
      </w:r>
    </w:p>
    <w:p w14:paraId="6898898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响应文件正本与副本不一致的，以正本为准；</w:t>
      </w:r>
    </w:p>
    <w:p w14:paraId="1A27C510">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w:t>
      </w:r>
      <w:r>
        <w:rPr>
          <w:rFonts w:hint="eastAsia" w:ascii="宋体" w:hAnsi="宋体" w:cs="宋体"/>
          <w:color w:val="auto"/>
          <w:sz w:val="24"/>
          <w:lang w:eastAsia="zh-CN"/>
        </w:rPr>
        <w:t>.</w:t>
      </w:r>
      <w:r>
        <w:rPr>
          <w:rFonts w:hint="eastAsia" w:ascii="宋体" w:hAnsi="宋体" w:eastAsia="宋体" w:cs="宋体"/>
          <w:color w:val="auto"/>
          <w:sz w:val="24"/>
        </w:rPr>
        <w:t>多处内容交叉不符时，以磋商小组评审结果为准；</w:t>
      </w:r>
    </w:p>
    <w:p w14:paraId="631F5E8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textAlignment w:val="auto"/>
        <w:outlineLvl w:val="9"/>
        <w:rPr>
          <w:rFonts w:hint="eastAsia" w:ascii="宋体" w:hAnsi="宋体" w:eastAsia="宋体" w:cs="宋体"/>
          <w:color w:val="auto"/>
          <w:sz w:val="24"/>
          <w:u w:val="none"/>
        </w:rPr>
      </w:pPr>
      <w:r>
        <w:rPr>
          <w:rFonts w:hint="eastAsia" w:ascii="宋体" w:hAnsi="宋体" w:eastAsia="宋体" w:cs="宋体"/>
          <w:color w:val="auto"/>
          <w:sz w:val="24"/>
          <w:u w:val="none"/>
        </w:rPr>
        <w:t xml:space="preserve"> G</w:t>
      </w:r>
      <w:r>
        <w:rPr>
          <w:rFonts w:hint="eastAsia" w:ascii="宋体" w:hAnsi="宋体" w:cs="宋体"/>
          <w:color w:val="auto"/>
          <w:sz w:val="24"/>
          <w:u w:val="none"/>
          <w:lang w:eastAsia="zh-CN"/>
        </w:rPr>
        <w:t>.</w:t>
      </w:r>
      <w:r>
        <w:rPr>
          <w:rFonts w:hint="eastAsia" w:ascii="宋体" w:hAnsi="宋体" w:eastAsia="宋体" w:cs="宋体"/>
          <w:color w:val="auto"/>
          <w:sz w:val="24"/>
          <w:u w:val="none"/>
        </w:rPr>
        <w:t>文字与图表不符的，以文字为准。</w:t>
      </w:r>
    </w:p>
    <w:p w14:paraId="05F70B69">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4EB993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（5）磋商开始后，直到向成交供应商授予合同为止，凡审查、澄清、评价和比较磋商的有关资料，磋商小组成员均不得向供应商及与磋商无关的其他人透露。</w:t>
      </w:r>
    </w:p>
    <w:p w14:paraId="2B1DF9D9">
      <w:pPr>
        <w:pageBreakBefore w:val="0"/>
        <w:kinsoku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b/>
          <w:color w:val="auto"/>
          <w:sz w:val="24"/>
        </w:rPr>
      </w:pPr>
      <w:r>
        <w:rPr>
          <w:rFonts w:hint="eastAsia" w:ascii="宋体" w:hAnsi="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5135B9EA">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kern w:val="0"/>
          <w:sz w:val="22"/>
          <w:szCs w:val="22"/>
        </w:rPr>
      </w:pPr>
      <w:r>
        <w:rPr>
          <w:rFonts w:hint="eastAsia" w:ascii="宋体" w:hAnsi="宋体" w:eastAsia="宋体" w:cs="宋体"/>
          <w:color w:val="auto"/>
          <w:sz w:val="24"/>
        </w:rPr>
        <w:t>A</w:t>
      </w:r>
      <w:r>
        <w:rPr>
          <w:rFonts w:hint="eastAsia" w:ascii="宋体" w:hAnsi="宋体" w:cs="宋体"/>
          <w:color w:val="auto"/>
          <w:sz w:val="24"/>
          <w:lang w:val="en-US" w:eastAsia="zh-CN"/>
        </w:rPr>
        <w:t>.</w:t>
      </w:r>
      <w:r>
        <w:rPr>
          <w:rFonts w:hint="eastAsia" w:ascii="宋体" w:hAnsi="宋体" w:eastAsia="宋体" w:cs="宋体"/>
          <w:color w:val="auto"/>
          <w:sz w:val="24"/>
        </w:rPr>
        <w:t>不同供应商的响应文件由同一单位或者个人编制；</w:t>
      </w:r>
    </w:p>
    <w:p w14:paraId="0CA9418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w:t>
      </w:r>
      <w:r>
        <w:rPr>
          <w:rFonts w:hint="eastAsia" w:ascii="宋体" w:hAnsi="宋体" w:cs="宋体"/>
          <w:color w:val="auto"/>
          <w:sz w:val="24"/>
          <w:lang w:eastAsia="zh-CN"/>
        </w:rPr>
        <w:t>.</w:t>
      </w:r>
      <w:r>
        <w:rPr>
          <w:rFonts w:hint="eastAsia" w:ascii="宋体" w:hAnsi="宋体" w:eastAsia="宋体" w:cs="宋体"/>
          <w:color w:val="auto"/>
          <w:sz w:val="24"/>
        </w:rPr>
        <w:t xml:space="preserve">不同供应商委托同一单位或者个人办理磋商事宜； </w:t>
      </w:r>
    </w:p>
    <w:p w14:paraId="71AC1CE4">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w:t>
      </w:r>
      <w:r>
        <w:rPr>
          <w:rFonts w:hint="eastAsia" w:ascii="宋体" w:hAnsi="宋体" w:cs="宋体"/>
          <w:color w:val="auto"/>
          <w:sz w:val="24"/>
          <w:lang w:eastAsia="zh-CN"/>
        </w:rPr>
        <w:t>.</w:t>
      </w:r>
      <w:r>
        <w:rPr>
          <w:rFonts w:hint="eastAsia" w:ascii="宋体" w:hAnsi="宋体" w:eastAsia="宋体" w:cs="宋体"/>
          <w:color w:val="auto"/>
          <w:sz w:val="24"/>
        </w:rPr>
        <w:t>不同供应商的响应文件载明的项目管理成员或者联系人员为同一人；</w:t>
      </w:r>
    </w:p>
    <w:p w14:paraId="54D7C23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不同供应商的响应文件异常一致或者磋商报价呈规律性差异；</w:t>
      </w:r>
    </w:p>
    <w:p w14:paraId="254CED1F">
      <w:pPr>
        <w:pageBreakBefore w:val="0"/>
        <w:widowControl/>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不同供应商的响应文件相互混装</w:t>
      </w:r>
      <w:r>
        <w:rPr>
          <w:rFonts w:hint="eastAsia" w:ascii="宋体" w:hAnsi="宋体" w:cs="宋体"/>
          <w:color w:val="auto"/>
          <w:sz w:val="24"/>
          <w:lang w:eastAsia="zh-CN"/>
        </w:rPr>
        <w:t>。</w:t>
      </w:r>
    </w:p>
    <w:p w14:paraId="32AD5E84">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澄清</w:t>
      </w:r>
    </w:p>
    <w:p w14:paraId="0FD2FD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26F6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（2）实质性内容包括但不限于：服务期、付款方式、</w:t>
      </w:r>
      <w:r>
        <w:rPr>
          <w:rFonts w:hint="eastAsia" w:ascii="宋体" w:hAnsi="宋体" w:cs="宋体"/>
          <w:color w:val="auto"/>
          <w:sz w:val="24"/>
          <w:lang w:val="en-US" w:eastAsia="zh-CN"/>
        </w:rPr>
        <w:t>安全指标、</w:t>
      </w:r>
      <w:r>
        <w:rPr>
          <w:rFonts w:hint="eastAsia" w:ascii="宋体" w:hAnsi="宋体" w:eastAsia="宋体" w:cs="宋体"/>
          <w:color w:val="auto"/>
          <w:sz w:val="24"/>
        </w:rPr>
        <w:t>质量指标、主要技术指标等。</w:t>
      </w:r>
    </w:p>
    <w:p w14:paraId="505E6C53">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65F5D166">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536202314"/>
      <w:bookmarkStart w:id="92" w:name="_Toc12947"/>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22709A61">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w:t>
      </w:r>
    </w:p>
    <w:p w14:paraId="4531A912">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采用综合评分法：二次报价为最终报价，在满足磋商文件所有实质性要求前提下，提交最终报价。如采购需求没有实质性变化，各供应商的报价应逐次降低，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B86F26A">
      <w:pPr>
        <w:pageBreakBefore w:val="0"/>
        <w:wordWrap/>
        <w:overflowPunct/>
        <w:topLinePunct w:val="0"/>
        <w:autoSpaceDE/>
        <w:autoSpaceDN/>
        <w:bidi w:val="0"/>
        <w:adjustRightInd/>
        <w:snapToGrid/>
        <w:spacing w:line="500" w:lineRule="exact"/>
        <w:ind w:left="0" w:leftChars="0" w:right="0" w:rightChars="0"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76A8E166">
      <w:pPr>
        <w:pageBreakBefore w:val="0"/>
        <w:wordWrap/>
        <w:overflowPunct/>
        <w:topLinePunct w:val="0"/>
        <w:autoSpaceDE/>
        <w:autoSpaceDN/>
        <w:bidi w:val="0"/>
        <w:adjustRightInd/>
        <w:snapToGrid/>
        <w:spacing w:line="500" w:lineRule="exact"/>
        <w:ind w:left="0" w:leftChars="0" w:right="0" w:rightChars="0"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磋商小组须对畸高、畸低的重大差异评分进行复核或书面说明理由。</w:t>
      </w:r>
    </w:p>
    <w:p w14:paraId="48956C08">
      <w:pPr>
        <w:pStyle w:val="4"/>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定标</w:t>
      </w:r>
      <w:bookmarkEnd w:id="91"/>
      <w:bookmarkEnd w:id="92"/>
    </w:p>
    <w:p w14:paraId="0AB8A12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.1代理机构在评审结束后2个工作日内将评审报告送达采购单位，采购单位在收到评审报告后5个工作日内，按照评审报告中推荐的成交候选人顺序确认第一成交候选人为成交单位，同时书面复函代理机构；</w:t>
      </w:r>
    </w:p>
    <w:p w14:paraId="0D11C00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.2代理机构收到采购单位“</w:t>
      </w:r>
      <w:r>
        <w:rPr>
          <w:rFonts w:hint="eastAsia" w:ascii="宋体" w:hAnsi="宋体" w:cs="宋体"/>
          <w:color w:val="auto"/>
          <w:sz w:val="24"/>
          <w:szCs w:val="28"/>
          <w:lang w:val="en-US" w:eastAsia="zh-CN"/>
        </w:rPr>
        <w:t>成交供应商</w:t>
      </w:r>
      <w:r>
        <w:rPr>
          <w:rFonts w:hint="eastAsia" w:ascii="宋体" w:hAnsi="宋体" w:eastAsia="宋体" w:cs="宋体"/>
          <w:color w:val="auto"/>
          <w:sz w:val="24"/>
          <w:szCs w:val="28"/>
        </w:rPr>
        <w:t>复函”后2</w:t>
      </w:r>
      <w:r>
        <w:rPr>
          <w:rFonts w:hint="eastAsia" w:ascii="宋体" w:hAnsi="宋体" w:cs="宋体"/>
          <w:color w:val="auto"/>
          <w:sz w:val="24"/>
          <w:szCs w:val="28"/>
          <w:lang w:val="en-US" w:eastAsia="zh-CN"/>
        </w:rPr>
        <w:t>个工作</w:t>
      </w:r>
      <w:r>
        <w:rPr>
          <w:rFonts w:hint="eastAsia" w:ascii="宋体" w:hAnsi="宋体" w:eastAsia="宋体" w:cs="宋体"/>
          <w:color w:val="auto"/>
          <w:sz w:val="24"/>
          <w:szCs w:val="28"/>
        </w:rPr>
        <w:t>日内，在财政部门指定的政府采购信息媒体上发布公告，并向成交供应商发出“成交通知书”。</w:t>
      </w:r>
    </w:p>
    <w:p w14:paraId="69AEEB6F">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93" w:name="_Toc536202384"/>
      <w:bookmarkStart w:id="94" w:name="_Toc536202315"/>
      <w:bookmarkStart w:id="95" w:name="_Toc19543341"/>
      <w:bookmarkStart w:id="96" w:name="_Toc25308"/>
      <w:bookmarkStart w:id="97" w:name="_Toc536429324"/>
      <w:bookmarkStart w:id="98" w:name="_Toc19972"/>
      <w:bookmarkStart w:id="99" w:name="_Toc536429377"/>
      <w:bookmarkStart w:id="100" w:name="_Toc11870"/>
      <w:r>
        <w:rPr>
          <w:rFonts w:hint="eastAsia" w:ascii="宋体" w:hAnsi="宋体" w:eastAsia="宋体" w:cs="宋体"/>
          <w:b/>
          <w:bCs/>
          <w:color w:val="auto"/>
          <w:kern w:val="0"/>
          <w:sz w:val="28"/>
          <w:szCs w:val="28"/>
        </w:rPr>
        <w:t>签订合同</w:t>
      </w:r>
      <w:bookmarkEnd w:id="93"/>
      <w:bookmarkEnd w:id="94"/>
      <w:bookmarkEnd w:id="95"/>
      <w:bookmarkEnd w:id="96"/>
      <w:bookmarkEnd w:id="97"/>
      <w:bookmarkEnd w:id="98"/>
      <w:bookmarkEnd w:id="99"/>
      <w:bookmarkEnd w:id="100"/>
    </w:p>
    <w:p w14:paraId="27E278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成交后，成交供应商在收到成交通知书后</w:t>
      </w:r>
      <w:r>
        <w:rPr>
          <w:rFonts w:hint="eastAsia" w:ascii="宋体" w:hAnsi="宋体" w:cs="宋体"/>
          <w:color w:val="auto"/>
          <w:sz w:val="24"/>
          <w:lang w:val="en-US" w:eastAsia="zh-CN"/>
        </w:rPr>
        <w:t>25</w:t>
      </w:r>
      <w:r>
        <w:rPr>
          <w:rFonts w:hint="eastAsia" w:ascii="宋体" w:hAnsi="宋体" w:eastAsia="宋体" w:cs="宋体"/>
          <w:color w:val="auto"/>
          <w:sz w:val="24"/>
        </w:rPr>
        <w:t>个日历日内，应按磋商文件的要求与采购人洽谈合同条款，并签订供货合同，同时送监督机构备案，磋商文件及成交供应商的响应文件均作为合同的组成部分；</w:t>
      </w:r>
    </w:p>
    <w:p w14:paraId="2F8EDBD5">
      <w:pPr>
        <w:pageBreakBefore w:val="0"/>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7B69336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CCFF9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政府采购合同在执行过程中，确需修改、变更时，应当按照相应的审核批准程序办理。</w:t>
      </w:r>
    </w:p>
    <w:p w14:paraId="63E80E33">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磋商文件、响应文件、澄清等为政府采购合同的组成部分，具有同等法律效力。</w:t>
      </w:r>
    </w:p>
    <w:p w14:paraId="5FF0EBC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bookmarkStart w:id="101" w:name="_Toc32237"/>
      <w:bookmarkStart w:id="102" w:name="_Toc536429325"/>
      <w:bookmarkStart w:id="103" w:name="_Toc536202385"/>
      <w:bookmarkStart w:id="104" w:name="_Toc536429378"/>
      <w:bookmarkStart w:id="105" w:name="_Toc26132"/>
      <w:bookmarkStart w:id="106" w:name="_Toc536202316"/>
      <w:bookmarkStart w:id="107" w:name="_Toc28110"/>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政府采购管理部门在合同履行期间以及履行期后，可以随时检查项目的执行情况，对采购标准、采购内容进行调查核实，并对发现的问题进行处理。</w:t>
      </w:r>
    </w:p>
    <w:p w14:paraId="0E89BBDE">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108" w:name="_Toc19543342"/>
      <w:r>
        <w:rPr>
          <w:rFonts w:hint="eastAsia" w:ascii="宋体" w:hAnsi="宋体" w:eastAsia="宋体" w:cs="宋体"/>
          <w:b/>
          <w:bCs/>
          <w:color w:val="auto"/>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2FC27561">
      <w:pPr>
        <w:pStyle w:val="33"/>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kern w:val="2"/>
          <w:sz w:val="24"/>
          <w:szCs w:val="28"/>
          <w:lang w:val="en-US" w:eastAsia="zh-CN" w:bidi="ar-SA"/>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02816E18">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8"/>
          <w:szCs w:val="28"/>
        </w:rPr>
      </w:pPr>
      <w:bookmarkStart w:id="109" w:name="_Toc536202386"/>
      <w:bookmarkStart w:id="110" w:name="_Toc19543343"/>
      <w:bookmarkStart w:id="111" w:name="_Toc11491"/>
      <w:bookmarkStart w:id="112" w:name="_Toc664"/>
      <w:bookmarkStart w:id="113" w:name="_Toc536429379"/>
      <w:bookmarkStart w:id="114" w:name="_Toc536429326"/>
      <w:bookmarkStart w:id="115" w:name="_Toc536202317"/>
      <w:r>
        <w:rPr>
          <w:rFonts w:hint="eastAsia" w:ascii="宋体" w:hAnsi="宋体" w:eastAsia="宋体" w:cs="宋体"/>
          <w:b/>
          <w:bCs/>
          <w:color w:val="auto"/>
          <w:kern w:val="0"/>
          <w:sz w:val="28"/>
          <w:szCs w:val="28"/>
        </w:rPr>
        <w:t>质疑和投诉</w:t>
      </w:r>
      <w:bookmarkEnd w:id="109"/>
      <w:bookmarkEnd w:id="110"/>
      <w:bookmarkEnd w:id="111"/>
      <w:bookmarkEnd w:id="112"/>
      <w:bookmarkEnd w:id="113"/>
      <w:bookmarkEnd w:id="114"/>
      <w:bookmarkEnd w:id="115"/>
    </w:p>
    <w:p w14:paraId="102B97C4">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eastAsia="宋体" w:cs="宋体"/>
          <w:color w:val="auto"/>
          <w:sz w:val="24"/>
          <w:szCs w:val="28"/>
        </w:rPr>
        <w:t>财政部关于加强政府采购供应商投诉受理审查工作的通知》等的相关规定办理。</w:t>
      </w:r>
    </w:p>
    <w:p w14:paraId="4D18B592">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w:t>
      </w:r>
      <w:r>
        <w:rPr>
          <w:rFonts w:hint="eastAsia" w:ascii="宋体" w:hAnsi="宋体" w:eastAsia="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7175F73D">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（1）对采购文件提出质疑的，为收到采购文件之日或者采购文件公告期限届满之日；</w:t>
      </w:r>
    </w:p>
    <w:p w14:paraId="2ED29B60">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（2）对采购过程提出质疑的，为各采购程序环节结束之日；</w:t>
      </w:r>
    </w:p>
    <w:p w14:paraId="1DF2D92C">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（3）对中标或者成交结果提出质疑的，为中标或者成交结果公告期限届满之日。</w:t>
      </w:r>
    </w:p>
    <w:p w14:paraId="2B5E38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供应商应当在法定质疑期内一次性提出针对同一采购程序环节的质疑。</w:t>
      </w:r>
    </w:p>
    <w:p w14:paraId="455384F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3.</w:t>
      </w:r>
      <w:r>
        <w:rPr>
          <w:rFonts w:hint="eastAsia" w:ascii="宋体" w:hAnsi="宋体" w:eastAsia="宋体" w:cs="宋体"/>
          <w:color w:val="auto"/>
          <w:sz w:val="24"/>
          <w:szCs w:val="28"/>
        </w:rPr>
        <w:t>质疑函应当包括下列主要内容：</w:t>
      </w:r>
    </w:p>
    <w:p w14:paraId="0A377C0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（1）供应商的姓名或者名称、地址、邮编、联系人及联系电话；</w:t>
      </w:r>
    </w:p>
    <w:p w14:paraId="52CFA0D1">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（2）质疑项目的名称、编号；</w:t>
      </w:r>
    </w:p>
    <w:p w14:paraId="62C71423">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（3）具体、明确的质疑事项和与质疑事项相关的请求；</w:t>
      </w:r>
    </w:p>
    <w:p w14:paraId="31F5FDF0">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（4）事实依据；</w:t>
      </w:r>
    </w:p>
    <w:p w14:paraId="12E1502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（5）必要的法律依据；</w:t>
      </w:r>
    </w:p>
    <w:p w14:paraId="6178743E">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（6）提出质疑的日期。</w:t>
      </w:r>
    </w:p>
    <w:p w14:paraId="448B868C">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4.</w:t>
      </w:r>
      <w:r>
        <w:rPr>
          <w:rFonts w:hint="eastAsia" w:ascii="宋体" w:hAnsi="宋体" w:eastAsia="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196D8E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5.</w:t>
      </w:r>
      <w:r>
        <w:rPr>
          <w:rFonts w:hint="eastAsia" w:ascii="宋体" w:hAnsi="宋体" w:eastAsia="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eastAsia="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28959C7">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6.</w:t>
      </w:r>
      <w:r>
        <w:rPr>
          <w:rFonts w:hint="eastAsia" w:ascii="宋体" w:hAnsi="宋体" w:eastAsia="宋体" w:cs="宋体"/>
          <w:color w:val="auto"/>
          <w:sz w:val="24"/>
          <w:szCs w:val="28"/>
        </w:rPr>
        <w:t xml:space="preserve">质疑函接收方式：由自然人本人或法定代表人或者其授权代表携带书面原件及身份证明原件到现场递交，否则不予受理 。 </w:t>
      </w:r>
    </w:p>
    <w:p w14:paraId="403A966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7.</w:t>
      </w:r>
      <w:r>
        <w:rPr>
          <w:rFonts w:hint="eastAsia" w:ascii="宋体" w:hAnsi="宋体" w:eastAsia="宋体" w:cs="宋体"/>
          <w:color w:val="auto"/>
          <w:sz w:val="24"/>
          <w:szCs w:val="28"/>
        </w:rPr>
        <w:t>质疑受理部门：安康尚昊招标代理有限公司</w:t>
      </w:r>
    </w:p>
    <w:p w14:paraId="1D975A41">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   质疑受理电话：</w:t>
      </w:r>
      <w:r>
        <w:rPr>
          <w:rFonts w:hint="eastAsia" w:ascii="宋体" w:hAnsi="宋体" w:cs="宋体"/>
          <w:color w:val="auto"/>
          <w:sz w:val="24"/>
          <w:szCs w:val="28"/>
          <w:lang w:eastAsia="zh-CN"/>
        </w:rPr>
        <w:t>13991519725</w:t>
      </w:r>
    </w:p>
    <w:p w14:paraId="52CE914E">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cs="宋体"/>
          <w:color w:val="auto"/>
          <w:sz w:val="24"/>
          <w:szCs w:val="28"/>
          <w:lang w:eastAsia="zh-CN"/>
        </w:rPr>
        <w:t>8.</w:t>
      </w:r>
      <w:r>
        <w:rPr>
          <w:rFonts w:hint="eastAsia" w:ascii="宋体" w:hAnsi="宋体" w:eastAsia="宋体" w:cs="宋体"/>
          <w:color w:val="auto"/>
          <w:sz w:val="24"/>
          <w:szCs w:val="28"/>
        </w:rPr>
        <w:t>提交质疑函地点：</w:t>
      </w:r>
      <w:r>
        <w:rPr>
          <w:rFonts w:hint="eastAsia" w:ascii="宋体" w:hAnsi="宋体" w:cs="宋体"/>
          <w:color w:val="auto"/>
          <w:sz w:val="24"/>
          <w:szCs w:val="28"/>
          <w:lang w:eastAsia="zh-CN"/>
        </w:rPr>
        <w:t>安康市高新区高新观澜8幢2单元801室</w:t>
      </w:r>
    </w:p>
    <w:p w14:paraId="015B5A1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8"/>
        </w:rPr>
        <w:t>本次采购活动中，采购代理机构对质疑函回复的书面文件的送达方式为现场取件。</w:t>
      </w:r>
    </w:p>
    <w:p w14:paraId="5D14C3D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1B10337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10.</w:t>
      </w:r>
      <w:r>
        <w:rPr>
          <w:rFonts w:hint="eastAsia" w:ascii="宋体" w:hAnsi="宋体" w:eastAsia="宋体" w:cs="宋体"/>
          <w:color w:val="auto"/>
          <w:sz w:val="24"/>
          <w:szCs w:val="28"/>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64B451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w:t>
      </w:r>
      <w:r>
        <w:rPr>
          <w:rFonts w:hint="eastAsia" w:ascii="宋体" w:hAnsi="宋体" w:cs="宋体"/>
          <w:color w:val="auto"/>
          <w:sz w:val="24"/>
          <w:szCs w:val="28"/>
          <w:lang w:eastAsia="zh-CN"/>
        </w:rPr>
        <w:t>1.</w:t>
      </w:r>
      <w:r>
        <w:rPr>
          <w:rFonts w:hint="eastAsia" w:ascii="宋体" w:hAnsi="宋体" w:eastAsia="宋体" w:cs="宋体"/>
          <w:color w:val="auto"/>
          <w:sz w:val="24"/>
          <w:szCs w:val="28"/>
        </w:rPr>
        <w:t>质疑函应当使用中文。</w:t>
      </w:r>
    </w:p>
    <w:p w14:paraId="3DB3B117">
      <w:pPr>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4"/>
          <w:szCs w:val="28"/>
        </w:rPr>
      </w:pPr>
      <w:bookmarkStart w:id="116" w:name="_Toc19543344"/>
      <w:bookmarkStart w:id="117" w:name="_Toc536202387"/>
      <w:bookmarkStart w:id="118" w:name="_Toc536202318"/>
      <w:bookmarkStart w:id="119" w:name="_Toc536429327"/>
      <w:bookmarkStart w:id="120" w:name="_Toc536429380"/>
      <w:r>
        <w:rPr>
          <w:rFonts w:hint="eastAsia" w:ascii="宋体" w:hAnsi="宋体" w:eastAsia="宋体" w:cs="宋体"/>
          <w:b/>
          <w:bCs/>
          <w:color w:val="auto"/>
          <w:kern w:val="0"/>
          <w:sz w:val="24"/>
          <w:szCs w:val="28"/>
        </w:rPr>
        <w:t>其他</w:t>
      </w:r>
      <w:bookmarkEnd w:id="116"/>
      <w:bookmarkEnd w:id="117"/>
      <w:bookmarkEnd w:id="118"/>
      <w:bookmarkEnd w:id="119"/>
      <w:bookmarkEnd w:id="120"/>
    </w:p>
    <w:p w14:paraId="68676A3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bookmarkStart w:id="121" w:name="_Toc3298"/>
      <w:r>
        <w:rPr>
          <w:rFonts w:hint="eastAsia" w:ascii="宋体" w:hAnsi="宋体" w:cs="宋体"/>
          <w:color w:val="auto"/>
          <w:sz w:val="24"/>
          <w:szCs w:val="28"/>
          <w:lang w:eastAsia="zh-CN"/>
        </w:rPr>
        <w:t>1.</w:t>
      </w:r>
      <w:r>
        <w:rPr>
          <w:rFonts w:hint="eastAsia" w:ascii="宋体" w:hAnsi="宋体" w:eastAsia="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537F4C1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（1）因情况变化，不再符合规定的竞争性磋商采购方式适用情形的；</w:t>
      </w:r>
    </w:p>
    <w:p w14:paraId="26D4736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（2）出现影响采购公正的违法、违规行为的；</w:t>
      </w:r>
    </w:p>
    <w:p w14:paraId="4104C0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1E53ADE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（4）因重大变故，采购任务取消的。</w:t>
      </w:r>
    </w:p>
    <w:p w14:paraId="63C0D63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磋商失败后，除采购任务取消外，将重新组织采购</w:t>
      </w:r>
      <w:bookmarkEnd w:id="121"/>
      <w:bookmarkStart w:id="122" w:name="_Toc536429381"/>
      <w:bookmarkStart w:id="123" w:name="_Toc536429328"/>
      <w:bookmarkStart w:id="124" w:name="_Toc536202319"/>
      <w:bookmarkStart w:id="125" w:name="_Toc25345"/>
      <w:bookmarkStart w:id="126" w:name="_Toc536202388"/>
      <w:r>
        <w:rPr>
          <w:rFonts w:hint="eastAsia" w:ascii="宋体" w:hAnsi="宋体" w:eastAsia="宋体" w:cs="宋体"/>
          <w:color w:val="auto"/>
          <w:sz w:val="24"/>
          <w:szCs w:val="28"/>
        </w:rPr>
        <w:t>。</w:t>
      </w:r>
      <w:bookmarkEnd w:id="122"/>
      <w:bookmarkEnd w:id="123"/>
      <w:bookmarkEnd w:id="124"/>
      <w:bookmarkEnd w:id="125"/>
      <w:bookmarkEnd w:id="126"/>
    </w:p>
    <w:p w14:paraId="0750B6C0">
      <w:pPr>
        <w:pageBreakBefore w:val="0"/>
        <w:widowControl/>
        <w:wordWrap/>
        <w:overflowPunct/>
        <w:topLinePunct w:val="0"/>
        <w:autoSpaceDE/>
        <w:autoSpaceDN/>
        <w:bidi w:val="0"/>
        <w:adjustRightInd/>
        <w:snapToGrid/>
        <w:spacing w:line="500" w:lineRule="exact"/>
        <w:ind w:left="0" w:leftChars="0" w:right="0" w:rightChars="0"/>
        <w:jc w:val="center"/>
        <w:textAlignment w:val="auto"/>
        <w:rPr>
          <w:rFonts w:hint="eastAsia"/>
          <w:color w:val="auto"/>
          <w:sz w:val="36"/>
          <w:lang w:val="en-US" w:eastAsia="zh-CN"/>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rtlGutter w:val="0"/>
          <w:docGrid w:type="lines" w:linePitch="333" w:charSpace="0"/>
        </w:sectPr>
      </w:pPr>
      <w:bookmarkStart w:id="127" w:name="_Toc19543345"/>
      <w:bookmarkStart w:id="128" w:name="_Toc31992"/>
    </w:p>
    <w:p w14:paraId="13528101">
      <w:pPr>
        <w:pageBreakBefore w:val="0"/>
        <w:widowControl/>
        <w:wordWrap/>
        <w:topLinePunct w:val="0"/>
        <w:autoSpaceDE/>
        <w:autoSpaceDN/>
        <w:bidi w:val="0"/>
        <w:spacing w:line="360" w:lineRule="auto"/>
        <w:ind w:left="0" w:leftChars="0" w:right="0" w:rightChars="0"/>
        <w:jc w:val="center"/>
        <w:textAlignment w:val="auto"/>
        <w:rPr>
          <w:color w:val="auto"/>
          <w:sz w:val="36"/>
        </w:rPr>
      </w:pPr>
      <w:r>
        <w:rPr>
          <w:rFonts w:hint="eastAsia"/>
          <w:color w:val="auto"/>
          <w:sz w:val="36"/>
          <w:lang w:val="en-US" w:eastAsia="zh-CN"/>
        </w:rPr>
        <w:t xml:space="preserve">第四部分 </w:t>
      </w:r>
      <w:r>
        <w:rPr>
          <w:rFonts w:hint="eastAsia"/>
          <w:color w:val="auto"/>
          <w:sz w:val="36"/>
        </w:rPr>
        <w:t>评分</w:t>
      </w:r>
      <w:r>
        <w:rPr>
          <w:color w:val="auto"/>
          <w:sz w:val="36"/>
        </w:rPr>
        <w:t>标准</w:t>
      </w:r>
      <w:bookmarkEnd w:id="127"/>
      <w:bookmarkEnd w:id="128"/>
      <w:bookmarkStart w:id="129" w:name="_Toc262"/>
    </w:p>
    <w:tbl>
      <w:tblPr>
        <w:tblStyle w:val="3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345"/>
        <w:gridCol w:w="6550"/>
        <w:gridCol w:w="930"/>
      </w:tblGrid>
      <w:tr w14:paraId="368A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noWrap w:val="0"/>
            <w:vAlign w:val="center"/>
          </w:tcPr>
          <w:p w14:paraId="299C8F85">
            <w:pPr>
              <w:keepNext w:val="0"/>
              <w:keepLines w:val="0"/>
              <w:suppressLineNumbers w:val="0"/>
              <w:spacing w:before="0" w:beforeAutospacing="0" w:after="0" w:afterAutospacing="0"/>
              <w:ind w:left="0" w:right="0"/>
              <w:jc w:val="center"/>
              <w:rPr>
                <w:rFonts w:hint="default" w:ascii="仿宋" w:hAnsi="仿宋"/>
                <w:b w:val="0"/>
                <w:bCs w:val="0"/>
                <w:color w:val="auto"/>
                <w:sz w:val="24"/>
              </w:rPr>
            </w:pPr>
            <w:r>
              <w:rPr>
                <w:rFonts w:hint="eastAsia" w:ascii="仿宋" w:hAnsi="仿宋"/>
                <w:b w:val="0"/>
                <w:bCs w:val="0"/>
                <w:color w:val="auto"/>
                <w:sz w:val="24"/>
              </w:rPr>
              <w:t>序号</w:t>
            </w:r>
          </w:p>
        </w:tc>
        <w:tc>
          <w:tcPr>
            <w:tcW w:w="725" w:type="pct"/>
            <w:noWrap w:val="0"/>
            <w:vAlign w:val="center"/>
          </w:tcPr>
          <w:p w14:paraId="066292B9">
            <w:pPr>
              <w:keepNext w:val="0"/>
              <w:keepLines w:val="0"/>
              <w:suppressLineNumbers w:val="0"/>
              <w:spacing w:before="0" w:beforeAutospacing="0" w:after="0" w:afterAutospacing="0"/>
              <w:ind w:left="0" w:right="0"/>
              <w:jc w:val="center"/>
              <w:rPr>
                <w:rFonts w:hint="default" w:ascii="仿宋" w:hAnsi="仿宋"/>
                <w:b w:val="0"/>
                <w:bCs w:val="0"/>
                <w:color w:val="auto"/>
                <w:sz w:val="24"/>
              </w:rPr>
            </w:pPr>
            <w:r>
              <w:rPr>
                <w:rFonts w:hint="eastAsia" w:ascii="仿宋" w:hAnsi="仿宋"/>
                <w:b w:val="0"/>
                <w:bCs w:val="0"/>
                <w:color w:val="auto"/>
                <w:sz w:val="24"/>
              </w:rPr>
              <w:t>评分因素</w:t>
            </w:r>
          </w:p>
        </w:tc>
        <w:tc>
          <w:tcPr>
            <w:tcW w:w="3527" w:type="pct"/>
            <w:noWrap w:val="0"/>
            <w:vAlign w:val="center"/>
          </w:tcPr>
          <w:p w14:paraId="23AD0665">
            <w:pPr>
              <w:keepNext w:val="0"/>
              <w:keepLines w:val="0"/>
              <w:suppressLineNumbers w:val="0"/>
              <w:spacing w:before="0" w:beforeAutospacing="0" w:after="0" w:afterAutospacing="0"/>
              <w:ind w:left="480" w:right="0" w:hanging="480" w:hangingChars="200"/>
              <w:jc w:val="center"/>
              <w:rPr>
                <w:rFonts w:hint="default" w:ascii="仿宋" w:hAnsi="仿宋"/>
                <w:b w:val="0"/>
                <w:bCs w:val="0"/>
                <w:color w:val="auto"/>
                <w:sz w:val="24"/>
              </w:rPr>
            </w:pPr>
            <w:r>
              <w:rPr>
                <w:rFonts w:hint="eastAsia" w:ascii="仿宋" w:hAnsi="仿宋"/>
                <w:b w:val="0"/>
                <w:bCs w:val="0"/>
                <w:color w:val="auto"/>
                <w:sz w:val="24"/>
              </w:rPr>
              <w:t>评分标准</w:t>
            </w:r>
          </w:p>
        </w:tc>
        <w:tc>
          <w:tcPr>
            <w:tcW w:w="501" w:type="pct"/>
            <w:noWrap w:val="0"/>
            <w:vAlign w:val="top"/>
          </w:tcPr>
          <w:p w14:paraId="25F12402">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最高得分</w:t>
            </w:r>
          </w:p>
        </w:tc>
      </w:tr>
      <w:tr w14:paraId="2FDD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noWrap w:val="0"/>
            <w:vAlign w:val="center"/>
          </w:tcPr>
          <w:p w14:paraId="06467C40">
            <w:pPr>
              <w:keepNext w:val="0"/>
              <w:keepLines w:val="0"/>
              <w:suppressLineNumbers w:val="0"/>
              <w:spacing w:before="0" w:beforeAutospacing="0" w:after="0" w:afterAutospacing="0"/>
              <w:ind w:left="0" w:right="0"/>
              <w:jc w:val="center"/>
              <w:rPr>
                <w:rFonts w:hint="default" w:ascii="仿宋" w:hAnsi="仿宋"/>
                <w:b w:val="0"/>
                <w:bCs w:val="0"/>
                <w:color w:val="auto"/>
                <w:sz w:val="24"/>
              </w:rPr>
            </w:pPr>
            <w:r>
              <w:rPr>
                <w:rFonts w:hint="eastAsia" w:ascii="仿宋" w:hAnsi="仿宋"/>
                <w:b w:val="0"/>
                <w:bCs w:val="0"/>
                <w:color w:val="auto"/>
                <w:sz w:val="24"/>
              </w:rPr>
              <w:t>1</w:t>
            </w:r>
          </w:p>
        </w:tc>
        <w:tc>
          <w:tcPr>
            <w:tcW w:w="725" w:type="pct"/>
            <w:noWrap w:val="0"/>
            <w:vAlign w:val="center"/>
          </w:tcPr>
          <w:p w14:paraId="44D0F5DB">
            <w:pPr>
              <w:keepNext w:val="0"/>
              <w:keepLines w:val="0"/>
              <w:suppressLineNumbers w:val="0"/>
              <w:spacing w:before="0" w:beforeAutospacing="0" w:after="0" w:afterAutospacing="0"/>
              <w:ind w:left="0" w:right="0"/>
              <w:jc w:val="center"/>
              <w:rPr>
                <w:rFonts w:hint="eastAsia" w:ascii="仿宋" w:hAnsi="仿宋"/>
                <w:b w:val="0"/>
                <w:bCs w:val="0"/>
                <w:color w:val="auto"/>
                <w:sz w:val="24"/>
                <w:lang w:val="en-US" w:eastAsia="zh-CN"/>
              </w:rPr>
            </w:pPr>
            <w:r>
              <w:rPr>
                <w:rFonts w:hint="eastAsia" w:ascii="仿宋" w:hAnsi="仿宋"/>
                <w:b w:val="0"/>
                <w:bCs w:val="0"/>
                <w:color w:val="auto"/>
                <w:sz w:val="24"/>
                <w:lang w:val="en-US" w:eastAsia="zh-CN"/>
              </w:rPr>
              <w:t>投标</w:t>
            </w:r>
          </w:p>
          <w:p w14:paraId="484F1D57">
            <w:pPr>
              <w:keepNext w:val="0"/>
              <w:keepLines w:val="0"/>
              <w:suppressLineNumbers w:val="0"/>
              <w:spacing w:before="0" w:beforeAutospacing="0" w:after="0" w:afterAutospacing="0"/>
              <w:ind w:left="0" w:right="0"/>
              <w:jc w:val="center"/>
              <w:rPr>
                <w:rFonts w:hint="default" w:ascii="仿宋" w:hAnsi="仿宋"/>
                <w:b w:val="0"/>
                <w:bCs w:val="0"/>
                <w:color w:val="auto"/>
                <w:sz w:val="24"/>
              </w:rPr>
            </w:pPr>
            <w:r>
              <w:rPr>
                <w:rFonts w:hint="eastAsia" w:ascii="仿宋" w:hAnsi="仿宋"/>
                <w:b w:val="0"/>
                <w:bCs w:val="0"/>
                <w:color w:val="auto"/>
                <w:sz w:val="24"/>
              </w:rPr>
              <w:t>报价</w:t>
            </w:r>
          </w:p>
          <w:p w14:paraId="64CC83C8">
            <w:pPr>
              <w:keepNext w:val="0"/>
              <w:keepLines w:val="0"/>
              <w:suppressLineNumbers w:val="0"/>
              <w:spacing w:before="0" w:beforeAutospacing="0" w:after="0" w:afterAutospacing="0"/>
              <w:ind w:left="0" w:right="0"/>
              <w:jc w:val="center"/>
              <w:rPr>
                <w:rFonts w:hint="eastAsia" w:ascii="仿宋" w:hAnsi="仿宋"/>
                <w:b w:val="0"/>
                <w:bCs w:val="0"/>
                <w:color w:val="auto"/>
                <w:sz w:val="24"/>
              </w:rPr>
            </w:pPr>
            <w:r>
              <w:rPr>
                <w:rFonts w:hint="eastAsia" w:ascii="仿宋" w:hAnsi="仿宋"/>
                <w:b w:val="0"/>
                <w:bCs w:val="0"/>
                <w:color w:val="auto"/>
                <w:sz w:val="24"/>
              </w:rPr>
              <w:t>（3</w:t>
            </w:r>
            <w:r>
              <w:rPr>
                <w:rFonts w:hint="default" w:ascii="仿宋" w:hAnsi="仿宋"/>
                <w:b w:val="0"/>
                <w:bCs w:val="0"/>
                <w:color w:val="auto"/>
                <w:sz w:val="24"/>
              </w:rPr>
              <w:t>0</w:t>
            </w:r>
            <w:r>
              <w:rPr>
                <w:rFonts w:hint="eastAsia" w:ascii="仿宋" w:hAnsi="仿宋"/>
                <w:b w:val="0"/>
                <w:bCs w:val="0"/>
                <w:color w:val="auto"/>
                <w:sz w:val="24"/>
              </w:rPr>
              <w:t>分）</w:t>
            </w:r>
          </w:p>
        </w:tc>
        <w:tc>
          <w:tcPr>
            <w:tcW w:w="3527" w:type="pct"/>
            <w:noWrap w:val="0"/>
            <w:vAlign w:val="center"/>
          </w:tcPr>
          <w:p w14:paraId="769CEDDF">
            <w:pPr>
              <w:keepNext w:val="0"/>
              <w:keepLines w:val="0"/>
              <w:suppressLineNumbers w:val="0"/>
              <w:spacing w:before="0" w:beforeAutospacing="0" w:after="0" w:afterAutospacing="0"/>
              <w:ind w:left="0" w:right="0"/>
              <w:jc w:val="left"/>
              <w:rPr>
                <w:rFonts w:hint="eastAsia" w:ascii="仿宋" w:hAnsi="仿宋"/>
                <w:b w:val="0"/>
                <w:bCs w:val="0"/>
                <w:color w:val="auto"/>
                <w:sz w:val="24"/>
              </w:rPr>
            </w:pPr>
            <w:r>
              <w:rPr>
                <w:rFonts w:hint="eastAsia" w:ascii="仿宋" w:hAnsi="仿宋"/>
                <w:b w:val="0"/>
                <w:bCs w:val="0"/>
                <w:color w:val="auto"/>
                <w:sz w:val="24"/>
              </w:rPr>
              <w:t>价格分统一采用低价优先法计算，即满足</w:t>
            </w:r>
            <w:r>
              <w:rPr>
                <w:rFonts w:hint="eastAsia" w:ascii="仿宋" w:hAnsi="仿宋"/>
                <w:b w:val="0"/>
                <w:bCs w:val="0"/>
                <w:color w:val="auto"/>
                <w:sz w:val="24"/>
                <w:lang w:val="en-US" w:eastAsia="zh-CN"/>
              </w:rPr>
              <w:t>响应文件</w:t>
            </w:r>
            <w:r>
              <w:rPr>
                <w:rFonts w:hint="eastAsia" w:ascii="仿宋" w:hAnsi="仿宋"/>
                <w:b w:val="0"/>
                <w:bCs w:val="0"/>
                <w:color w:val="auto"/>
                <w:sz w:val="24"/>
              </w:rPr>
              <w:t>要求且响应价格最低的响应报价为评标基准价，其价格分为满分。其他供应商的价格分统一按照下列公式计算：</w:t>
            </w:r>
          </w:p>
          <w:p w14:paraId="71FEAE8B">
            <w:pPr>
              <w:keepNext w:val="0"/>
              <w:keepLines w:val="0"/>
              <w:suppressLineNumbers w:val="0"/>
              <w:spacing w:before="0" w:beforeAutospacing="0" w:after="0" w:afterAutospacing="0"/>
              <w:ind w:left="0" w:right="0"/>
              <w:jc w:val="left"/>
              <w:rPr>
                <w:rFonts w:hint="eastAsia" w:ascii="仿宋" w:hAnsi="仿宋"/>
                <w:b w:val="0"/>
                <w:bCs w:val="0"/>
                <w:color w:val="auto"/>
                <w:sz w:val="24"/>
              </w:rPr>
            </w:pPr>
            <w:r>
              <w:rPr>
                <w:rFonts w:hint="eastAsia" w:ascii="仿宋" w:hAnsi="仿宋"/>
                <w:b w:val="0"/>
                <w:bCs w:val="0"/>
                <w:color w:val="auto"/>
                <w:sz w:val="24"/>
              </w:rPr>
              <w:t xml:space="preserve">价格分=(评标基准价／响应报价)×报价分值    </w:t>
            </w:r>
          </w:p>
          <w:p w14:paraId="3F05FC71">
            <w:pPr>
              <w:keepNext w:val="0"/>
              <w:keepLines w:val="0"/>
              <w:suppressLineNumbers w:val="0"/>
              <w:spacing w:before="0" w:beforeAutospacing="0" w:after="0" w:afterAutospacing="0"/>
              <w:ind w:left="0" w:right="0"/>
              <w:jc w:val="left"/>
              <w:rPr>
                <w:rFonts w:hint="eastAsia" w:ascii="仿宋" w:hAnsi="仿宋"/>
                <w:b w:val="0"/>
                <w:bCs w:val="0"/>
                <w:color w:val="auto"/>
                <w:sz w:val="24"/>
              </w:rPr>
            </w:pPr>
            <w:r>
              <w:rPr>
                <w:rFonts w:hint="eastAsia" w:ascii="仿宋" w:hAnsi="仿宋"/>
                <w:b w:val="0"/>
                <w:bCs w:val="0"/>
                <w:color w:val="auto"/>
                <w:sz w:val="24"/>
              </w:rPr>
              <w:t>注：</w:t>
            </w:r>
            <w:r>
              <w:rPr>
                <w:rFonts w:hint="eastAsia" w:ascii="仿宋" w:hAnsi="仿宋"/>
                <w:b w:val="0"/>
                <w:bCs w:val="0"/>
                <w:color w:val="auto"/>
                <w:sz w:val="24"/>
                <w:lang w:eastAsia="zh-CN"/>
              </w:rPr>
              <w:t>1.</w:t>
            </w:r>
            <w:r>
              <w:rPr>
                <w:rFonts w:hint="eastAsia" w:ascii="仿宋" w:hAnsi="仿宋"/>
                <w:b w:val="0"/>
                <w:bCs w:val="0"/>
                <w:color w:val="auto"/>
                <w:sz w:val="24"/>
              </w:rPr>
              <w:t>计算分数时四舍五入取小数点后两位；</w:t>
            </w:r>
          </w:p>
          <w:p w14:paraId="490FCF0C">
            <w:pPr>
              <w:keepNext w:val="0"/>
              <w:keepLines w:val="0"/>
              <w:suppressLineNumbers w:val="0"/>
              <w:spacing w:before="0" w:beforeAutospacing="0" w:after="0" w:afterAutospacing="0"/>
              <w:ind w:left="0" w:right="0" w:firstLine="480" w:firstLineChars="200"/>
              <w:jc w:val="left"/>
              <w:rPr>
                <w:rFonts w:hint="default" w:ascii="仿宋" w:hAnsi="仿宋"/>
                <w:b w:val="0"/>
                <w:bCs w:val="0"/>
                <w:color w:val="auto"/>
                <w:sz w:val="24"/>
              </w:rPr>
            </w:pPr>
            <w:r>
              <w:rPr>
                <w:rFonts w:hint="eastAsia" w:ascii="仿宋" w:hAnsi="仿宋"/>
                <w:b w:val="0"/>
                <w:bCs w:val="0"/>
                <w:color w:val="auto"/>
                <w:sz w:val="24"/>
                <w:lang w:eastAsia="zh-CN"/>
              </w:rPr>
              <w:t>2.</w:t>
            </w:r>
            <w:r>
              <w:rPr>
                <w:rFonts w:hint="eastAsia" w:ascii="仿宋" w:hAnsi="仿宋"/>
                <w:b w:val="0"/>
                <w:bCs w:val="0"/>
                <w:color w:val="auto"/>
                <w:sz w:val="24"/>
              </w:rPr>
              <w:t>落实政府采购政策：参见供应商须知前附表。</w:t>
            </w:r>
          </w:p>
        </w:tc>
        <w:tc>
          <w:tcPr>
            <w:tcW w:w="501" w:type="pct"/>
            <w:noWrap w:val="0"/>
            <w:vAlign w:val="center"/>
          </w:tcPr>
          <w:p w14:paraId="1B934E08">
            <w:pPr>
              <w:keepNext w:val="0"/>
              <w:keepLines w:val="0"/>
              <w:suppressLineNumbers w:val="0"/>
              <w:spacing w:before="0" w:beforeAutospacing="0" w:after="0" w:afterAutospacing="0"/>
              <w:ind w:left="0" w:right="0"/>
              <w:jc w:val="center"/>
              <w:rPr>
                <w:rFonts w:hint="default" w:ascii="仿宋" w:hAnsi="仿宋"/>
                <w:b w:val="0"/>
                <w:bCs w:val="0"/>
                <w:color w:val="auto"/>
                <w:sz w:val="24"/>
                <w:lang w:val="en-US" w:eastAsia="zh-CN"/>
              </w:rPr>
            </w:pPr>
            <w:r>
              <w:rPr>
                <w:rFonts w:hint="eastAsia" w:ascii="仿宋" w:hAnsi="仿宋"/>
                <w:b w:val="0"/>
                <w:bCs w:val="0"/>
                <w:color w:val="auto"/>
                <w:sz w:val="24"/>
                <w:lang w:val="en-US" w:eastAsia="zh-CN"/>
              </w:rPr>
              <w:t>30分</w:t>
            </w:r>
          </w:p>
        </w:tc>
      </w:tr>
      <w:tr w14:paraId="5215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1BD2027D">
            <w:pPr>
              <w:keepNext w:val="0"/>
              <w:keepLines w:val="0"/>
              <w:suppressLineNumbers w:val="0"/>
              <w:spacing w:before="0" w:beforeAutospacing="0" w:after="0" w:afterAutospacing="0"/>
              <w:ind w:left="0" w:right="0"/>
              <w:jc w:val="center"/>
              <w:rPr>
                <w:rFonts w:hint="default" w:ascii="仿宋" w:hAnsi="仿宋"/>
                <w:b w:val="0"/>
                <w:bCs w:val="0"/>
                <w:color w:val="auto"/>
                <w:sz w:val="24"/>
                <w:lang w:val="en-US" w:eastAsia="zh-CN"/>
              </w:rPr>
            </w:pPr>
            <w:r>
              <w:rPr>
                <w:rFonts w:hint="eastAsia" w:ascii="仿宋" w:hAnsi="仿宋"/>
                <w:b w:val="0"/>
                <w:bCs w:val="0"/>
                <w:color w:val="auto"/>
                <w:sz w:val="24"/>
                <w:lang w:val="en-US" w:eastAsia="zh-CN"/>
              </w:rPr>
              <w:t>2</w:t>
            </w:r>
          </w:p>
        </w:tc>
        <w:tc>
          <w:tcPr>
            <w:tcW w:w="725" w:type="pct"/>
            <w:noWrap w:val="0"/>
            <w:vAlign w:val="center"/>
          </w:tcPr>
          <w:p w14:paraId="08D370F9">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商务</w:t>
            </w:r>
          </w:p>
          <w:p w14:paraId="660720FB">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响应</w:t>
            </w:r>
          </w:p>
          <w:p w14:paraId="0AF640F3">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w:t>
            </w:r>
            <w:r>
              <w:rPr>
                <w:rFonts w:hint="eastAsia" w:ascii="仿宋" w:hAnsi="仿宋"/>
                <w:b w:val="0"/>
                <w:bCs w:val="0"/>
                <w:color w:val="auto"/>
                <w:sz w:val="24"/>
                <w:lang w:val="en-US" w:eastAsia="zh-CN"/>
              </w:rPr>
              <w:t>3</w:t>
            </w:r>
            <w:r>
              <w:rPr>
                <w:rFonts w:hint="eastAsia" w:ascii="仿宋" w:hAnsi="仿宋" w:eastAsia="宋体"/>
                <w:b w:val="0"/>
                <w:bCs w:val="0"/>
                <w:color w:val="auto"/>
                <w:sz w:val="24"/>
                <w:lang w:val="en-US" w:eastAsia="zh-CN"/>
              </w:rPr>
              <w:t>分）</w:t>
            </w:r>
          </w:p>
        </w:tc>
        <w:tc>
          <w:tcPr>
            <w:tcW w:w="3527" w:type="pct"/>
            <w:noWrap w:val="0"/>
            <w:vAlign w:val="center"/>
          </w:tcPr>
          <w:p w14:paraId="6825BBBA">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rPr>
            </w:pPr>
            <w:r>
              <w:rPr>
                <w:rFonts w:hint="eastAsia" w:ascii="宋体" w:hAnsi="宋体" w:cs="宋体"/>
                <w:b w:val="0"/>
                <w:bCs w:val="0"/>
                <w:color w:val="auto"/>
                <w:sz w:val="24"/>
                <w:szCs w:val="24"/>
              </w:rPr>
              <w:t>经过有效性和符合性审核合格的</w:t>
            </w:r>
            <w:r>
              <w:rPr>
                <w:rFonts w:hint="eastAsia" w:ascii="宋体" w:hAnsi="宋体" w:cs="宋体"/>
                <w:b w:val="0"/>
                <w:bCs w:val="0"/>
                <w:color w:val="auto"/>
                <w:sz w:val="24"/>
                <w:szCs w:val="24"/>
                <w:lang w:val="en-US" w:eastAsia="zh-CN"/>
              </w:rPr>
              <w:t>投标供应商</w:t>
            </w:r>
            <w:r>
              <w:rPr>
                <w:rFonts w:hint="eastAsia" w:ascii="宋体" w:hAnsi="宋体" w:cs="宋体"/>
                <w:b w:val="0"/>
                <w:bCs w:val="0"/>
                <w:color w:val="auto"/>
                <w:sz w:val="24"/>
                <w:szCs w:val="24"/>
              </w:rPr>
              <w:t>，对付款</w:t>
            </w:r>
            <w:r>
              <w:rPr>
                <w:rFonts w:hint="eastAsia" w:ascii="宋体" w:hAnsi="宋体" w:cs="宋体"/>
                <w:b w:val="0"/>
                <w:bCs w:val="0"/>
                <w:color w:val="auto"/>
                <w:sz w:val="24"/>
                <w:szCs w:val="24"/>
                <w:lang w:val="en-US" w:eastAsia="zh-CN"/>
              </w:rPr>
              <w:t>方式</w:t>
            </w:r>
            <w:r>
              <w:rPr>
                <w:rFonts w:hint="eastAsia" w:ascii="宋体" w:hAnsi="宋体" w:cs="宋体"/>
                <w:b w:val="0"/>
                <w:bCs w:val="0"/>
                <w:color w:val="auto"/>
                <w:sz w:val="24"/>
                <w:szCs w:val="24"/>
              </w:rPr>
              <w:t>、</w:t>
            </w:r>
            <w:r>
              <w:rPr>
                <w:rFonts w:hint="eastAsia" w:ascii="宋体" w:hAnsi="宋体" w:cs="宋体"/>
                <w:b w:val="0"/>
                <w:bCs w:val="0"/>
                <w:color w:val="auto"/>
                <w:sz w:val="24"/>
                <w:szCs w:val="24"/>
                <w:lang w:val="en-US" w:eastAsia="zh-CN"/>
              </w:rPr>
              <w:t>工期</w:t>
            </w:r>
            <w:r>
              <w:rPr>
                <w:rFonts w:hint="eastAsia" w:ascii="宋体" w:hAnsi="宋体" w:cs="宋体"/>
                <w:b w:val="0"/>
                <w:bCs w:val="0"/>
                <w:color w:val="auto"/>
                <w:sz w:val="24"/>
                <w:szCs w:val="24"/>
              </w:rPr>
              <w:t>、</w:t>
            </w:r>
            <w:r>
              <w:rPr>
                <w:rFonts w:hint="eastAsia" w:ascii="宋体" w:hAnsi="宋体" w:cs="宋体"/>
                <w:b w:val="0"/>
                <w:bCs w:val="0"/>
                <w:color w:val="auto"/>
                <w:sz w:val="24"/>
                <w:szCs w:val="24"/>
                <w:lang w:val="en-US" w:eastAsia="zh-CN"/>
              </w:rPr>
              <w:t>质保期</w:t>
            </w:r>
            <w:r>
              <w:rPr>
                <w:rFonts w:hint="eastAsia" w:ascii="宋体" w:hAnsi="宋体" w:cs="宋体"/>
                <w:b w:val="0"/>
                <w:bCs w:val="0"/>
                <w:color w:val="auto"/>
                <w:sz w:val="24"/>
                <w:szCs w:val="24"/>
              </w:rPr>
              <w:t>等</w:t>
            </w:r>
            <w:r>
              <w:rPr>
                <w:rFonts w:hint="eastAsia" w:ascii="宋体" w:hAnsi="宋体" w:cs="宋体"/>
                <w:b w:val="0"/>
                <w:bCs w:val="0"/>
                <w:color w:val="auto"/>
                <w:sz w:val="24"/>
                <w:szCs w:val="24"/>
                <w:lang w:val="en-US" w:eastAsia="zh-CN"/>
              </w:rPr>
              <w:t>商务要求</w:t>
            </w:r>
            <w:r>
              <w:rPr>
                <w:rFonts w:hint="eastAsia" w:ascii="宋体" w:hAnsi="宋体" w:cs="宋体"/>
                <w:b w:val="0"/>
                <w:bCs w:val="0"/>
                <w:color w:val="auto"/>
                <w:sz w:val="24"/>
                <w:szCs w:val="24"/>
              </w:rPr>
              <w:t>进行响应，完全响应且逐项详细说明的计</w:t>
            </w: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rPr>
              <w:t>分，未做详细响应的，按响应程度赋1-</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分。</w:t>
            </w:r>
          </w:p>
        </w:tc>
        <w:tc>
          <w:tcPr>
            <w:tcW w:w="501" w:type="pct"/>
            <w:noWrap w:val="0"/>
            <w:vAlign w:val="center"/>
          </w:tcPr>
          <w:p w14:paraId="242305E8">
            <w:pPr>
              <w:keepNext w:val="0"/>
              <w:keepLines w:val="0"/>
              <w:suppressLineNumbers w:val="0"/>
              <w:spacing w:before="0" w:beforeAutospacing="0" w:after="0" w:afterAutospacing="0"/>
              <w:ind w:left="0" w:right="0"/>
              <w:jc w:val="center"/>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3分</w:t>
            </w:r>
          </w:p>
        </w:tc>
      </w:tr>
      <w:tr w14:paraId="3F7C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36E9F9C4">
            <w:pPr>
              <w:keepNext w:val="0"/>
              <w:keepLines w:val="0"/>
              <w:suppressLineNumbers w:val="0"/>
              <w:spacing w:before="0" w:beforeAutospacing="0" w:after="0" w:afterAutospacing="0" w:line="400" w:lineRule="exact"/>
              <w:ind w:left="0" w:right="0"/>
              <w:jc w:val="center"/>
              <w:rPr>
                <w:rFonts w:hint="default" w:ascii="仿宋" w:hAnsi="仿宋" w:eastAsia="宋体" w:cs="仿宋"/>
                <w:b w:val="0"/>
                <w:bCs w:val="0"/>
                <w:color w:val="auto"/>
                <w:sz w:val="24"/>
                <w:highlight w:val="none"/>
                <w:lang w:val="en-US" w:eastAsia="zh-CN"/>
              </w:rPr>
            </w:pPr>
            <w:r>
              <w:rPr>
                <w:rFonts w:hint="eastAsia" w:ascii="仿宋" w:hAnsi="仿宋" w:cs="仿宋"/>
                <w:b w:val="0"/>
                <w:bCs w:val="0"/>
                <w:color w:val="auto"/>
                <w:sz w:val="24"/>
                <w:highlight w:val="none"/>
                <w:lang w:val="en-US" w:eastAsia="zh-CN"/>
              </w:rPr>
              <w:t>3</w:t>
            </w:r>
          </w:p>
        </w:tc>
        <w:tc>
          <w:tcPr>
            <w:tcW w:w="725" w:type="pct"/>
            <w:noWrap w:val="0"/>
            <w:vAlign w:val="center"/>
          </w:tcPr>
          <w:p w14:paraId="67D87F66">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施工方案</w:t>
            </w:r>
          </w:p>
          <w:p w14:paraId="2A237D5C">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val="en-US"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1</w:t>
            </w:r>
            <w:r>
              <w:rPr>
                <w:rFonts w:hint="eastAsia" w:ascii="仿宋" w:hAnsi="仿宋"/>
                <w:b w:val="0"/>
                <w:bCs w:val="0"/>
                <w:color w:val="auto"/>
                <w:sz w:val="24"/>
                <w:lang w:val="en-US" w:eastAsia="zh-CN"/>
              </w:rPr>
              <w:t>5</w:t>
            </w:r>
            <w:r>
              <w:rPr>
                <w:rFonts w:hint="eastAsia" w:ascii="仿宋" w:hAnsi="仿宋" w:eastAsia="宋体"/>
                <w:b w:val="0"/>
                <w:bCs w:val="0"/>
                <w:color w:val="auto"/>
                <w:sz w:val="24"/>
                <w:lang w:val="en-US" w:eastAsia="zh-CN"/>
              </w:rPr>
              <w:t>分</w:t>
            </w:r>
            <w:r>
              <w:rPr>
                <w:rFonts w:hint="eastAsia" w:ascii="仿宋" w:hAnsi="仿宋" w:eastAsia="宋体"/>
                <w:b w:val="0"/>
                <w:bCs w:val="0"/>
                <w:color w:val="auto"/>
                <w:sz w:val="24"/>
                <w:lang w:eastAsia="zh-CN"/>
              </w:rPr>
              <w:t>）</w:t>
            </w:r>
          </w:p>
        </w:tc>
        <w:tc>
          <w:tcPr>
            <w:tcW w:w="3527" w:type="pct"/>
            <w:noWrap w:val="0"/>
            <w:vAlign w:val="center"/>
          </w:tcPr>
          <w:p w14:paraId="09BC389C">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rPr>
            </w:pPr>
            <w:r>
              <w:rPr>
                <w:rFonts w:hint="eastAsia" w:ascii="仿宋" w:hAnsi="仿宋" w:eastAsia="宋体"/>
                <w:b w:val="0"/>
                <w:bCs w:val="0"/>
                <w:color w:val="auto"/>
                <w:sz w:val="24"/>
              </w:rPr>
              <w:t>针对</w:t>
            </w:r>
            <w:r>
              <w:rPr>
                <w:rFonts w:hint="eastAsia" w:ascii="仿宋" w:hAnsi="仿宋"/>
                <w:b w:val="0"/>
                <w:bCs w:val="0"/>
                <w:color w:val="auto"/>
                <w:sz w:val="24"/>
                <w:lang w:val="en-US" w:eastAsia="zh-CN"/>
              </w:rPr>
              <w:t>本</w:t>
            </w:r>
            <w:r>
              <w:rPr>
                <w:rFonts w:hint="eastAsia" w:ascii="仿宋" w:hAnsi="仿宋" w:eastAsia="宋体"/>
                <w:b w:val="0"/>
                <w:bCs w:val="0"/>
                <w:color w:val="auto"/>
                <w:sz w:val="24"/>
              </w:rPr>
              <w:t>项目有详细完整的施工方案（包括但不限于掘苗、包装、调运、分发、栽植等相关内容），施工方案内容完整、严密、科学、能针对工程特点合理安排工期、资源配置满足工期 ，完全满足施工要求得15分；施工方案内容基本完整 ，基本满足施工要求得12分；施工方案内容不完整 ，部分满足施工要求得9分； 未提供不得分。</w:t>
            </w:r>
          </w:p>
        </w:tc>
        <w:tc>
          <w:tcPr>
            <w:tcW w:w="501" w:type="pct"/>
            <w:noWrap w:val="0"/>
            <w:vAlign w:val="center"/>
          </w:tcPr>
          <w:p w14:paraId="10525A48">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1</w:t>
            </w:r>
            <w:r>
              <w:rPr>
                <w:rFonts w:hint="eastAsia" w:ascii="仿宋" w:hAnsi="仿宋"/>
                <w:b w:val="0"/>
                <w:bCs w:val="0"/>
                <w:color w:val="auto"/>
                <w:sz w:val="24"/>
                <w:lang w:val="en-US" w:eastAsia="zh-CN"/>
              </w:rPr>
              <w:t>5</w:t>
            </w:r>
            <w:r>
              <w:rPr>
                <w:rFonts w:hint="eastAsia" w:ascii="仿宋" w:hAnsi="仿宋" w:eastAsia="宋体"/>
                <w:b w:val="0"/>
                <w:bCs w:val="0"/>
                <w:color w:val="auto"/>
                <w:sz w:val="24"/>
                <w:lang w:val="en-US" w:eastAsia="zh-CN"/>
              </w:rPr>
              <w:t>分</w:t>
            </w:r>
          </w:p>
        </w:tc>
      </w:tr>
      <w:tr w14:paraId="6692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04383E07">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4</w:t>
            </w:r>
          </w:p>
        </w:tc>
        <w:tc>
          <w:tcPr>
            <w:tcW w:w="725" w:type="pct"/>
            <w:noWrap w:val="0"/>
            <w:vAlign w:val="center"/>
          </w:tcPr>
          <w:p w14:paraId="51855101">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养护管理方案</w:t>
            </w:r>
          </w:p>
          <w:p w14:paraId="15434AE8">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6分</w:t>
            </w:r>
            <w:r>
              <w:rPr>
                <w:rFonts w:hint="eastAsia" w:ascii="仿宋" w:hAnsi="仿宋" w:eastAsia="宋体"/>
                <w:b w:val="0"/>
                <w:bCs w:val="0"/>
                <w:color w:val="auto"/>
                <w:sz w:val="24"/>
                <w:lang w:eastAsia="zh-CN"/>
              </w:rPr>
              <w:t>）</w:t>
            </w:r>
          </w:p>
        </w:tc>
        <w:tc>
          <w:tcPr>
            <w:tcW w:w="3527" w:type="pct"/>
            <w:noWrap w:val="0"/>
            <w:vAlign w:val="center"/>
          </w:tcPr>
          <w:p w14:paraId="2E0CAF2D">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rPr>
            </w:pPr>
            <w:r>
              <w:rPr>
                <w:rFonts w:hint="eastAsia" w:ascii="仿宋" w:hAnsi="仿宋" w:eastAsia="宋体"/>
                <w:b w:val="0"/>
                <w:bCs w:val="0"/>
                <w:color w:val="auto"/>
                <w:sz w:val="24"/>
              </w:rPr>
              <w:t>针对本项目栽植的苗木进行养护管理，方案详细完整，措施得当、切实可行，完全满足本项目要求得6分；方案基本完整，措施部分可行、基本满足本项目要求得4分；方案部分满足本项目要求的得2分；未提供不得分。</w:t>
            </w:r>
          </w:p>
        </w:tc>
        <w:tc>
          <w:tcPr>
            <w:tcW w:w="501" w:type="pct"/>
            <w:noWrap w:val="0"/>
            <w:vAlign w:val="center"/>
          </w:tcPr>
          <w:p w14:paraId="6E2B61F7">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6分</w:t>
            </w:r>
          </w:p>
        </w:tc>
      </w:tr>
      <w:tr w14:paraId="534B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261ACDFC">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5</w:t>
            </w:r>
          </w:p>
        </w:tc>
        <w:tc>
          <w:tcPr>
            <w:tcW w:w="725" w:type="pct"/>
            <w:noWrap w:val="0"/>
            <w:vAlign w:val="center"/>
          </w:tcPr>
          <w:p w14:paraId="78545801">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质量保证</w:t>
            </w:r>
          </w:p>
          <w:p w14:paraId="6490E55D">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措施</w:t>
            </w:r>
          </w:p>
          <w:p w14:paraId="73138870">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6分</w:t>
            </w:r>
            <w:r>
              <w:rPr>
                <w:rFonts w:hint="eastAsia" w:ascii="仿宋" w:hAnsi="仿宋" w:eastAsia="宋体"/>
                <w:b w:val="0"/>
                <w:bCs w:val="0"/>
                <w:color w:val="auto"/>
                <w:sz w:val="24"/>
                <w:lang w:eastAsia="zh-CN"/>
              </w:rPr>
              <w:t>）</w:t>
            </w:r>
          </w:p>
        </w:tc>
        <w:tc>
          <w:tcPr>
            <w:tcW w:w="3527" w:type="pct"/>
            <w:noWrap w:val="0"/>
            <w:vAlign w:val="center"/>
          </w:tcPr>
          <w:p w14:paraId="362E45A1">
            <w:pPr>
              <w:keepNext w:val="0"/>
              <w:keepLines w:val="0"/>
              <w:suppressLineNumbers w:val="0"/>
              <w:spacing w:before="0" w:beforeAutospacing="0" w:after="0" w:afterAutospacing="0"/>
              <w:ind w:left="0" w:right="0"/>
              <w:jc w:val="left"/>
              <w:rPr>
                <w:rFonts w:hint="default" w:ascii="仿宋" w:hAnsi="仿宋" w:eastAsia="宋体"/>
                <w:b w:val="0"/>
                <w:bCs w:val="0"/>
                <w:color w:val="auto"/>
                <w:sz w:val="24"/>
                <w:lang w:val="en-US" w:eastAsia="zh-CN"/>
              </w:rPr>
            </w:pPr>
            <w:r>
              <w:rPr>
                <w:rFonts w:hint="default" w:ascii="仿宋" w:hAnsi="仿宋" w:eastAsia="宋体"/>
                <w:b w:val="0"/>
                <w:bCs w:val="0"/>
                <w:color w:val="auto"/>
                <w:sz w:val="24"/>
                <w:lang w:val="en-US" w:eastAsia="zh-CN"/>
              </w:rPr>
              <w:t>根据本项目特点制定相应的质量保障措施，内容详细完整、针对性强、对质量控制的重点、难点分析到位的得6分；质量保障措施内容基本完整、针对性较强、对质量控制的重点、难点分析基本到位的得4分；质量保障措施内容不够完善、针对性较弱、对质量控制的重点、难点分析不够到位的得2分； 未提供不得分。</w:t>
            </w:r>
          </w:p>
        </w:tc>
        <w:tc>
          <w:tcPr>
            <w:tcW w:w="501" w:type="pct"/>
            <w:noWrap w:val="0"/>
            <w:vAlign w:val="center"/>
          </w:tcPr>
          <w:p w14:paraId="13F3E69E">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6分</w:t>
            </w:r>
          </w:p>
        </w:tc>
      </w:tr>
      <w:tr w14:paraId="56AE4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119410B4">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6</w:t>
            </w:r>
          </w:p>
        </w:tc>
        <w:tc>
          <w:tcPr>
            <w:tcW w:w="725" w:type="pct"/>
            <w:noWrap w:val="0"/>
            <w:vAlign w:val="center"/>
          </w:tcPr>
          <w:p w14:paraId="39371245">
            <w:pPr>
              <w:keepNext w:val="0"/>
              <w:keepLines w:val="0"/>
              <w:suppressLineNumbers w:val="0"/>
              <w:spacing w:before="0" w:beforeAutospacing="0" w:after="0" w:afterAutospacing="0"/>
              <w:ind w:left="0" w:right="0"/>
              <w:jc w:val="both"/>
              <w:rPr>
                <w:rFonts w:hint="eastAsia" w:ascii="仿宋" w:hAnsi="仿宋" w:eastAsia="宋体"/>
                <w:b w:val="0"/>
                <w:bCs w:val="0"/>
                <w:color w:val="auto"/>
                <w:sz w:val="24"/>
              </w:rPr>
            </w:pPr>
            <w:r>
              <w:rPr>
                <w:rFonts w:hint="eastAsia" w:ascii="仿宋" w:hAnsi="仿宋" w:eastAsia="宋体"/>
                <w:b w:val="0"/>
                <w:bCs w:val="0"/>
                <w:color w:val="auto"/>
                <w:sz w:val="24"/>
              </w:rPr>
              <w:t>安全保证</w:t>
            </w:r>
          </w:p>
          <w:p w14:paraId="602EEDAA">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措施</w:t>
            </w:r>
          </w:p>
          <w:p w14:paraId="53E839D3">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6分</w:t>
            </w:r>
            <w:r>
              <w:rPr>
                <w:rFonts w:hint="eastAsia" w:ascii="仿宋" w:hAnsi="仿宋" w:eastAsia="宋体"/>
                <w:b w:val="0"/>
                <w:bCs w:val="0"/>
                <w:color w:val="auto"/>
                <w:sz w:val="24"/>
                <w:lang w:eastAsia="zh-CN"/>
              </w:rPr>
              <w:t>）</w:t>
            </w:r>
          </w:p>
        </w:tc>
        <w:tc>
          <w:tcPr>
            <w:tcW w:w="3527" w:type="pct"/>
            <w:noWrap w:val="0"/>
            <w:vAlign w:val="center"/>
          </w:tcPr>
          <w:p w14:paraId="61A3AE8B">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rPr>
            </w:pPr>
            <w:r>
              <w:rPr>
                <w:rFonts w:hint="eastAsia" w:ascii="仿宋" w:hAnsi="仿宋" w:eastAsia="宋体"/>
                <w:b w:val="0"/>
                <w:bCs w:val="0"/>
                <w:color w:val="auto"/>
                <w:sz w:val="24"/>
              </w:rPr>
              <w:t>针对本项目提供的项目安全保证措施科学、合理、可行。 安全保证措施科学、合理、可行得</w:t>
            </w:r>
            <w:r>
              <w:rPr>
                <w:rFonts w:hint="eastAsia" w:ascii="仿宋" w:hAnsi="仿宋" w:eastAsia="宋体"/>
                <w:b w:val="0"/>
                <w:bCs w:val="0"/>
                <w:color w:val="auto"/>
                <w:sz w:val="24"/>
                <w:lang w:val="en-US" w:eastAsia="zh-CN"/>
              </w:rPr>
              <w:t>6</w:t>
            </w:r>
            <w:r>
              <w:rPr>
                <w:rFonts w:hint="eastAsia" w:ascii="仿宋" w:hAnsi="仿宋" w:eastAsia="宋体"/>
                <w:b w:val="0"/>
                <w:bCs w:val="0"/>
                <w:color w:val="auto"/>
                <w:sz w:val="24"/>
              </w:rPr>
              <w:t>分；较科学较合理、较可行得</w:t>
            </w:r>
            <w:r>
              <w:rPr>
                <w:rFonts w:hint="eastAsia" w:ascii="仿宋" w:hAnsi="仿宋" w:eastAsia="宋体"/>
                <w:b w:val="0"/>
                <w:bCs w:val="0"/>
                <w:color w:val="auto"/>
                <w:sz w:val="24"/>
                <w:lang w:val="en-US" w:eastAsia="zh-CN"/>
              </w:rPr>
              <w:t>4</w:t>
            </w:r>
            <w:r>
              <w:rPr>
                <w:rFonts w:hint="eastAsia" w:ascii="仿宋" w:hAnsi="仿宋" w:eastAsia="宋体"/>
                <w:b w:val="0"/>
                <w:bCs w:val="0"/>
                <w:color w:val="auto"/>
                <w:sz w:val="24"/>
              </w:rPr>
              <w:t>分；科学性</w:t>
            </w:r>
            <w:r>
              <w:rPr>
                <w:rFonts w:hint="eastAsia" w:ascii="仿宋" w:hAnsi="仿宋"/>
                <w:b w:val="0"/>
                <w:bCs w:val="0"/>
                <w:color w:val="auto"/>
                <w:sz w:val="24"/>
                <w:lang w:val="en-US" w:eastAsia="zh-CN"/>
              </w:rPr>
              <w:t>一般</w:t>
            </w:r>
            <w:r>
              <w:rPr>
                <w:rFonts w:hint="eastAsia" w:ascii="仿宋" w:hAnsi="仿宋"/>
                <w:b w:val="0"/>
                <w:bCs w:val="0"/>
                <w:color w:val="auto"/>
                <w:sz w:val="24"/>
                <w:lang w:eastAsia="zh-CN"/>
              </w:rPr>
              <w:t>、</w:t>
            </w:r>
            <w:r>
              <w:rPr>
                <w:rFonts w:hint="eastAsia" w:ascii="仿宋" w:hAnsi="仿宋" w:eastAsia="宋体"/>
                <w:b w:val="0"/>
                <w:bCs w:val="0"/>
                <w:color w:val="auto"/>
                <w:sz w:val="24"/>
              </w:rPr>
              <w:t>合理</w:t>
            </w:r>
            <w:r>
              <w:rPr>
                <w:rFonts w:hint="eastAsia" w:ascii="仿宋" w:hAnsi="仿宋"/>
                <w:b w:val="0"/>
                <w:bCs w:val="0"/>
                <w:color w:val="auto"/>
                <w:sz w:val="24"/>
                <w:lang w:val="en-US" w:eastAsia="zh-CN"/>
              </w:rPr>
              <w:t>性欠缺</w:t>
            </w:r>
            <w:r>
              <w:rPr>
                <w:rFonts w:hint="eastAsia" w:ascii="仿宋" w:hAnsi="仿宋"/>
                <w:b w:val="0"/>
                <w:bCs w:val="0"/>
                <w:color w:val="auto"/>
                <w:sz w:val="24"/>
                <w:lang w:eastAsia="zh-CN"/>
              </w:rPr>
              <w:t>、</w:t>
            </w:r>
            <w:r>
              <w:rPr>
                <w:rFonts w:hint="eastAsia" w:ascii="仿宋" w:hAnsi="仿宋"/>
                <w:b w:val="0"/>
                <w:bCs w:val="0"/>
                <w:color w:val="auto"/>
                <w:sz w:val="24"/>
                <w:lang w:val="en-US" w:eastAsia="zh-CN"/>
              </w:rPr>
              <w:t>不够</w:t>
            </w:r>
            <w:r>
              <w:rPr>
                <w:rFonts w:hint="eastAsia" w:ascii="仿宋" w:hAnsi="仿宋" w:eastAsia="宋体"/>
                <w:b w:val="0"/>
                <w:bCs w:val="0"/>
                <w:color w:val="auto"/>
                <w:sz w:val="24"/>
              </w:rPr>
              <w:t>可行得</w:t>
            </w:r>
            <w:r>
              <w:rPr>
                <w:rFonts w:hint="eastAsia" w:ascii="仿宋" w:hAnsi="仿宋" w:eastAsia="宋体"/>
                <w:b w:val="0"/>
                <w:bCs w:val="0"/>
                <w:color w:val="auto"/>
                <w:sz w:val="24"/>
                <w:lang w:val="en-US" w:eastAsia="zh-CN"/>
              </w:rPr>
              <w:t>2</w:t>
            </w:r>
            <w:r>
              <w:rPr>
                <w:rFonts w:hint="eastAsia" w:ascii="仿宋" w:hAnsi="仿宋" w:eastAsia="宋体"/>
                <w:b w:val="0"/>
                <w:bCs w:val="0"/>
                <w:color w:val="auto"/>
                <w:sz w:val="24"/>
              </w:rPr>
              <w:t>分；</w:t>
            </w:r>
            <w:r>
              <w:rPr>
                <w:rFonts w:hint="eastAsia" w:ascii="仿宋" w:hAnsi="仿宋" w:eastAsia="宋体"/>
                <w:b w:val="0"/>
                <w:bCs w:val="0"/>
                <w:color w:val="auto"/>
                <w:sz w:val="24"/>
                <w:lang w:val="en-US" w:eastAsia="zh-CN"/>
              </w:rPr>
              <w:t>未提供不得分。</w:t>
            </w:r>
          </w:p>
        </w:tc>
        <w:tc>
          <w:tcPr>
            <w:tcW w:w="501" w:type="pct"/>
            <w:noWrap w:val="0"/>
            <w:vAlign w:val="center"/>
          </w:tcPr>
          <w:p w14:paraId="6F53744A">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lang w:val="en-US" w:eastAsia="zh-CN"/>
              </w:rPr>
              <w:t>6分</w:t>
            </w:r>
          </w:p>
        </w:tc>
      </w:tr>
      <w:tr w14:paraId="358C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658E15AF">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7</w:t>
            </w:r>
          </w:p>
        </w:tc>
        <w:tc>
          <w:tcPr>
            <w:tcW w:w="725" w:type="pct"/>
            <w:noWrap w:val="0"/>
            <w:vAlign w:val="center"/>
          </w:tcPr>
          <w:p w14:paraId="2CF929BA">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lang w:eastAsia="zh-CN"/>
              </w:rPr>
              <w:t>进度保障及措施</w:t>
            </w:r>
          </w:p>
          <w:p w14:paraId="1098FC31">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eastAsia="zh-CN"/>
              </w:rPr>
              <w:t>（</w:t>
            </w:r>
            <w:r>
              <w:rPr>
                <w:rFonts w:hint="eastAsia" w:ascii="仿宋" w:hAnsi="仿宋"/>
                <w:b w:val="0"/>
                <w:bCs w:val="0"/>
                <w:color w:val="auto"/>
                <w:sz w:val="24"/>
                <w:lang w:val="en-US" w:eastAsia="zh-CN"/>
              </w:rPr>
              <w:t>6</w:t>
            </w:r>
            <w:r>
              <w:rPr>
                <w:rFonts w:hint="eastAsia" w:ascii="仿宋" w:hAnsi="仿宋" w:eastAsia="宋体"/>
                <w:b w:val="0"/>
                <w:bCs w:val="0"/>
                <w:color w:val="auto"/>
                <w:sz w:val="24"/>
                <w:lang w:val="en-US" w:eastAsia="zh-CN"/>
              </w:rPr>
              <w:t>分</w:t>
            </w:r>
            <w:r>
              <w:rPr>
                <w:rFonts w:hint="eastAsia" w:ascii="仿宋" w:hAnsi="仿宋" w:eastAsia="宋体"/>
                <w:b w:val="0"/>
                <w:bCs w:val="0"/>
                <w:color w:val="auto"/>
                <w:sz w:val="24"/>
                <w:lang w:eastAsia="zh-CN"/>
              </w:rPr>
              <w:t>）</w:t>
            </w:r>
          </w:p>
        </w:tc>
        <w:tc>
          <w:tcPr>
            <w:tcW w:w="3527" w:type="pct"/>
            <w:noWrap w:val="0"/>
            <w:vAlign w:val="center"/>
          </w:tcPr>
          <w:p w14:paraId="588CB0AF">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根据本项目特点制定进度控制计划及保证措施，计划及保证措施详细、科学合理、内容完整且符合项目实际要求的得6分；计划及保证措施较详细、计划较科学、基本规范合理、 内容较完整且基本符合项目要求的得4分；计划及保证措施不够详细、计划缺乏科学性、规范合理性欠妥、 内容需完善的得2分； 未提供不得分。</w:t>
            </w:r>
          </w:p>
        </w:tc>
        <w:tc>
          <w:tcPr>
            <w:tcW w:w="501" w:type="pct"/>
            <w:noWrap w:val="0"/>
            <w:vAlign w:val="center"/>
          </w:tcPr>
          <w:p w14:paraId="6AFD78B3">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b w:val="0"/>
                <w:bCs w:val="0"/>
                <w:color w:val="auto"/>
                <w:sz w:val="24"/>
                <w:lang w:val="en-US" w:eastAsia="zh-CN"/>
              </w:rPr>
              <w:t>6</w:t>
            </w:r>
            <w:r>
              <w:rPr>
                <w:rFonts w:hint="eastAsia" w:ascii="仿宋" w:hAnsi="仿宋" w:eastAsia="宋体"/>
                <w:b w:val="0"/>
                <w:bCs w:val="0"/>
                <w:color w:val="auto"/>
                <w:sz w:val="24"/>
                <w:lang w:val="en-US" w:eastAsia="zh-CN"/>
              </w:rPr>
              <w:t>分</w:t>
            </w:r>
          </w:p>
        </w:tc>
      </w:tr>
      <w:tr w14:paraId="7E2C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7692C9B6">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8</w:t>
            </w:r>
          </w:p>
        </w:tc>
        <w:tc>
          <w:tcPr>
            <w:tcW w:w="725" w:type="pct"/>
            <w:noWrap w:val="0"/>
            <w:vAlign w:val="center"/>
          </w:tcPr>
          <w:p w14:paraId="7E824922">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安全文明施工</w:t>
            </w:r>
          </w:p>
          <w:p w14:paraId="58C74578">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w:t>
            </w:r>
            <w:r>
              <w:rPr>
                <w:rFonts w:hint="eastAsia" w:ascii="仿宋" w:hAnsi="仿宋"/>
                <w:b w:val="0"/>
                <w:bCs w:val="0"/>
                <w:color w:val="auto"/>
                <w:sz w:val="24"/>
                <w:lang w:val="en-US" w:eastAsia="zh-CN"/>
              </w:rPr>
              <w:t>6</w:t>
            </w:r>
            <w:r>
              <w:rPr>
                <w:rFonts w:hint="eastAsia" w:ascii="仿宋" w:hAnsi="仿宋" w:eastAsia="宋体"/>
                <w:b w:val="0"/>
                <w:bCs w:val="0"/>
                <w:color w:val="auto"/>
                <w:sz w:val="24"/>
                <w:lang w:val="en-US" w:eastAsia="zh-CN"/>
              </w:rPr>
              <w:t>分</w:t>
            </w:r>
            <w:r>
              <w:rPr>
                <w:rFonts w:hint="eastAsia" w:ascii="仿宋" w:hAnsi="仿宋" w:eastAsia="宋体"/>
                <w:b w:val="0"/>
                <w:bCs w:val="0"/>
                <w:color w:val="auto"/>
                <w:sz w:val="24"/>
                <w:lang w:eastAsia="zh-CN"/>
              </w:rPr>
              <w:t>）</w:t>
            </w:r>
          </w:p>
        </w:tc>
        <w:tc>
          <w:tcPr>
            <w:tcW w:w="3527" w:type="pct"/>
            <w:noWrap w:val="0"/>
            <w:vAlign w:val="center"/>
          </w:tcPr>
          <w:p w14:paraId="13B02655">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根据项目特点</w:t>
            </w:r>
            <w:r>
              <w:rPr>
                <w:rFonts w:hint="eastAsia" w:ascii="仿宋" w:hAnsi="仿宋"/>
                <w:b w:val="0"/>
                <w:bCs w:val="0"/>
                <w:color w:val="auto"/>
                <w:sz w:val="24"/>
                <w:lang w:eastAsia="zh-CN"/>
              </w:rPr>
              <w:t>，</w:t>
            </w:r>
            <w:r>
              <w:rPr>
                <w:rFonts w:hint="eastAsia" w:ascii="仿宋" w:hAnsi="仿宋" w:eastAsia="宋体"/>
                <w:b w:val="0"/>
                <w:bCs w:val="0"/>
                <w:color w:val="auto"/>
                <w:sz w:val="24"/>
                <w:lang w:eastAsia="zh-CN"/>
              </w:rPr>
              <w:t>针对该项目可能存在的安全隐患，制定全面可靠、健全且完善的施工安全措施，并有实质性保护及改善措施、有详细周到的文明施工计划及相关保障措施的得6分；制定有较为可靠完善的施工安全措施，并有相关基本满足要求的安全保护及改善措施、有较为详细周到的文明施工计划及相关保障措施的得4分；制定的施工安全措施可靠性较弱，相关安全保护及改善措施需完善、文明施工计划及相关保障措施欠妥的得2分；未提供不得分。</w:t>
            </w:r>
          </w:p>
        </w:tc>
        <w:tc>
          <w:tcPr>
            <w:tcW w:w="501" w:type="pct"/>
            <w:noWrap w:val="0"/>
            <w:vAlign w:val="center"/>
          </w:tcPr>
          <w:p w14:paraId="1B4A633A">
            <w:pPr>
              <w:keepNext w:val="0"/>
              <w:keepLines w:val="0"/>
              <w:suppressLineNumbers w:val="0"/>
              <w:spacing w:before="0" w:beforeAutospacing="0" w:after="0" w:afterAutospacing="0"/>
              <w:ind w:left="0" w:right="0"/>
              <w:jc w:val="center"/>
              <w:rPr>
                <w:rFonts w:hint="eastAsia" w:ascii="仿宋" w:hAnsi="仿宋"/>
                <w:b w:val="0"/>
                <w:bCs w:val="0"/>
                <w:color w:val="auto"/>
                <w:sz w:val="24"/>
                <w:lang w:val="en-US" w:eastAsia="zh-CN"/>
              </w:rPr>
            </w:pPr>
            <w:r>
              <w:rPr>
                <w:rFonts w:hint="eastAsia" w:ascii="仿宋" w:hAnsi="仿宋"/>
                <w:b w:val="0"/>
                <w:bCs w:val="0"/>
                <w:color w:val="auto"/>
                <w:sz w:val="24"/>
                <w:lang w:val="en-US" w:eastAsia="zh-CN"/>
              </w:rPr>
              <w:t>6</w:t>
            </w:r>
            <w:r>
              <w:rPr>
                <w:rFonts w:hint="eastAsia" w:ascii="仿宋" w:hAnsi="仿宋" w:eastAsia="宋体"/>
                <w:b w:val="0"/>
                <w:bCs w:val="0"/>
                <w:color w:val="auto"/>
                <w:sz w:val="24"/>
                <w:lang w:val="en-US" w:eastAsia="zh-CN"/>
              </w:rPr>
              <w:t>分</w:t>
            </w:r>
          </w:p>
        </w:tc>
      </w:tr>
      <w:tr w14:paraId="3ABF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31F5C8D7">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9</w:t>
            </w:r>
          </w:p>
        </w:tc>
        <w:tc>
          <w:tcPr>
            <w:tcW w:w="725" w:type="pct"/>
            <w:noWrap w:val="0"/>
            <w:vAlign w:val="center"/>
          </w:tcPr>
          <w:p w14:paraId="78085DED">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劳动力材料供应</w:t>
            </w:r>
          </w:p>
          <w:p w14:paraId="3C13E36D">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3分</w:t>
            </w:r>
            <w:r>
              <w:rPr>
                <w:rFonts w:hint="eastAsia" w:ascii="仿宋" w:hAnsi="仿宋" w:eastAsia="宋体"/>
                <w:b w:val="0"/>
                <w:bCs w:val="0"/>
                <w:color w:val="auto"/>
                <w:sz w:val="24"/>
                <w:lang w:eastAsia="zh-CN"/>
              </w:rPr>
              <w:t>）</w:t>
            </w:r>
          </w:p>
        </w:tc>
        <w:tc>
          <w:tcPr>
            <w:tcW w:w="3527" w:type="pct"/>
            <w:noWrap w:val="0"/>
            <w:vAlign w:val="center"/>
          </w:tcPr>
          <w:p w14:paraId="0A200B58">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拟投入本项目的主要施工材料及人员配备 ，材料齐全、人员配备合理，分工明确、提供详细的材料清单和人员配备及分工信息的得3分；材料清单和人员配备及分工信息基本合理的得2分；材料清单和人员配备及分工信息有明显不足的得1分； 未提供不得分。</w:t>
            </w:r>
          </w:p>
        </w:tc>
        <w:tc>
          <w:tcPr>
            <w:tcW w:w="501" w:type="pct"/>
            <w:noWrap w:val="0"/>
            <w:vAlign w:val="center"/>
          </w:tcPr>
          <w:p w14:paraId="631A6CC9">
            <w:pPr>
              <w:keepNext w:val="0"/>
              <w:keepLines w:val="0"/>
              <w:suppressLineNumbers w:val="0"/>
              <w:spacing w:before="0" w:beforeAutospacing="0" w:after="0" w:afterAutospacing="0"/>
              <w:ind w:left="0" w:right="0"/>
              <w:jc w:val="center"/>
              <w:rPr>
                <w:rFonts w:hint="default" w:ascii="仿宋" w:hAnsi="仿宋"/>
                <w:b w:val="0"/>
                <w:bCs w:val="0"/>
                <w:color w:val="auto"/>
                <w:sz w:val="24"/>
                <w:lang w:val="en-US" w:eastAsia="zh-CN"/>
              </w:rPr>
            </w:pPr>
            <w:r>
              <w:rPr>
                <w:rFonts w:hint="eastAsia" w:ascii="仿宋" w:hAnsi="仿宋"/>
                <w:b w:val="0"/>
                <w:bCs w:val="0"/>
                <w:color w:val="auto"/>
                <w:sz w:val="24"/>
                <w:lang w:val="en-US" w:eastAsia="zh-CN"/>
              </w:rPr>
              <w:t>3分</w:t>
            </w:r>
          </w:p>
        </w:tc>
      </w:tr>
      <w:tr w14:paraId="01A1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5" w:type="pct"/>
            <w:noWrap w:val="0"/>
            <w:vAlign w:val="center"/>
          </w:tcPr>
          <w:p w14:paraId="6F08BE10">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10</w:t>
            </w:r>
          </w:p>
        </w:tc>
        <w:tc>
          <w:tcPr>
            <w:tcW w:w="725" w:type="pct"/>
            <w:noWrap w:val="0"/>
            <w:vAlign w:val="center"/>
          </w:tcPr>
          <w:p w14:paraId="13174E67">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机械设备配置</w:t>
            </w:r>
          </w:p>
          <w:p w14:paraId="2540A3B9">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3分</w:t>
            </w:r>
            <w:r>
              <w:rPr>
                <w:rFonts w:hint="eastAsia" w:ascii="仿宋" w:hAnsi="仿宋" w:eastAsia="宋体"/>
                <w:b w:val="0"/>
                <w:bCs w:val="0"/>
                <w:color w:val="auto"/>
                <w:sz w:val="24"/>
                <w:lang w:eastAsia="zh-CN"/>
              </w:rPr>
              <w:t>）</w:t>
            </w:r>
          </w:p>
        </w:tc>
        <w:tc>
          <w:tcPr>
            <w:tcW w:w="3527" w:type="pct"/>
            <w:noWrap w:val="0"/>
            <w:vAlign w:val="center"/>
          </w:tcPr>
          <w:p w14:paraId="3B2DE823">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lang w:eastAsia="zh-CN"/>
              </w:rPr>
            </w:pPr>
            <w:r>
              <w:rPr>
                <w:rFonts w:hint="eastAsia" w:ascii="仿宋" w:hAnsi="仿宋" w:eastAsia="宋体"/>
                <w:b w:val="0"/>
                <w:bCs w:val="0"/>
                <w:color w:val="auto"/>
                <w:sz w:val="24"/>
                <w:lang w:eastAsia="zh-CN"/>
              </w:rPr>
              <w:t>投入本项目的主要施工机械设备齐全，提供机械设备清单及照片。完全满足项目施工需求的得3分；主要施工机械设备基本齐全，基本满足项目施工需求的得2分；主要施工机械设备不够齐全，无法满足项目施工需求的得1分； 未提供不得分。</w:t>
            </w:r>
          </w:p>
        </w:tc>
        <w:tc>
          <w:tcPr>
            <w:tcW w:w="501" w:type="pct"/>
            <w:noWrap w:val="0"/>
            <w:vAlign w:val="center"/>
          </w:tcPr>
          <w:p w14:paraId="1AA4DC0E">
            <w:pPr>
              <w:keepNext w:val="0"/>
              <w:keepLines w:val="0"/>
              <w:suppressLineNumbers w:val="0"/>
              <w:spacing w:before="0" w:beforeAutospacing="0" w:after="0" w:afterAutospacing="0"/>
              <w:ind w:left="0" w:right="0"/>
              <w:jc w:val="center"/>
              <w:rPr>
                <w:rFonts w:hint="eastAsia" w:ascii="仿宋" w:hAnsi="仿宋"/>
                <w:b w:val="0"/>
                <w:bCs w:val="0"/>
                <w:color w:val="auto"/>
                <w:sz w:val="24"/>
                <w:lang w:val="en-US" w:eastAsia="zh-CN"/>
              </w:rPr>
            </w:pPr>
            <w:r>
              <w:rPr>
                <w:rFonts w:hint="eastAsia" w:ascii="仿宋" w:hAnsi="仿宋"/>
                <w:b w:val="0"/>
                <w:bCs w:val="0"/>
                <w:color w:val="auto"/>
                <w:sz w:val="24"/>
                <w:lang w:val="en-US" w:eastAsia="zh-CN"/>
              </w:rPr>
              <w:t>3分</w:t>
            </w:r>
          </w:p>
        </w:tc>
      </w:tr>
      <w:tr w14:paraId="5C94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jc w:val="center"/>
        </w:trPr>
        <w:tc>
          <w:tcPr>
            <w:tcW w:w="245" w:type="pct"/>
            <w:noWrap w:val="0"/>
            <w:vAlign w:val="center"/>
          </w:tcPr>
          <w:p w14:paraId="263796ED">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11</w:t>
            </w:r>
          </w:p>
        </w:tc>
        <w:tc>
          <w:tcPr>
            <w:tcW w:w="725" w:type="pct"/>
            <w:noWrap w:val="0"/>
            <w:vAlign w:val="center"/>
          </w:tcPr>
          <w:p w14:paraId="7F3279DC">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应急</w:t>
            </w:r>
          </w:p>
          <w:p w14:paraId="69C66949">
            <w:pPr>
              <w:keepNext w:val="0"/>
              <w:keepLines w:val="0"/>
              <w:suppressLineNumbers w:val="0"/>
              <w:spacing w:before="0" w:beforeAutospacing="0" w:after="0" w:afterAutospacing="0"/>
              <w:ind w:left="0" w:right="0"/>
              <w:jc w:val="center"/>
              <w:rPr>
                <w:rFonts w:hint="eastAsia" w:ascii="仿宋" w:hAnsi="仿宋" w:eastAsia="宋体"/>
                <w:b w:val="0"/>
                <w:bCs w:val="0"/>
                <w:color w:val="auto"/>
                <w:sz w:val="24"/>
              </w:rPr>
            </w:pPr>
            <w:r>
              <w:rPr>
                <w:rFonts w:hint="eastAsia" w:ascii="仿宋" w:hAnsi="仿宋" w:eastAsia="宋体"/>
                <w:b w:val="0"/>
                <w:bCs w:val="0"/>
                <w:color w:val="auto"/>
                <w:sz w:val="24"/>
              </w:rPr>
              <w:t>预案</w:t>
            </w:r>
          </w:p>
          <w:p w14:paraId="23D7B469">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eastAsia="zh-CN"/>
              </w:rPr>
              <w:t>（</w:t>
            </w:r>
            <w:r>
              <w:rPr>
                <w:rFonts w:hint="eastAsia" w:ascii="仿宋" w:hAnsi="仿宋" w:eastAsia="宋体"/>
                <w:b w:val="0"/>
                <w:bCs w:val="0"/>
                <w:color w:val="auto"/>
                <w:sz w:val="24"/>
                <w:lang w:val="en-US" w:eastAsia="zh-CN"/>
              </w:rPr>
              <w:t>5分</w:t>
            </w:r>
            <w:r>
              <w:rPr>
                <w:rFonts w:hint="eastAsia" w:ascii="仿宋" w:hAnsi="仿宋" w:eastAsia="宋体"/>
                <w:b w:val="0"/>
                <w:bCs w:val="0"/>
                <w:color w:val="auto"/>
                <w:sz w:val="24"/>
                <w:lang w:eastAsia="zh-CN"/>
              </w:rPr>
              <w:t>）</w:t>
            </w:r>
          </w:p>
        </w:tc>
        <w:tc>
          <w:tcPr>
            <w:tcW w:w="3527" w:type="pct"/>
            <w:noWrap w:val="0"/>
            <w:vAlign w:val="center"/>
          </w:tcPr>
          <w:p w14:paraId="308F42E3">
            <w:pPr>
              <w:keepNext w:val="0"/>
              <w:keepLines w:val="0"/>
              <w:suppressLineNumbers w:val="0"/>
              <w:spacing w:before="0" w:beforeAutospacing="0" w:after="0" w:afterAutospacing="0"/>
              <w:ind w:left="0" w:right="0"/>
              <w:jc w:val="left"/>
              <w:rPr>
                <w:rFonts w:hint="eastAsia" w:ascii="仿宋" w:hAnsi="仿宋" w:eastAsia="宋体"/>
                <w:b w:val="0"/>
                <w:bCs w:val="0"/>
                <w:color w:val="auto"/>
                <w:sz w:val="24"/>
              </w:rPr>
            </w:pPr>
            <w:r>
              <w:rPr>
                <w:rFonts w:hint="eastAsia" w:ascii="仿宋" w:hAnsi="仿宋" w:eastAsia="宋体"/>
                <w:b w:val="0"/>
                <w:bCs w:val="0"/>
                <w:color w:val="auto"/>
                <w:sz w:val="24"/>
              </w:rPr>
              <w:t>项目风险预测与防范，事故应急预案。 项目风险预测与防范，事故应急预案科学、合理、可行得5分；项目风险预测与防范，事故应急预案较科学、较合理、较可行得 3分；项目风险预测与防范，事故应急预案含糊不清、欠缺可行性得1分；</w:t>
            </w:r>
            <w:r>
              <w:rPr>
                <w:rFonts w:hint="eastAsia" w:ascii="仿宋" w:hAnsi="仿宋" w:eastAsia="宋体"/>
                <w:b w:val="0"/>
                <w:bCs w:val="0"/>
                <w:color w:val="auto"/>
                <w:sz w:val="24"/>
                <w:lang w:val="en-US" w:eastAsia="zh-CN"/>
              </w:rPr>
              <w:t>未提供不得分。</w:t>
            </w:r>
          </w:p>
        </w:tc>
        <w:tc>
          <w:tcPr>
            <w:tcW w:w="501" w:type="pct"/>
            <w:noWrap w:val="0"/>
            <w:vAlign w:val="center"/>
          </w:tcPr>
          <w:p w14:paraId="2C61DEA3">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eastAsia="宋体"/>
                <w:b w:val="0"/>
                <w:bCs w:val="0"/>
                <w:color w:val="auto"/>
                <w:sz w:val="24"/>
                <w:lang w:val="en-US" w:eastAsia="zh-CN"/>
              </w:rPr>
              <w:t>5分</w:t>
            </w:r>
          </w:p>
        </w:tc>
      </w:tr>
      <w:tr w14:paraId="0372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45" w:type="pct"/>
            <w:noWrap w:val="0"/>
            <w:vAlign w:val="center"/>
          </w:tcPr>
          <w:p w14:paraId="0578C261">
            <w:pPr>
              <w:keepNext w:val="0"/>
              <w:keepLines w:val="0"/>
              <w:suppressLineNumbers w:val="0"/>
              <w:spacing w:before="0" w:beforeAutospacing="0" w:after="0" w:afterAutospacing="0"/>
              <w:ind w:left="0" w:right="0"/>
              <w:jc w:val="center"/>
              <w:rPr>
                <w:rFonts w:hint="default" w:ascii="仿宋" w:hAnsi="仿宋"/>
                <w:b w:val="0"/>
                <w:bCs w:val="0"/>
                <w:color w:val="auto"/>
                <w:sz w:val="24"/>
                <w:lang w:val="en-US" w:eastAsia="zh-CN"/>
              </w:rPr>
            </w:pPr>
            <w:r>
              <w:rPr>
                <w:rFonts w:hint="eastAsia" w:ascii="仿宋" w:hAnsi="仿宋"/>
                <w:b w:val="0"/>
                <w:bCs w:val="0"/>
                <w:color w:val="auto"/>
                <w:sz w:val="24"/>
                <w:lang w:val="en-US" w:eastAsia="zh-CN"/>
              </w:rPr>
              <w:t>12</w:t>
            </w:r>
          </w:p>
        </w:tc>
        <w:tc>
          <w:tcPr>
            <w:tcW w:w="725" w:type="pct"/>
            <w:noWrap w:val="0"/>
            <w:vAlign w:val="center"/>
          </w:tcPr>
          <w:p w14:paraId="3438BB0E">
            <w:pPr>
              <w:pStyle w:val="112"/>
              <w:keepNext w:val="0"/>
              <w:keepLines w:val="0"/>
              <w:widowControl/>
              <w:suppressLineNumbers w:val="0"/>
              <w:spacing w:before="0" w:beforeAutospacing="0" w:after="0" w:afterAutospacing="0"/>
              <w:ind w:left="0" w:right="0"/>
              <w:jc w:val="center"/>
              <w:rPr>
                <w:rFonts w:hint="eastAsia" w:ascii="仿宋" w:hAnsi="仿宋" w:eastAsia="宋体" w:cs="Calibri"/>
                <w:b w:val="0"/>
                <w:bCs w:val="0"/>
                <w:color w:val="auto"/>
                <w:kern w:val="2"/>
                <w:sz w:val="24"/>
                <w:szCs w:val="21"/>
                <w:lang w:val="en-US" w:eastAsia="zh-CN" w:bidi="ar-SA"/>
              </w:rPr>
            </w:pPr>
            <w:r>
              <w:rPr>
                <w:rFonts w:hint="default" w:ascii="仿宋" w:hAnsi="仿宋" w:eastAsia="宋体" w:cs="Calibri"/>
                <w:b w:val="0"/>
                <w:bCs w:val="0"/>
                <w:color w:val="auto"/>
                <w:kern w:val="2"/>
                <w:sz w:val="24"/>
                <w:szCs w:val="21"/>
                <w:lang w:val="en-US" w:eastAsia="zh-CN" w:bidi="ar-SA"/>
              </w:rPr>
              <w:t>售后服务方案</w:t>
            </w:r>
          </w:p>
          <w:p w14:paraId="37E154E9">
            <w:pPr>
              <w:pStyle w:val="112"/>
              <w:keepNext w:val="0"/>
              <w:keepLines w:val="0"/>
              <w:widowControl/>
              <w:suppressLineNumbers w:val="0"/>
              <w:spacing w:before="0" w:beforeAutospacing="0" w:after="0" w:afterAutospacing="0"/>
              <w:ind w:left="0" w:right="0"/>
              <w:jc w:val="center"/>
              <w:rPr>
                <w:rFonts w:hint="eastAsia" w:ascii="仿宋" w:hAnsi="仿宋" w:eastAsia="宋体" w:cs="Calibri"/>
                <w:b w:val="0"/>
                <w:bCs w:val="0"/>
                <w:color w:val="auto"/>
                <w:kern w:val="2"/>
                <w:sz w:val="24"/>
                <w:szCs w:val="21"/>
                <w:lang w:val="en-US" w:eastAsia="zh-CN" w:bidi="ar-SA"/>
              </w:rPr>
            </w:pPr>
            <w:r>
              <w:rPr>
                <w:rFonts w:hint="eastAsia" w:ascii="仿宋" w:hAnsi="仿宋" w:eastAsia="宋体" w:cs="Calibri"/>
                <w:b w:val="0"/>
                <w:bCs w:val="0"/>
                <w:color w:val="auto"/>
                <w:kern w:val="2"/>
                <w:sz w:val="24"/>
                <w:szCs w:val="21"/>
                <w:lang w:val="en-US" w:eastAsia="zh-CN" w:bidi="ar-SA"/>
              </w:rPr>
              <w:t>（5分）</w:t>
            </w:r>
          </w:p>
        </w:tc>
        <w:tc>
          <w:tcPr>
            <w:tcW w:w="3527" w:type="pct"/>
            <w:noWrap w:val="0"/>
            <w:vAlign w:val="center"/>
          </w:tcPr>
          <w:p w14:paraId="2827DBD8">
            <w:pPr>
              <w:pStyle w:val="112"/>
              <w:keepNext w:val="0"/>
              <w:keepLines w:val="0"/>
              <w:widowControl/>
              <w:suppressLineNumbers w:val="0"/>
              <w:spacing w:before="0" w:beforeAutospacing="0" w:after="0" w:afterAutospacing="0"/>
              <w:ind w:left="0" w:right="0"/>
              <w:jc w:val="left"/>
              <w:rPr>
                <w:rFonts w:hint="default" w:ascii="仿宋" w:hAnsi="仿宋" w:eastAsia="宋体" w:cs="Calibri"/>
                <w:b w:val="0"/>
                <w:bCs w:val="0"/>
                <w:color w:val="auto"/>
                <w:kern w:val="2"/>
                <w:sz w:val="24"/>
                <w:szCs w:val="21"/>
                <w:lang w:val="en-US" w:eastAsia="zh-CN" w:bidi="ar-SA"/>
              </w:rPr>
            </w:pPr>
            <w:r>
              <w:rPr>
                <w:rFonts w:hint="default" w:ascii="仿宋" w:hAnsi="仿宋" w:eastAsia="宋体" w:cs="Calibri"/>
                <w:b w:val="0"/>
                <w:bCs w:val="0"/>
                <w:color w:val="auto"/>
                <w:kern w:val="2"/>
                <w:sz w:val="24"/>
                <w:szCs w:val="21"/>
                <w:lang w:val="en-US" w:eastAsia="zh-CN" w:bidi="ar-SA"/>
              </w:rPr>
              <w:t>供应商提供完整的售后服务方案，内容至少包括服务承诺、（承诺栽植的花卉、苗木成活率到达</w:t>
            </w:r>
            <w:r>
              <w:rPr>
                <w:rFonts w:hint="eastAsia" w:ascii="仿宋" w:hAnsi="仿宋" w:eastAsia="宋体" w:cs="Calibri"/>
                <w:b w:val="0"/>
                <w:bCs w:val="0"/>
                <w:color w:val="auto"/>
                <w:kern w:val="2"/>
                <w:sz w:val="24"/>
                <w:szCs w:val="21"/>
                <w:lang w:val="en-US" w:eastAsia="zh-CN" w:bidi="ar-SA"/>
              </w:rPr>
              <w:t>100</w:t>
            </w:r>
            <w:r>
              <w:rPr>
                <w:rFonts w:hint="default" w:ascii="仿宋" w:hAnsi="仿宋" w:eastAsia="宋体" w:cs="Calibri"/>
                <w:b w:val="0"/>
                <w:bCs w:val="0"/>
                <w:color w:val="auto"/>
                <w:kern w:val="2"/>
                <w:sz w:val="24"/>
                <w:szCs w:val="21"/>
                <w:lang w:val="en-US" w:eastAsia="zh-CN" w:bidi="ar-SA"/>
              </w:rPr>
              <w:t>%以上，未达到成活率的及时更换）服务时效、服务标准、服务流程、后续服务保障措施等方面，方案完整可行性强得5分，方案基本完整得3分，方案不完整得1分，未提供不得分。</w:t>
            </w:r>
          </w:p>
        </w:tc>
        <w:tc>
          <w:tcPr>
            <w:tcW w:w="501" w:type="pct"/>
            <w:noWrap w:val="0"/>
            <w:vAlign w:val="center"/>
          </w:tcPr>
          <w:p w14:paraId="16671CC8">
            <w:pPr>
              <w:pStyle w:val="112"/>
              <w:keepNext w:val="0"/>
              <w:keepLines w:val="0"/>
              <w:widowControl/>
              <w:suppressLineNumbers w:val="0"/>
              <w:spacing w:before="0" w:beforeAutospacing="0" w:after="0" w:afterAutospacing="0"/>
              <w:ind w:left="0" w:right="0"/>
              <w:jc w:val="center"/>
              <w:rPr>
                <w:rFonts w:hint="default" w:ascii="仿宋" w:hAnsi="仿宋" w:eastAsia="宋体" w:cs="Calibri"/>
                <w:b w:val="0"/>
                <w:bCs w:val="0"/>
                <w:color w:val="auto"/>
                <w:kern w:val="2"/>
                <w:sz w:val="24"/>
                <w:szCs w:val="21"/>
                <w:lang w:val="en-US" w:eastAsia="zh-CN" w:bidi="ar-SA"/>
              </w:rPr>
            </w:pPr>
            <w:r>
              <w:rPr>
                <w:rFonts w:hint="eastAsia" w:ascii="仿宋" w:hAnsi="仿宋" w:eastAsia="宋体" w:cs="Calibri"/>
                <w:b w:val="0"/>
                <w:bCs w:val="0"/>
                <w:color w:val="auto"/>
                <w:kern w:val="2"/>
                <w:sz w:val="24"/>
                <w:szCs w:val="21"/>
                <w:lang w:val="en-US" w:eastAsia="zh-CN" w:bidi="ar-SA"/>
              </w:rPr>
              <w:t>5分</w:t>
            </w:r>
          </w:p>
        </w:tc>
      </w:tr>
      <w:tr w14:paraId="4C47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45" w:type="pct"/>
            <w:noWrap w:val="0"/>
            <w:vAlign w:val="center"/>
          </w:tcPr>
          <w:p w14:paraId="3FD535AC">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13</w:t>
            </w:r>
          </w:p>
        </w:tc>
        <w:tc>
          <w:tcPr>
            <w:tcW w:w="725" w:type="pct"/>
            <w:noWrap w:val="0"/>
            <w:vAlign w:val="center"/>
          </w:tcPr>
          <w:p w14:paraId="1CA07B09">
            <w:pPr>
              <w:keepNext w:val="0"/>
              <w:keepLines w:val="0"/>
              <w:suppressLineNumbers w:val="0"/>
              <w:spacing w:before="0" w:beforeAutospacing="0" w:after="0" w:afterAutospacing="0"/>
              <w:ind w:left="0" w:right="0"/>
              <w:jc w:val="center"/>
              <w:rPr>
                <w:rFonts w:hint="eastAsia" w:ascii="仿宋" w:hAnsi="仿宋"/>
                <w:b w:val="0"/>
                <w:bCs w:val="0"/>
                <w:color w:val="auto"/>
                <w:sz w:val="24"/>
              </w:rPr>
            </w:pPr>
            <w:r>
              <w:rPr>
                <w:rFonts w:hint="eastAsia" w:ascii="仿宋" w:hAnsi="仿宋"/>
                <w:b w:val="0"/>
                <w:bCs w:val="0"/>
                <w:color w:val="auto"/>
                <w:sz w:val="24"/>
              </w:rPr>
              <w:t>业绩</w:t>
            </w:r>
          </w:p>
          <w:p w14:paraId="35A18D0C">
            <w:pPr>
              <w:keepNext w:val="0"/>
              <w:keepLines w:val="0"/>
              <w:suppressLineNumbers w:val="0"/>
              <w:spacing w:before="0" w:beforeAutospacing="0" w:after="0" w:afterAutospacing="0"/>
              <w:ind w:left="0" w:right="0"/>
              <w:jc w:val="center"/>
              <w:rPr>
                <w:rFonts w:hint="default" w:ascii="仿宋" w:hAnsi="仿宋"/>
                <w:b w:val="0"/>
                <w:bCs w:val="0"/>
                <w:color w:val="auto"/>
                <w:sz w:val="24"/>
              </w:rPr>
            </w:pPr>
            <w:r>
              <w:rPr>
                <w:rFonts w:hint="eastAsia" w:ascii="仿宋" w:hAnsi="仿宋"/>
                <w:b w:val="0"/>
                <w:bCs w:val="0"/>
                <w:color w:val="auto"/>
                <w:sz w:val="24"/>
              </w:rPr>
              <w:t>（</w:t>
            </w:r>
            <w:r>
              <w:rPr>
                <w:rFonts w:hint="eastAsia" w:ascii="仿宋" w:hAnsi="仿宋"/>
                <w:b w:val="0"/>
                <w:bCs w:val="0"/>
                <w:color w:val="auto"/>
                <w:sz w:val="24"/>
                <w:lang w:val="en-US" w:eastAsia="zh-CN"/>
              </w:rPr>
              <w:t>6</w:t>
            </w:r>
            <w:r>
              <w:rPr>
                <w:rFonts w:hint="eastAsia" w:ascii="仿宋" w:hAnsi="仿宋"/>
                <w:b w:val="0"/>
                <w:bCs w:val="0"/>
                <w:color w:val="auto"/>
                <w:sz w:val="24"/>
              </w:rPr>
              <w:t>分）</w:t>
            </w:r>
          </w:p>
        </w:tc>
        <w:tc>
          <w:tcPr>
            <w:tcW w:w="3527" w:type="pct"/>
            <w:noWrap w:val="0"/>
            <w:vAlign w:val="center"/>
          </w:tcPr>
          <w:p w14:paraId="3C44493A">
            <w:pPr>
              <w:keepNext w:val="0"/>
              <w:keepLines w:val="0"/>
              <w:suppressLineNumbers w:val="0"/>
              <w:spacing w:before="0" w:beforeAutospacing="0" w:after="0" w:afterAutospacing="0"/>
              <w:ind w:left="0" w:right="0"/>
              <w:jc w:val="left"/>
              <w:rPr>
                <w:rFonts w:hint="default" w:ascii="仿宋" w:hAnsi="仿宋" w:eastAsia="宋体"/>
                <w:b w:val="0"/>
                <w:bCs w:val="0"/>
                <w:color w:val="auto"/>
                <w:sz w:val="24"/>
                <w:lang w:val="en-US" w:eastAsia="zh-CN"/>
              </w:rPr>
            </w:pPr>
            <w:r>
              <w:rPr>
                <w:rFonts w:hint="eastAsia" w:ascii="仿宋" w:hAnsi="仿宋"/>
                <w:b w:val="0"/>
                <w:bCs w:val="0"/>
                <w:color w:val="auto"/>
                <w:sz w:val="24"/>
              </w:rPr>
              <w:t>业绩：</w:t>
            </w:r>
            <w:r>
              <w:rPr>
                <w:rFonts w:hint="eastAsia" w:ascii="宋体" w:hAnsi="宋体" w:eastAsia="宋体" w:cs="宋体"/>
                <w:b w:val="0"/>
                <w:bCs w:val="0"/>
                <w:color w:val="auto"/>
                <w:sz w:val="24"/>
                <w:szCs w:val="24"/>
              </w:rPr>
              <w:t>投标</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提供</w:t>
            </w:r>
            <w:r>
              <w:rPr>
                <w:rFonts w:hint="eastAsia" w:ascii="宋体" w:hAnsi="宋体" w:cs="宋体"/>
                <w:b w:val="0"/>
                <w:bCs w:val="0"/>
                <w:color w:val="auto"/>
                <w:sz w:val="24"/>
                <w:szCs w:val="24"/>
                <w:lang w:val="en-US" w:eastAsia="zh-CN"/>
              </w:rPr>
              <w:t>2023</w:t>
            </w:r>
            <w:r>
              <w:rPr>
                <w:rFonts w:hint="eastAsia" w:ascii="宋体" w:hAnsi="宋体" w:eastAsia="宋体" w:cs="宋体"/>
                <w:b w:val="0"/>
                <w:bCs w:val="0"/>
                <w:color w:val="auto"/>
                <w:sz w:val="24"/>
                <w:szCs w:val="24"/>
                <w:lang w:val="en-US" w:eastAsia="zh-CN"/>
              </w:rPr>
              <w:t>年</w:t>
            </w: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lang w:val="en-US" w:eastAsia="zh-CN"/>
              </w:rPr>
              <w:t>月以</w:t>
            </w:r>
            <w:r>
              <w:rPr>
                <w:rFonts w:hint="eastAsia" w:ascii="宋体" w:hAnsi="宋体" w:eastAsia="宋体" w:cs="宋体"/>
                <w:b w:val="0"/>
                <w:bCs w:val="0"/>
                <w:color w:val="auto"/>
                <w:sz w:val="24"/>
                <w:szCs w:val="24"/>
              </w:rPr>
              <w:t>来</w:t>
            </w:r>
            <w:r>
              <w:rPr>
                <w:rFonts w:hint="eastAsia" w:ascii="宋体" w:hAnsi="宋体" w:cs="宋体"/>
                <w:b w:val="0"/>
                <w:bCs w:val="0"/>
                <w:color w:val="auto"/>
                <w:sz w:val="24"/>
                <w:szCs w:val="24"/>
                <w:lang w:val="en-US" w:eastAsia="zh-CN"/>
              </w:rPr>
              <w:t>类似</w:t>
            </w:r>
            <w:r>
              <w:rPr>
                <w:rFonts w:hint="eastAsia" w:ascii="宋体" w:hAnsi="宋体" w:eastAsia="宋体" w:cs="宋体"/>
                <w:b w:val="0"/>
                <w:bCs w:val="0"/>
                <w:color w:val="auto"/>
                <w:sz w:val="24"/>
                <w:szCs w:val="24"/>
              </w:rPr>
              <w:t>项目业绩，每</w:t>
            </w:r>
            <w:r>
              <w:rPr>
                <w:rFonts w:hint="eastAsia" w:ascii="宋体" w:hAnsi="宋体" w:eastAsia="宋体" w:cs="宋体"/>
                <w:b w:val="0"/>
                <w:bCs w:val="0"/>
                <w:color w:val="auto"/>
                <w:sz w:val="24"/>
                <w:szCs w:val="24"/>
                <w:lang w:val="en-US" w:eastAsia="zh-CN"/>
              </w:rPr>
              <w:t>提供一个</w:t>
            </w:r>
            <w:r>
              <w:rPr>
                <w:rFonts w:hint="eastAsia" w:ascii="宋体" w:hAnsi="宋体" w:eastAsia="宋体" w:cs="宋体"/>
                <w:b w:val="0"/>
                <w:bCs w:val="0"/>
                <w:color w:val="auto"/>
                <w:sz w:val="24"/>
                <w:szCs w:val="24"/>
              </w:rPr>
              <w:t>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w:t>
            </w:r>
            <w:r>
              <w:rPr>
                <w:rFonts w:hint="eastAsia" w:ascii="宋体" w:hAnsi="宋体" w:cs="宋体"/>
                <w:b w:val="0"/>
                <w:bCs w:val="0"/>
                <w:color w:val="auto"/>
                <w:sz w:val="24"/>
                <w:szCs w:val="24"/>
                <w:lang w:val="en-US" w:eastAsia="zh-CN"/>
              </w:rPr>
              <w:t>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r>
              <w:rPr>
                <w:rFonts w:hint="eastAsia" w:ascii="仿宋" w:hAnsi="仿宋" w:cs="仿宋"/>
                <w:b w:val="0"/>
                <w:bCs w:val="0"/>
                <w:color w:val="auto"/>
                <w:sz w:val="24"/>
                <w:highlight w:val="none"/>
                <w:lang w:val="en-US" w:eastAsia="zh-CN"/>
              </w:rPr>
              <w:t>以合同签订日期为准，所有内容应清晰可辨，否则不予认可</w:t>
            </w:r>
            <w:r>
              <w:rPr>
                <w:rFonts w:hint="eastAsia" w:ascii="宋体" w:hAnsi="宋体" w:cs="宋体"/>
                <w:b w:val="0"/>
                <w:bCs w:val="0"/>
                <w:color w:val="auto"/>
                <w:sz w:val="24"/>
                <w:szCs w:val="24"/>
                <w:lang w:val="en-US" w:eastAsia="zh-CN"/>
              </w:rPr>
              <w:t>）</w:t>
            </w:r>
            <w:r>
              <w:rPr>
                <w:rFonts w:hint="eastAsia" w:ascii="宋体" w:hAnsi="宋体" w:eastAsia="宋体" w:cs="宋体"/>
                <w:b w:val="0"/>
                <w:bCs w:val="0"/>
                <w:color w:val="auto"/>
                <w:sz w:val="24"/>
                <w:szCs w:val="24"/>
              </w:rPr>
              <w:t>。未提供不得分。</w:t>
            </w:r>
          </w:p>
        </w:tc>
        <w:tc>
          <w:tcPr>
            <w:tcW w:w="501" w:type="pct"/>
            <w:noWrap w:val="0"/>
            <w:vAlign w:val="center"/>
          </w:tcPr>
          <w:p w14:paraId="4C839BBD">
            <w:pPr>
              <w:keepNext w:val="0"/>
              <w:keepLines w:val="0"/>
              <w:suppressLineNumbers w:val="0"/>
              <w:spacing w:before="0" w:beforeAutospacing="0" w:after="0" w:afterAutospacing="0"/>
              <w:ind w:left="0" w:right="0"/>
              <w:jc w:val="center"/>
              <w:rPr>
                <w:rFonts w:hint="default" w:ascii="仿宋" w:hAnsi="仿宋" w:eastAsia="宋体"/>
                <w:b w:val="0"/>
                <w:bCs w:val="0"/>
                <w:color w:val="auto"/>
                <w:sz w:val="24"/>
                <w:lang w:val="en-US" w:eastAsia="zh-CN"/>
              </w:rPr>
            </w:pPr>
            <w:r>
              <w:rPr>
                <w:rFonts w:hint="eastAsia" w:ascii="仿宋" w:hAnsi="仿宋"/>
                <w:b w:val="0"/>
                <w:bCs w:val="0"/>
                <w:color w:val="auto"/>
                <w:sz w:val="24"/>
                <w:lang w:val="en-US" w:eastAsia="zh-CN"/>
              </w:rPr>
              <w:t>6分</w:t>
            </w:r>
          </w:p>
        </w:tc>
      </w:tr>
    </w:tbl>
    <w:p w14:paraId="623C27DD">
      <w:pPr>
        <w:spacing w:line="360" w:lineRule="auto"/>
        <w:rPr>
          <w:rFonts w:hint="eastAsia" w:cs="宋体" w:asciiTheme="minorEastAsia" w:hAnsiTheme="minorEastAsia" w:eastAsiaTheme="minorEastAsia"/>
          <w:b/>
          <w:bCs/>
          <w:color w:val="auto"/>
          <w:sz w:val="24"/>
          <w:szCs w:val="24"/>
        </w:rPr>
      </w:pPr>
    </w:p>
    <w:p w14:paraId="31D46DEF">
      <w:pPr>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5D84138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09DB79F4">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cs="宋体"/>
          <w:bCs/>
          <w:color w:val="auto"/>
          <w:sz w:val="24"/>
          <w:szCs w:val="24"/>
          <w:lang w:eastAsia="zh-CN"/>
        </w:rPr>
        <w:t>。</w:t>
      </w:r>
    </w:p>
    <w:p w14:paraId="072865B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r>
        <w:rPr>
          <w:rFonts w:hint="eastAsia" w:ascii="宋体" w:hAnsi="宋体" w:cs="宋体"/>
          <w:bCs/>
          <w:color w:val="auto"/>
          <w:sz w:val="24"/>
          <w:szCs w:val="24"/>
          <w:lang w:eastAsia="zh-CN"/>
        </w:rPr>
        <w:t>。</w:t>
      </w:r>
    </w:p>
    <w:p w14:paraId="2B954B8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r>
        <w:rPr>
          <w:rFonts w:hint="eastAsia" w:ascii="宋体" w:hAnsi="宋体" w:cs="宋体"/>
          <w:bCs/>
          <w:color w:val="auto"/>
          <w:sz w:val="24"/>
          <w:szCs w:val="24"/>
          <w:lang w:eastAsia="zh-CN"/>
        </w:rPr>
        <w:t>。</w:t>
      </w:r>
    </w:p>
    <w:p w14:paraId="2140BD9A">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Cs/>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D867E9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eastAsia="宋体" w:cs="宋体"/>
          <w:bCs/>
          <w:color w:val="auto"/>
          <w:sz w:val="24"/>
          <w:szCs w:val="24"/>
        </w:rPr>
        <w:t>满足</w:t>
      </w:r>
      <w:r>
        <w:rPr>
          <w:rFonts w:hint="eastAsia" w:ascii="宋体" w:hAnsi="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129"/>
    <w:p w14:paraId="58931D2C">
      <w:pPr>
        <w:pStyle w:val="22"/>
        <w:numPr>
          <w:ilvl w:val="0"/>
          <w:numId w:val="0"/>
        </w:numPr>
        <w:spacing w:before="0" w:after="0" w:line="420" w:lineRule="exact"/>
        <w:jc w:val="both"/>
        <w:outlineLvl w:val="0"/>
        <w:rPr>
          <w:rFonts w:hint="eastAsia"/>
          <w:color w:val="auto"/>
          <w:sz w:val="36"/>
          <w:lang w:val="en-US" w:eastAsia="zh-CN"/>
        </w:rPr>
      </w:pPr>
      <w:bookmarkStart w:id="130" w:name="_Toc23786"/>
      <w:bookmarkStart w:id="131" w:name="_Toc15647"/>
      <w:bookmarkStart w:id="132" w:name="_Toc6835"/>
    </w:p>
    <w:p w14:paraId="3281A467">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p>
    <w:p w14:paraId="6D225A27">
      <w:pPr>
        <w:pStyle w:val="22"/>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第五部分  </w:t>
      </w:r>
      <w:r>
        <w:rPr>
          <w:rFonts w:hint="eastAsia" w:eastAsia="宋体"/>
          <w:color w:val="auto"/>
          <w:sz w:val="36"/>
        </w:rPr>
        <w:t>采购内容及</w:t>
      </w:r>
      <w:r>
        <w:rPr>
          <w:rFonts w:hint="eastAsia" w:eastAsia="宋体"/>
          <w:color w:val="auto"/>
          <w:sz w:val="36"/>
          <w:lang w:eastAsia="zh-CN"/>
        </w:rPr>
        <w:t>要求</w:t>
      </w:r>
      <w:bookmarkEnd w:id="130"/>
    </w:p>
    <w:p w14:paraId="1B5A53AA">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一、工程内容</w:t>
      </w:r>
    </w:p>
    <w:p w14:paraId="5C619C13">
      <w:pPr>
        <w:widowControl/>
        <w:spacing w:line="510" w:lineRule="atLeast"/>
        <w:ind w:firstLine="420"/>
        <w:jc w:val="left"/>
        <w:rPr>
          <w:rFonts w:ascii="宋体" w:hAnsi="宋体" w:cs="Times New Roman"/>
          <w:color w:val="auto"/>
          <w:kern w:val="0"/>
          <w:sz w:val="24"/>
          <w:szCs w:val="24"/>
        </w:rPr>
      </w:pPr>
      <w:r>
        <w:rPr>
          <w:rFonts w:hint="eastAsia" w:ascii="宋体" w:hAnsi="宋体" w:cs="Times New Roman"/>
          <w:color w:val="auto"/>
          <w:kern w:val="0"/>
          <w:sz w:val="24"/>
          <w:szCs w:val="24"/>
          <w:lang w:eastAsia="zh-CN"/>
        </w:rPr>
        <w:t>本工程为安康职业技术学院附属小学绿化升级改造项目，主要建设内容为校园内绿地处理、移植苗木、栽植苗木及回填种植土等，详见工程量清单。</w:t>
      </w:r>
    </w:p>
    <w:p w14:paraId="6844A8E7">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二、工程范围</w:t>
      </w:r>
    </w:p>
    <w:p w14:paraId="1B174D02">
      <w:pPr>
        <w:adjustRightInd w:val="0"/>
        <w:snapToGrid w:val="0"/>
        <w:spacing w:line="440" w:lineRule="exact"/>
        <w:ind w:firstLine="480" w:firstLineChars="200"/>
        <w:rPr>
          <w:rFonts w:ascii="Times New Roman" w:hAnsi="宋体" w:cs="Times New Roman"/>
          <w:color w:val="auto"/>
          <w:sz w:val="24"/>
          <w:szCs w:val="24"/>
        </w:rPr>
      </w:pPr>
      <w:r>
        <w:rPr>
          <w:rFonts w:hint="eastAsia" w:ascii="宋体" w:hAnsi="宋体" w:cs="Times New Roman"/>
          <w:color w:val="auto"/>
          <w:kern w:val="0"/>
          <w:sz w:val="24"/>
          <w:szCs w:val="24"/>
          <w:lang w:eastAsia="zh-CN"/>
        </w:rPr>
        <w:t>安康职业技术学院附属小学绿化升级改造项目</w:t>
      </w:r>
      <w:r>
        <w:rPr>
          <w:rFonts w:hint="eastAsia" w:ascii="Times New Roman" w:hAnsi="宋体" w:cs="Times New Roman"/>
          <w:color w:val="auto"/>
          <w:sz w:val="24"/>
          <w:szCs w:val="24"/>
        </w:rPr>
        <w:t>工程量清单的全部内容。</w:t>
      </w:r>
    </w:p>
    <w:p w14:paraId="70F5F484">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三、工程材料</w:t>
      </w:r>
    </w:p>
    <w:p w14:paraId="1166854E">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rPr>
        <w:t>本工程材料品牌或价格参考市场价，投标人自主报价。</w:t>
      </w:r>
    </w:p>
    <w:p w14:paraId="2D0D5962">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rPr>
        <w:t>工程材料在工程实施过程中，由采购人认质。凡在工程实施过程因设计变更引起的施工费用，由发包方和承包方共同签字确认变更后协商解决。</w:t>
      </w:r>
    </w:p>
    <w:p w14:paraId="23A81B67">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四、材料供应与验收</w:t>
      </w:r>
    </w:p>
    <w:p w14:paraId="570C0D60">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承包方供应的材料应按合同规定按时、按质、按量供应，必须附有产品合格证或质量检验证书才能用于</w:t>
      </w:r>
      <w:r>
        <w:rPr>
          <w:rFonts w:hint="eastAsia" w:ascii="Times New Roman" w:hAnsi="宋体" w:cs="Times New Roman"/>
          <w:color w:val="auto"/>
          <w:sz w:val="24"/>
          <w:szCs w:val="24"/>
          <w:lang w:val="en-US" w:eastAsia="zh-CN"/>
        </w:rPr>
        <w:t>本项目</w:t>
      </w:r>
      <w:r>
        <w:rPr>
          <w:rFonts w:hint="eastAsia" w:ascii="Times New Roman" w:hAnsi="宋体" w:cs="Times New Roman"/>
          <w:color w:val="auto"/>
          <w:sz w:val="24"/>
          <w:szCs w:val="24"/>
        </w:rPr>
        <w:t>。</w:t>
      </w:r>
    </w:p>
    <w:p w14:paraId="0C7C949D">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因材料质量不合格所造成的损失（包括仓库保管费）由材料采购方负责。</w:t>
      </w:r>
      <w:r>
        <w:rPr>
          <w:rFonts w:ascii="Times New Roman" w:hAnsi="宋体" w:cs="Times New Roman"/>
          <w:color w:val="auto"/>
          <w:sz w:val="24"/>
          <w:szCs w:val="24"/>
        </w:rPr>
        <w:t> </w:t>
      </w:r>
    </w:p>
    <w:p w14:paraId="12FC0A46">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3.</w:t>
      </w:r>
      <w:r>
        <w:rPr>
          <w:rFonts w:hint="eastAsia" w:ascii="Times New Roman" w:hAnsi="宋体" w:cs="Times New Roman"/>
          <w:color w:val="auto"/>
          <w:sz w:val="24"/>
          <w:szCs w:val="24"/>
        </w:rPr>
        <w:t>根据工程需要，经发包人代表签证，承包方可使用代用材料。因发包方原因使用时，由发包方承担增加的经济支出，因承包方原因使用时，由承包方承担增加的费用。</w:t>
      </w:r>
      <w:r>
        <w:rPr>
          <w:rFonts w:ascii="Times New Roman" w:hAnsi="宋体" w:cs="Times New Roman"/>
          <w:color w:val="auto"/>
          <w:sz w:val="24"/>
          <w:szCs w:val="24"/>
        </w:rPr>
        <w:t> </w:t>
      </w:r>
    </w:p>
    <w:p w14:paraId="09FE6E6D">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4.</w:t>
      </w:r>
      <w:r>
        <w:rPr>
          <w:rFonts w:hint="eastAsia" w:ascii="Times New Roman" w:hAnsi="宋体" w:cs="Times New Roman"/>
          <w:color w:val="auto"/>
          <w:sz w:val="24"/>
          <w:szCs w:val="24"/>
        </w:rPr>
        <w:t>因材料供应不及时造成停工待料时，其停、窝工损失由供货责任方承担。</w:t>
      </w:r>
    </w:p>
    <w:p w14:paraId="4005ED21">
      <w:pPr>
        <w:adjustRightInd w:val="0"/>
        <w:snapToGrid w:val="0"/>
        <w:spacing w:line="440" w:lineRule="exact"/>
        <w:ind w:firstLine="468" w:firstLineChars="200"/>
        <w:rPr>
          <w:rFonts w:hint="eastAsia" w:ascii="Times New Roman" w:hAnsi="宋体" w:cs="Times New Roman"/>
          <w:b/>
          <w:color w:val="auto"/>
          <w:sz w:val="24"/>
          <w:szCs w:val="24"/>
        </w:rPr>
      </w:pPr>
      <w:r>
        <w:rPr>
          <w:rFonts w:hint="eastAsia" w:ascii="新宋体" w:hAnsi="新宋体" w:eastAsia="新宋体" w:cs="新宋体"/>
          <w:color w:val="auto"/>
          <w:spacing w:val="-3"/>
          <w:sz w:val="24"/>
          <w:szCs w:val="24"/>
          <w:lang w:val="en-US" w:eastAsia="zh-CN"/>
        </w:rPr>
        <w:t>5.</w:t>
      </w:r>
      <w:r>
        <w:rPr>
          <w:rFonts w:ascii="新宋体" w:hAnsi="新宋体" w:eastAsia="新宋体" w:cs="新宋体"/>
          <w:color w:val="auto"/>
          <w:spacing w:val="-3"/>
          <w:sz w:val="24"/>
          <w:szCs w:val="24"/>
        </w:rPr>
        <w:t>乙方在工程用苗木运到后，应及时通知甲方进行检验，甲</w:t>
      </w:r>
      <w:r>
        <w:rPr>
          <w:rFonts w:ascii="新宋体" w:hAnsi="新宋体" w:eastAsia="新宋体" w:cs="新宋体"/>
          <w:color w:val="auto"/>
          <w:spacing w:val="-4"/>
          <w:sz w:val="24"/>
          <w:szCs w:val="24"/>
        </w:rPr>
        <w:t>方指派验收技术</w:t>
      </w:r>
      <w:r>
        <w:rPr>
          <w:rFonts w:ascii="新宋体" w:hAnsi="新宋体" w:eastAsia="新宋体" w:cs="新宋体"/>
          <w:color w:val="auto"/>
          <w:spacing w:val="-3"/>
          <w:sz w:val="24"/>
          <w:szCs w:val="24"/>
        </w:rPr>
        <w:t>人员，按合同约定苗木质量标准随机抽验，抽验合格后，乙方方可栽植，若抽验苗木不合格，甲方有权要求更换，乙方拒绝更换的甲方可按不合格苗木不予结算</w:t>
      </w:r>
      <w:r>
        <w:rPr>
          <w:rFonts w:ascii="新宋体" w:hAnsi="新宋体" w:eastAsia="新宋体" w:cs="新宋体"/>
          <w:color w:val="auto"/>
          <w:spacing w:val="-1"/>
          <w:sz w:val="24"/>
          <w:szCs w:val="24"/>
        </w:rPr>
        <w:t>工程款，由此造成的损失由乙方承担。</w:t>
      </w:r>
    </w:p>
    <w:p w14:paraId="4F15993F">
      <w:pPr>
        <w:adjustRightInd w:val="0"/>
        <w:snapToGrid w:val="0"/>
        <w:spacing w:line="440" w:lineRule="exact"/>
        <w:ind w:firstLine="482" w:firstLineChars="200"/>
        <w:rPr>
          <w:rFonts w:ascii="新宋体" w:hAnsi="新宋体" w:eastAsia="新宋体" w:cs="新宋体"/>
          <w:color w:val="auto"/>
          <w:sz w:val="24"/>
          <w:szCs w:val="24"/>
        </w:rPr>
      </w:pPr>
      <w:r>
        <w:rPr>
          <w:rFonts w:hint="eastAsia" w:ascii="Times New Roman" w:hAnsi="宋体" w:cs="Times New Roman"/>
          <w:b/>
          <w:color w:val="auto"/>
          <w:sz w:val="24"/>
          <w:szCs w:val="24"/>
        </w:rPr>
        <w:t>五、工程质量</w:t>
      </w:r>
      <w:r>
        <w:rPr>
          <w:rFonts w:ascii="新宋体" w:hAnsi="新宋体" w:eastAsia="新宋体" w:cs="新宋体"/>
          <w:b/>
          <w:bCs/>
          <w:color w:val="auto"/>
          <w:spacing w:val="-3"/>
          <w:sz w:val="24"/>
          <w:szCs w:val="24"/>
        </w:rPr>
        <w:t>要求</w:t>
      </w:r>
    </w:p>
    <w:p w14:paraId="567D49C1">
      <w:pPr>
        <w:keepNext w:val="0"/>
        <w:keepLines w:val="0"/>
        <w:pageBreakBefore w:val="0"/>
        <w:widowControl w:val="0"/>
        <w:kinsoku/>
        <w:wordWrap/>
        <w:overflowPunct/>
        <w:topLinePunct w:val="0"/>
        <w:autoSpaceDE/>
        <w:autoSpaceDN/>
        <w:bidi w:val="0"/>
        <w:adjustRightInd/>
        <w:snapToGrid/>
        <w:spacing w:line="480" w:lineRule="exact"/>
        <w:ind w:right="0" w:firstLine="464" w:firstLineChars="200"/>
        <w:jc w:val="both"/>
        <w:textAlignment w:val="auto"/>
        <w:rPr>
          <w:rFonts w:ascii="新宋体" w:hAnsi="新宋体" w:eastAsia="新宋体" w:cs="新宋体"/>
          <w:color w:val="auto"/>
          <w:sz w:val="24"/>
          <w:szCs w:val="24"/>
        </w:rPr>
      </w:pPr>
      <w:r>
        <w:rPr>
          <w:rFonts w:ascii="新宋体" w:hAnsi="新宋体" w:eastAsia="新宋体" w:cs="新宋体"/>
          <w:color w:val="auto"/>
          <w:spacing w:val="-4"/>
          <w:sz w:val="24"/>
          <w:szCs w:val="24"/>
        </w:rPr>
        <w:t>1.施工时要对施工现场进行清理整治，清除包括杂草、灰土、砾石、建筑工</w:t>
      </w:r>
      <w:r>
        <w:rPr>
          <w:rFonts w:ascii="新宋体" w:hAnsi="新宋体" w:eastAsia="新宋体" w:cs="新宋体"/>
          <w:color w:val="auto"/>
          <w:spacing w:val="-1"/>
          <w:sz w:val="24"/>
          <w:szCs w:val="24"/>
        </w:rPr>
        <w:t>程施工垃圾等杂物。</w:t>
      </w:r>
    </w:p>
    <w:p w14:paraId="1C396D4C">
      <w:pPr>
        <w:keepNext w:val="0"/>
        <w:keepLines w:val="0"/>
        <w:pageBreakBefore w:val="0"/>
        <w:widowControl/>
        <w:kinsoku/>
        <w:wordWrap/>
        <w:overflowPunct/>
        <w:topLinePunct w:val="0"/>
        <w:autoSpaceDE/>
        <w:autoSpaceDN/>
        <w:bidi w:val="0"/>
        <w:adjustRightInd/>
        <w:snapToGrid/>
        <w:spacing w:line="480" w:lineRule="exact"/>
        <w:ind w:firstLine="464" w:firstLineChars="200"/>
        <w:jc w:val="both"/>
        <w:textAlignment w:val="auto"/>
        <w:rPr>
          <w:rFonts w:hint="eastAsia" w:ascii="新宋体" w:hAnsi="新宋体" w:eastAsia="新宋体" w:cs="新宋体"/>
          <w:color w:val="auto"/>
          <w:kern w:val="0"/>
          <w:sz w:val="24"/>
          <w:szCs w:val="24"/>
          <w:lang w:val="en-US" w:eastAsia="zh-CN" w:bidi="ar-SA"/>
        </w:rPr>
      </w:pPr>
      <w:r>
        <w:rPr>
          <w:rFonts w:ascii="新宋体" w:hAnsi="新宋体" w:eastAsia="新宋体" w:cs="新宋体"/>
          <w:color w:val="auto"/>
          <w:spacing w:val="-4"/>
          <w:sz w:val="24"/>
          <w:szCs w:val="24"/>
        </w:rPr>
        <w:t>2.树</w:t>
      </w:r>
      <w:r>
        <w:rPr>
          <w:rFonts w:hint="eastAsia" w:ascii="新宋体" w:hAnsi="新宋体" w:eastAsia="新宋体" w:cs="新宋体"/>
          <w:color w:val="auto"/>
          <w:spacing w:val="-4"/>
          <w:sz w:val="24"/>
          <w:szCs w:val="24"/>
          <w:lang w:val="en-US" w:eastAsia="zh-CN"/>
        </w:rPr>
        <w:t>木</w:t>
      </w:r>
      <w:r>
        <w:rPr>
          <w:rFonts w:ascii="新宋体" w:hAnsi="新宋体" w:eastAsia="新宋体" w:cs="新宋体"/>
          <w:color w:val="auto"/>
          <w:spacing w:val="-4"/>
          <w:sz w:val="24"/>
          <w:szCs w:val="24"/>
        </w:rPr>
        <w:t>种植前，新栽植树木必须进行树穴</w:t>
      </w:r>
      <w:r>
        <w:rPr>
          <w:rFonts w:ascii="新宋体" w:hAnsi="新宋体" w:eastAsia="新宋体" w:cs="新宋体"/>
          <w:color w:val="auto"/>
          <w:spacing w:val="-26"/>
          <w:sz w:val="24"/>
          <w:szCs w:val="24"/>
        </w:rPr>
        <w:t xml:space="preserve"> </w:t>
      </w:r>
      <w:r>
        <w:rPr>
          <w:rFonts w:ascii="新宋体" w:hAnsi="新宋体" w:eastAsia="新宋体" w:cs="新宋体"/>
          <w:color w:val="auto"/>
          <w:spacing w:val="-4"/>
          <w:sz w:val="24"/>
          <w:szCs w:val="24"/>
        </w:rPr>
        <w:t>1.2m*1.2m</w:t>
      </w:r>
      <w:r>
        <w:rPr>
          <w:rFonts w:ascii="新宋体" w:hAnsi="新宋体" w:eastAsia="新宋体" w:cs="新宋体"/>
          <w:color w:val="auto"/>
          <w:spacing w:val="-49"/>
          <w:sz w:val="24"/>
          <w:szCs w:val="24"/>
        </w:rPr>
        <w:t xml:space="preserve"> </w:t>
      </w:r>
      <w:r>
        <w:rPr>
          <w:rFonts w:ascii="新宋体" w:hAnsi="新宋体" w:eastAsia="新宋体" w:cs="新宋体"/>
          <w:color w:val="auto"/>
          <w:spacing w:val="-4"/>
          <w:sz w:val="24"/>
          <w:szCs w:val="24"/>
        </w:rPr>
        <w:t>开挖换土。补种树木</w:t>
      </w:r>
      <w:r>
        <w:rPr>
          <w:rFonts w:ascii="新宋体" w:hAnsi="新宋体" w:eastAsia="新宋体" w:cs="新宋体"/>
          <w:color w:val="auto"/>
          <w:spacing w:val="-7"/>
          <w:sz w:val="24"/>
          <w:szCs w:val="24"/>
        </w:rPr>
        <w:t>如需换土，则必须按照合同约定进行种植土置换。种植回</w:t>
      </w:r>
      <w:r>
        <w:rPr>
          <w:rFonts w:ascii="新宋体" w:hAnsi="新宋体" w:eastAsia="新宋体" w:cs="新宋体"/>
          <w:color w:val="auto"/>
          <w:spacing w:val="-8"/>
          <w:sz w:val="24"/>
          <w:szCs w:val="24"/>
        </w:rPr>
        <w:t>填土方采用松散、肥沃、</w:t>
      </w:r>
      <w:r>
        <w:rPr>
          <w:rFonts w:hint="eastAsia" w:ascii="新宋体" w:hAnsi="新宋体" w:eastAsia="新宋体" w:cs="新宋体"/>
          <w:color w:val="auto"/>
          <w:kern w:val="0"/>
          <w:sz w:val="24"/>
          <w:szCs w:val="24"/>
          <w:lang w:val="en-US" w:eastAsia="zh-CN" w:bidi="ar-SA"/>
        </w:rPr>
        <w:t>富含有机质、具有透气作用的土壤，能帮助植物生长，不含有盐、碱土，且无有害物质以及垃圾杂物等，严禁使用沙土、贫瘠土壤。</w:t>
      </w:r>
    </w:p>
    <w:p w14:paraId="1CAED453">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3.工程所需苗木、材料以及设施、设备均由成交单位自行采购，本地苗木必须有苗木产地检验检疫证，外地调运苗木必须开具检疫要求书，出具苗木调运检疫证，产品质量必须符合国家标准，有外地技术检测报告、质量管理体系认证证书。苗木品种规格必须按甲方要求提供，不得私自改换品种。没有苗木检验检疫证则不予验收。</w:t>
      </w:r>
    </w:p>
    <w:p w14:paraId="6AEA2F5B">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4.栽植苗木必须达到招标规定要求，苗木高度、冠幅、分枝等按品种要求规定执行，乔木栽植必须为树干通直、树形优美无病虫害苗木，所有起苗后根系保持完好，装车前根系须用泥浆蘸根，以保护根系，确保苗木不能失水。苗木品种必须按甲方要求提供，不得私自改换品种。若苗木品种、规格及数量达不到甲方招标文件要求则不予验收，不合格苗木不结算工程款。</w:t>
      </w:r>
    </w:p>
    <w:p w14:paraId="34C8B86D">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5.栽植后要将苗木根系踩实，阔叶树及 2.5 米以上的常青树要用撑杆固定，支撑材料、高度、大小必须一致，以防止灌水后倒伏，灌水后若出现倒伏现象，要及时扶正。</w:t>
      </w:r>
    </w:p>
    <w:p w14:paraId="444D7AF9">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6.苗木管护期为一个生长周期，在苗木栽植验收结束后算起，确保苗木成活率达到 100%，管护期内由施工方承担绿地内苗木养护，包含浇水、防虫、抹芽、修剪、除草、卫生保洁等。卫生保洁不及时若发现一次则扣除工程款 500元。</w:t>
      </w:r>
    </w:p>
    <w:p w14:paraId="6D8E742F">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7.严格按照甲方招标文件采购内容、品种、规格、数量及甲方负责人要求施工，工程质量符合标准，若工程量超出甲方招标采购数量则由乙方自行</w:t>
      </w:r>
      <w:r>
        <w:rPr>
          <w:rFonts w:ascii="新宋体" w:hAnsi="新宋体" w:eastAsia="新宋体" w:cs="新宋体"/>
          <w:color w:val="auto"/>
          <w:kern w:val="0"/>
          <w:sz w:val="24"/>
          <w:szCs w:val="24"/>
          <w:lang w:val="en-US" w:eastAsia="zh-CN" w:bidi="ar-SA"/>
        </w:rPr>
        <w:t>承担，甲方不再追加工程量。</w:t>
      </w:r>
    </w:p>
    <w:p w14:paraId="63E8CA9B">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8.在现场施工中如遇一些不可预测及隐蔽工程项目，在未计入采购文件的项目则由乙方自行承担费用将其施工完成，甲方不再另行追加费用。</w:t>
      </w:r>
    </w:p>
    <w:p w14:paraId="6A2A5E30">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9.施工过程中要注意安全，设立施工安全标识，保证地上地下物以及施工人员的安全，树穴挖出的渣土废料堆放不得超过 2 日，堆放必须整齐。每拖延一天则扣除工程款 500元。</w:t>
      </w:r>
    </w:p>
    <w:p w14:paraId="6E23F855">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六、工程施工配合要求</w:t>
      </w:r>
    </w:p>
    <w:p w14:paraId="352EE39E">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发包方责任：</w:t>
      </w:r>
    </w:p>
    <w:p w14:paraId="3775F3CB">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1-1 </w:t>
      </w:r>
      <w:r>
        <w:rPr>
          <w:rFonts w:hint="eastAsia" w:ascii="Times New Roman" w:hAnsi="宋体" w:cs="Times New Roman"/>
          <w:color w:val="auto"/>
          <w:sz w:val="24"/>
          <w:szCs w:val="24"/>
        </w:rPr>
        <w:t>负责工程的总体协调和管理；</w:t>
      </w:r>
    </w:p>
    <w:p w14:paraId="056E018E">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1-2 </w:t>
      </w:r>
      <w:r>
        <w:rPr>
          <w:rFonts w:hint="eastAsia" w:ascii="Times New Roman" w:hAnsi="宋体" w:cs="Times New Roman"/>
          <w:color w:val="auto"/>
          <w:sz w:val="24"/>
          <w:szCs w:val="24"/>
        </w:rPr>
        <w:t>确认承包人的总体方案和施工方案；</w:t>
      </w:r>
    </w:p>
    <w:p w14:paraId="65B5501A">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1-3 </w:t>
      </w:r>
      <w:r>
        <w:rPr>
          <w:rFonts w:hint="eastAsia" w:ascii="Times New Roman" w:hAnsi="宋体" w:cs="Times New Roman"/>
          <w:color w:val="auto"/>
          <w:sz w:val="24"/>
          <w:szCs w:val="24"/>
        </w:rPr>
        <w:t>审查承包人的施工人员并办理出入证；</w:t>
      </w:r>
    </w:p>
    <w:p w14:paraId="078AB00C">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1-4 </w:t>
      </w:r>
      <w:r>
        <w:rPr>
          <w:rFonts w:hint="eastAsia" w:ascii="Times New Roman" w:hAnsi="宋体" w:cs="Times New Roman"/>
          <w:color w:val="auto"/>
          <w:sz w:val="24"/>
          <w:szCs w:val="24"/>
        </w:rPr>
        <w:t>协助承包人协调水、电及临时设施等相关事宜，为施工创造条件。</w:t>
      </w:r>
    </w:p>
    <w:p w14:paraId="079CF1E1">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1-5 </w:t>
      </w:r>
      <w:r>
        <w:rPr>
          <w:rFonts w:hint="eastAsia" w:ascii="Times New Roman" w:hAnsi="宋体" w:cs="Times New Roman"/>
          <w:color w:val="auto"/>
          <w:sz w:val="24"/>
          <w:szCs w:val="24"/>
        </w:rPr>
        <w:t>组织对施工材料及总体工程进行验收。</w:t>
      </w:r>
    </w:p>
    <w:p w14:paraId="494BCEB3">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承包方责任：</w:t>
      </w:r>
    </w:p>
    <w:p w14:paraId="6C2C1369">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2-1</w:t>
      </w:r>
      <w:r>
        <w:rPr>
          <w:rFonts w:hint="eastAsia" w:ascii="Times New Roman" w:hAnsi="宋体" w:cs="Times New Roman"/>
          <w:color w:val="auto"/>
          <w:sz w:val="24"/>
          <w:szCs w:val="24"/>
        </w:rPr>
        <w:t xml:space="preserve"> 负责工程施工组织设计，并经发包方确认；</w:t>
      </w:r>
    </w:p>
    <w:p w14:paraId="0728D718">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2-2</w:t>
      </w:r>
      <w:r>
        <w:rPr>
          <w:rFonts w:hint="eastAsia" w:ascii="Times New Roman" w:hAnsi="宋体" w:cs="Times New Roman"/>
          <w:color w:val="auto"/>
          <w:sz w:val="24"/>
          <w:szCs w:val="24"/>
        </w:rPr>
        <w:t xml:space="preserve"> 按照响应文件中确定的施工进度计划和工程方案进行施工，确保按期完工，工程计划及进度调整必须征得发包人同意。</w:t>
      </w:r>
    </w:p>
    <w:p w14:paraId="27D35CE7">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2-3</w:t>
      </w:r>
      <w:r>
        <w:rPr>
          <w:rFonts w:hint="eastAsia" w:ascii="Times New Roman" w:hAnsi="宋体" w:cs="Times New Roman"/>
          <w:color w:val="auto"/>
          <w:sz w:val="24"/>
          <w:szCs w:val="24"/>
        </w:rPr>
        <w:t xml:space="preserve"> 服从发包方的管理，施工人员必须经发包方审定，遵守发包方的有关规定，服从管理，文明施工。</w:t>
      </w:r>
    </w:p>
    <w:p w14:paraId="22E4B356">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2-4 </w:t>
      </w:r>
      <w:r>
        <w:rPr>
          <w:rFonts w:hint="eastAsia" w:ascii="Times New Roman" w:hAnsi="宋体" w:cs="Times New Roman"/>
          <w:color w:val="auto"/>
          <w:sz w:val="24"/>
          <w:szCs w:val="24"/>
        </w:rPr>
        <w:t>负责施工区域内的安全、保卫及消防工作。</w:t>
      </w:r>
    </w:p>
    <w:p w14:paraId="493D5A2B">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5</w:t>
      </w:r>
      <w:r>
        <w:rPr>
          <w:rFonts w:ascii="Times New Roman" w:hAnsi="宋体" w:cs="Times New Roman"/>
          <w:color w:val="auto"/>
          <w:sz w:val="24"/>
          <w:szCs w:val="24"/>
        </w:rPr>
        <w:t xml:space="preserve"> </w:t>
      </w:r>
      <w:r>
        <w:rPr>
          <w:rFonts w:hint="eastAsia" w:ascii="Times New Roman" w:hAnsi="宋体" w:cs="Times New Roman"/>
          <w:color w:val="auto"/>
          <w:sz w:val="24"/>
          <w:szCs w:val="24"/>
        </w:rPr>
        <w:t>做好安排，合理调度人员，保证连续施工，确保按期完工。</w:t>
      </w:r>
    </w:p>
    <w:p w14:paraId="006E1FA0">
      <w:pPr>
        <w:adjustRightInd w:val="0"/>
        <w:snapToGrid w:val="0"/>
        <w:spacing w:line="440" w:lineRule="exact"/>
        <w:ind w:firstLine="480" w:firstLineChars="200"/>
        <w:rPr>
          <w:rFonts w:hint="eastAsia"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6</w:t>
      </w:r>
      <w:r>
        <w:rPr>
          <w:rFonts w:ascii="Times New Roman" w:hAnsi="宋体" w:cs="Times New Roman"/>
          <w:color w:val="auto"/>
          <w:sz w:val="24"/>
          <w:szCs w:val="24"/>
        </w:rPr>
        <w:t xml:space="preserve"> </w:t>
      </w:r>
      <w:r>
        <w:rPr>
          <w:rFonts w:hint="eastAsia" w:ascii="Times New Roman" w:hAnsi="宋体" w:cs="Times New Roman"/>
          <w:color w:val="auto"/>
          <w:sz w:val="24"/>
          <w:szCs w:val="24"/>
        </w:rPr>
        <w:t>施工期间水、电等相关事宜的协调。</w:t>
      </w:r>
    </w:p>
    <w:p w14:paraId="409E1FEB">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val="en-US" w:eastAsia="zh-CN"/>
        </w:rPr>
        <w:t>2-7</w:t>
      </w:r>
      <w:r>
        <w:rPr>
          <w:rFonts w:hint="eastAsia" w:ascii="Times New Roman" w:hAnsi="宋体" w:cs="Times New Roman"/>
          <w:color w:val="auto"/>
          <w:sz w:val="24"/>
          <w:szCs w:val="24"/>
        </w:rPr>
        <w:t>施工</w:t>
      </w:r>
      <w:r>
        <w:rPr>
          <w:rFonts w:hint="eastAsia" w:ascii="Times New Roman" w:hAnsi="宋体" w:cs="Times New Roman"/>
          <w:color w:val="auto"/>
          <w:sz w:val="24"/>
          <w:szCs w:val="24"/>
          <w:lang w:val="en-US" w:eastAsia="zh-CN"/>
        </w:rPr>
        <w:t>单位施工期间不得影响采购人正常办公。</w:t>
      </w:r>
      <w:r>
        <w:rPr>
          <w:rFonts w:ascii="Times New Roman" w:hAnsi="宋体" w:cs="Times New Roman"/>
          <w:color w:val="auto"/>
          <w:sz w:val="24"/>
          <w:szCs w:val="24"/>
        </w:rPr>
        <w:t> </w:t>
      </w:r>
    </w:p>
    <w:p w14:paraId="094D550B">
      <w:pPr>
        <w:keepNext w:val="0"/>
        <w:keepLines w:val="0"/>
        <w:pageBreakBefore w:val="0"/>
        <w:widowControl w:val="0"/>
        <w:numPr>
          <w:ilvl w:val="0"/>
          <w:numId w:val="6"/>
        </w:numPr>
        <w:kinsoku/>
        <w:wordWrap/>
        <w:overflowPunct/>
        <w:topLinePunct w:val="0"/>
        <w:autoSpaceDE/>
        <w:autoSpaceDN/>
        <w:bidi w:val="0"/>
        <w:adjustRightInd w:val="0"/>
        <w:snapToGrid w:val="0"/>
        <w:spacing w:line="420" w:lineRule="exact"/>
        <w:ind w:firstLine="482" w:firstLineChars="20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商务要求</w:t>
      </w:r>
    </w:p>
    <w:p w14:paraId="3280A261">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eastAsia="宋体" w:cs="Times New Roman"/>
          <w:b w:val="0"/>
          <w:bCs/>
          <w:color w:val="auto"/>
          <w:kern w:val="2"/>
          <w:sz w:val="24"/>
          <w:szCs w:val="24"/>
          <w:lang w:val="en-US" w:eastAsia="zh-CN" w:bidi="ar-SA"/>
        </w:rPr>
        <w:t>1.</w:t>
      </w:r>
      <w:r>
        <w:rPr>
          <w:rFonts w:hint="eastAsia" w:ascii="Times New Roman" w:hAnsi="宋体" w:cs="Times New Roman"/>
          <w:b w:val="0"/>
          <w:bCs/>
          <w:color w:val="auto"/>
          <w:sz w:val="24"/>
          <w:szCs w:val="24"/>
          <w:lang w:val="en-US" w:eastAsia="zh-CN"/>
        </w:rPr>
        <w:t>工程地点：采购人指定地点。</w:t>
      </w:r>
    </w:p>
    <w:p w14:paraId="350E2DB6">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2.工</w:t>
      </w:r>
      <w:r>
        <w:rPr>
          <w:rFonts w:hint="eastAsia" w:ascii="宋体" w:hAnsi="宋体" w:cs="宋体"/>
          <w:color w:val="auto"/>
          <w:kern w:val="0"/>
          <w:sz w:val="24"/>
          <w:szCs w:val="24"/>
        </w:rPr>
        <w:t>期：</w:t>
      </w:r>
      <w:r>
        <w:rPr>
          <w:rFonts w:hint="eastAsia" w:ascii="宋体" w:hAnsi="宋体" w:cs="宋体"/>
          <w:color w:val="auto"/>
          <w:kern w:val="0"/>
          <w:sz w:val="24"/>
          <w:szCs w:val="24"/>
          <w:lang w:val="en-US" w:eastAsia="zh-CN"/>
        </w:rPr>
        <w:t>自合同签订生效之日起30日历天</w:t>
      </w:r>
      <w:r>
        <w:rPr>
          <w:rFonts w:hint="eastAsia" w:hAnsi="宋体" w:eastAsia="宋体"/>
          <w:color w:val="auto"/>
          <w:sz w:val="24"/>
          <w:lang w:val="en-US" w:eastAsia="zh-CN"/>
        </w:rPr>
        <w:t>。</w:t>
      </w:r>
    </w:p>
    <w:p w14:paraId="17A5D726">
      <w:pPr>
        <w:keepNext w:val="0"/>
        <w:keepLines w:val="0"/>
        <w:pageBreakBefore w:val="0"/>
        <w:widowControl w:val="0"/>
        <w:tabs>
          <w:tab w:val="left" w:pos="7313"/>
        </w:tabs>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3.质保期：</w:t>
      </w:r>
      <w:r>
        <w:rPr>
          <w:rFonts w:hint="eastAsia" w:ascii="Times New Roman" w:hAnsi="宋体" w:cs="Times New Roman"/>
          <w:b w:val="0"/>
          <w:bCs/>
          <w:color w:val="auto"/>
          <w:sz w:val="24"/>
          <w:szCs w:val="24"/>
          <w:lang w:eastAsia="zh-CN"/>
        </w:rPr>
        <w:t>遵照国家现行法定标准</w:t>
      </w:r>
      <w:r>
        <w:rPr>
          <w:rFonts w:hint="eastAsia" w:ascii="宋体" w:hAnsi="宋体" w:cs="宋体"/>
          <w:color w:val="auto"/>
          <w:sz w:val="24"/>
          <w:szCs w:val="24"/>
          <w:lang w:val="en-US" w:eastAsia="zh-CN"/>
        </w:rPr>
        <w:t>。</w:t>
      </w:r>
      <w:r>
        <w:rPr>
          <w:rFonts w:hint="eastAsia" w:ascii="Times New Roman" w:hAnsi="宋体" w:cs="Times New Roman"/>
          <w:b w:val="0"/>
          <w:bCs/>
          <w:color w:val="auto"/>
          <w:sz w:val="24"/>
          <w:szCs w:val="24"/>
          <w:lang w:val="en-US" w:eastAsia="zh-CN"/>
        </w:rPr>
        <w:tab/>
      </w:r>
    </w:p>
    <w:p w14:paraId="156EA56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4.质量等级要求：</w:t>
      </w:r>
      <w:r>
        <w:rPr>
          <w:rFonts w:hint="eastAsia" w:ascii="新宋体" w:hAnsi="新宋体" w:eastAsia="新宋体" w:cs="新宋体"/>
          <w:color w:val="auto"/>
          <w:kern w:val="0"/>
          <w:sz w:val="24"/>
          <w:szCs w:val="24"/>
          <w:lang w:val="en-US" w:eastAsia="zh-CN" w:bidi="ar-SA"/>
        </w:rPr>
        <w:t>工程质量达到园林绿化验收规范、综合评定的合格等级</w:t>
      </w:r>
      <w:r>
        <w:rPr>
          <w:rFonts w:hint="eastAsia" w:ascii="Times New Roman" w:hAnsi="宋体" w:cs="Times New Roman"/>
          <w:b w:val="0"/>
          <w:bCs/>
          <w:color w:val="auto"/>
          <w:sz w:val="24"/>
          <w:szCs w:val="24"/>
          <w:lang w:val="en-US" w:eastAsia="zh-CN"/>
        </w:rPr>
        <w:t>。</w:t>
      </w:r>
    </w:p>
    <w:p w14:paraId="3D883B4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5.质量验收标准：按国家及相关地方政策规范执行。</w:t>
      </w:r>
    </w:p>
    <w:p w14:paraId="1B8200B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6.报价方式：合同总价即中标价，为一次性报价，投标报价为完成合同规定的全部内容所发生的费用（包括材料费、机械设备费用、人工费、运输、初验、最终验收及售后服务拟获得的利润、应交纳的各种税、费等所有费用）供应商应充分考虑各种费用、市场风险、责任、合同主要条款和付款条件等。投标报价不受市场价格及工作量变化的影响，一次包死。</w:t>
      </w:r>
    </w:p>
    <w:p w14:paraId="12176183">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宋体" w:cs="Times New Roman"/>
          <w:b/>
          <w:color w:val="auto"/>
          <w:sz w:val="24"/>
          <w:szCs w:val="24"/>
        </w:rPr>
      </w:pPr>
      <w:r>
        <w:rPr>
          <w:rFonts w:hint="eastAsia" w:ascii="Times New Roman" w:hAnsi="宋体" w:cs="Times New Roman"/>
          <w:b w:val="0"/>
          <w:bCs/>
          <w:color w:val="auto"/>
          <w:sz w:val="24"/>
          <w:szCs w:val="24"/>
          <w:lang w:val="en-US" w:eastAsia="zh-CN"/>
        </w:rPr>
        <w:t>7.付款方式：</w:t>
      </w:r>
      <w:r>
        <w:rPr>
          <w:rFonts w:hint="eastAsia" w:ascii="宋体" w:hAnsi="宋体" w:cs="宋体"/>
          <w:snapToGrid w:val="0"/>
          <w:color w:val="auto"/>
          <w:kern w:val="0"/>
          <w:sz w:val="24"/>
          <w:szCs w:val="24"/>
          <w:lang w:val="en-US" w:eastAsia="zh-CN"/>
        </w:rPr>
        <w:t>合同签订生效支付合同总额的40%；工程完工验收通过后，经审计定价，支付至审计价的97%，剩余审计价的3%一年后付清</w:t>
      </w:r>
      <w:r>
        <w:rPr>
          <w:rFonts w:hint="eastAsia" w:ascii="Times New Roman" w:hAnsi="宋体" w:cs="Times New Roman"/>
          <w:b w:val="0"/>
          <w:bCs/>
          <w:color w:val="auto"/>
          <w:sz w:val="24"/>
          <w:szCs w:val="24"/>
          <w:lang w:val="en-US" w:eastAsia="zh-CN"/>
        </w:rPr>
        <w:t>。</w:t>
      </w:r>
    </w:p>
    <w:p w14:paraId="17228FEE">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八、分部分项工程量清单及编制说明（见下页）</w:t>
      </w:r>
    </w:p>
    <w:p w14:paraId="6FA56428">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eastAsia" w:ascii="Times New Roman" w:hAnsi="宋体" w:cs="Times New Roman"/>
          <w:b/>
          <w:color w:val="auto"/>
          <w:sz w:val="24"/>
          <w:szCs w:val="24"/>
          <w:lang w:val="en-US" w:eastAsia="zh-CN"/>
        </w:rPr>
      </w:pPr>
    </w:p>
    <w:p w14:paraId="3C75AB28">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4B7FCBF5">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7DAF830F">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319CD758">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20F4348F">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099C0144">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051AA48D">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r>
        <w:rPr>
          <w:rFonts w:hint="eastAsia" w:ascii="Times New Roman" w:hAnsi="宋体" w:cs="Times New Roman"/>
          <w:b/>
          <w:color w:val="auto"/>
          <w:sz w:val="32"/>
          <w:szCs w:val="32"/>
          <w:lang w:val="en-US" w:eastAsia="zh-CN"/>
        </w:rPr>
        <w:t>安康职业技术学院附属小学绿化升级改造项目</w:t>
      </w:r>
    </w:p>
    <w:p w14:paraId="57EDE46B">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32"/>
          <w:szCs w:val="32"/>
          <w:lang w:val="en-US" w:eastAsia="zh-CN"/>
        </w:rPr>
        <w:t>编制说明</w:t>
      </w:r>
    </w:p>
    <w:p w14:paraId="5D27F0EA">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一、工程概况</w:t>
      </w:r>
    </w:p>
    <w:p w14:paraId="2530E1F0">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本工程为安康职业技术学院附属小学绿化升级改造项目，主要建设内容为校园内绿地处理、移植苗木、栽植苗木及回填种植土等，详见工程量清单。</w:t>
      </w:r>
    </w:p>
    <w:p w14:paraId="2F873FF4">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二、工程量清单编制依据</w:t>
      </w:r>
    </w:p>
    <w:p w14:paraId="5C64B317">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pPr>
      <w:r>
        <w:rPr>
          <w:rFonts w:hint="eastAsia" w:ascii="Times New Roman" w:hAnsi="宋体" w:cs="Times New Roman"/>
          <w:color w:val="auto"/>
          <w:sz w:val="24"/>
          <w:szCs w:val="24"/>
          <w:lang w:val="en-US" w:eastAsia="zh-CN"/>
        </w:rPr>
        <w:t>1.《陕西省建设工程工程量清单计价规则</w:t>
      </w:r>
      <w:r>
        <w:rPr>
          <w:rFonts w:hint="eastAsia" w:ascii="Times New Roman" w:hAnsi="宋体" w:eastAsia="宋体" w:cs="Times New Roman"/>
          <w:color w:val="auto"/>
          <w:sz w:val="24"/>
          <w:szCs w:val="24"/>
          <w:lang w:val="en-US" w:eastAsia="zh-CN"/>
        </w:rPr>
        <w:t>》(2025)</w:t>
      </w:r>
      <w:r>
        <w:rPr>
          <w:rFonts w:hint="eastAsia" w:ascii="Times New Roman" w:hAnsi="宋体" w:cs="Times New Roman"/>
          <w:color w:val="auto"/>
          <w:sz w:val="24"/>
          <w:szCs w:val="24"/>
          <w:lang w:val="en-US" w:eastAsia="zh-CN"/>
        </w:rPr>
        <w:t>；</w:t>
      </w:r>
    </w:p>
    <w:p w14:paraId="01E6427E">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pPr>
      <w:r>
        <w:rPr>
          <w:rFonts w:hint="eastAsia" w:ascii="Times New Roman" w:hAnsi="宋体" w:cs="Times New Roman"/>
          <w:color w:val="auto"/>
          <w:sz w:val="24"/>
          <w:szCs w:val="24"/>
          <w:lang w:val="en-US" w:eastAsia="zh-CN"/>
        </w:rPr>
        <w:t>2.《陕西省建设工程费用规</w:t>
      </w:r>
      <w:r>
        <w:rPr>
          <w:rFonts w:hint="eastAsia" w:ascii="Times New Roman" w:hAnsi="宋体" w:eastAsia="宋体" w:cs="Times New Roman"/>
          <w:color w:val="auto"/>
          <w:sz w:val="24"/>
          <w:szCs w:val="24"/>
          <w:lang w:val="en-US" w:eastAsia="zh-CN"/>
        </w:rPr>
        <w:t>则》(2025)</w:t>
      </w:r>
      <w:r>
        <w:rPr>
          <w:rFonts w:hint="eastAsia" w:ascii="Times New Roman" w:hAnsi="宋体" w:cs="Times New Roman"/>
          <w:color w:val="auto"/>
          <w:sz w:val="24"/>
          <w:szCs w:val="24"/>
          <w:lang w:val="en-US" w:eastAsia="zh-CN"/>
        </w:rPr>
        <w:t>；</w:t>
      </w:r>
    </w:p>
    <w:p w14:paraId="4D44DE49">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pPr>
      <w:r>
        <w:rPr>
          <w:rFonts w:hint="eastAsia" w:ascii="Times New Roman" w:hAnsi="宋体" w:cs="Times New Roman"/>
          <w:color w:val="auto"/>
          <w:sz w:val="24"/>
          <w:szCs w:val="24"/>
          <w:lang w:val="en-US" w:eastAsia="zh-CN"/>
        </w:rPr>
        <w:t>3.《陕西省建设工程基价表</w:t>
      </w:r>
      <w:r>
        <w:rPr>
          <w:rFonts w:hint="eastAsia" w:ascii="Times New Roman" w:hAnsi="宋体" w:eastAsia="宋体" w:cs="Times New Roman"/>
          <w:color w:val="auto"/>
          <w:sz w:val="24"/>
          <w:szCs w:val="24"/>
          <w:lang w:val="en-US" w:eastAsia="zh-CN"/>
        </w:rPr>
        <w:t>》(2025)</w:t>
      </w:r>
      <w:r>
        <w:rPr>
          <w:rFonts w:hint="eastAsia" w:ascii="Times New Roman" w:hAnsi="宋体" w:cs="Times New Roman"/>
          <w:color w:val="auto"/>
          <w:sz w:val="24"/>
          <w:szCs w:val="24"/>
          <w:lang w:val="en-US" w:eastAsia="zh-CN"/>
        </w:rPr>
        <w:t>；</w:t>
      </w:r>
    </w:p>
    <w:p w14:paraId="5BEA5249">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pPr>
      <w:r>
        <w:rPr>
          <w:rFonts w:hint="eastAsia" w:ascii="Times New Roman" w:hAnsi="宋体" w:cs="Times New Roman"/>
          <w:color w:val="auto"/>
          <w:sz w:val="24"/>
          <w:szCs w:val="24"/>
          <w:lang w:val="en-US" w:eastAsia="zh-CN"/>
        </w:rPr>
        <w:t>4.《陕西省建设工程消耗量定</w:t>
      </w:r>
      <w:r>
        <w:rPr>
          <w:rFonts w:hint="eastAsia" w:ascii="Times New Roman" w:hAnsi="宋体" w:eastAsia="宋体" w:cs="Times New Roman"/>
          <w:color w:val="auto"/>
          <w:sz w:val="24"/>
          <w:szCs w:val="24"/>
          <w:lang w:val="en-US" w:eastAsia="zh-CN"/>
        </w:rPr>
        <w:t>额》(2025)</w:t>
      </w:r>
      <w:r>
        <w:rPr>
          <w:rFonts w:hint="eastAsia" w:ascii="Times New Roman" w:hAnsi="宋体" w:cs="Times New Roman"/>
          <w:color w:val="auto"/>
          <w:sz w:val="24"/>
          <w:szCs w:val="24"/>
          <w:lang w:val="en-US" w:eastAsia="zh-CN"/>
        </w:rPr>
        <w:t>；</w:t>
      </w:r>
    </w:p>
    <w:p w14:paraId="3CC2C6E2">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pPr>
      <w:r>
        <w:rPr>
          <w:rFonts w:hint="eastAsia" w:ascii="Times New Roman" w:hAnsi="宋体" w:cs="Times New Roman"/>
          <w:color w:val="auto"/>
          <w:sz w:val="24"/>
          <w:szCs w:val="24"/>
          <w:lang w:val="en-US" w:eastAsia="zh-CN"/>
        </w:rPr>
        <w:t>5.《陕西省建设工程施工机械台班费</w:t>
      </w:r>
      <w:r>
        <w:rPr>
          <w:rFonts w:hint="eastAsia" w:ascii="Times New Roman" w:hAnsi="宋体" w:eastAsia="宋体" w:cs="Times New Roman"/>
          <w:color w:val="auto"/>
          <w:sz w:val="24"/>
          <w:szCs w:val="24"/>
          <w:lang w:val="en-US" w:eastAsia="zh-CN"/>
        </w:rPr>
        <w:t>用定额》(2025)</w:t>
      </w:r>
      <w:r>
        <w:rPr>
          <w:rFonts w:hint="eastAsia" w:ascii="Times New Roman" w:hAnsi="宋体" w:cs="Times New Roman"/>
          <w:color w:val="auto"/>
          <w:sz w:val="24"/>
          <w:szCs w:val="24"/>
          <w:lang w:val="en-US" w:eastAsia="zh-CN"/>
        </w:rPr>
        <w:t>；</w:t>
      </w:r>
    </w:p>
    <w:p w14:paraId="7C8CE140">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6.《陕西省建设工程施工仪器仪表台班费用</w:t>
      </w:r>
      <w:r>
        <w:rPr>
          <w:rFonts w:hint="eastAsia" w:ascii="Times New Roman" w:hAnsi="宋体" w:eastAsia="宋体" w:cs="Times New Roman"/>
          <w:color w:val="auto"/>
          <w:sz w:val="24"/>
          <w:szCs w:val="24"/>
          <w:lang w:val="en-US" w:eastAsia="zh-CN"/>
        </w:rPr>
        <w:t>定额》(2025)</w:t>
      </w:r>
      <w:r>
        <w:rPr>
          <w:rFonts w:hint="eastAsia" w:ascii="Times New Roman" w:hAnsi="宋体" w:cs="Times New Roman"/>
          <w:color w:val="auto"/>
          <w:sz w:val="24"/>
          <w:szCs w:val="24"/>
          <w:lang w:val="en-US" w:eastAsia="zh-CN"/>
        </w:rPr>
        <w:t>；</w:t>
      </w:r>
    </w:p>
    <w:p w14:paraId="611C8791">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7.现场实测实量；</w:t>
      </w:r>
    </w:p>
    <w:p w14:paraId="3551339D">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8.施工设计图中选用的相关标准图集。</w:t>
      </w:r>
    </w:p>
    <w:p w14:paraId="6D98886C">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三、需要说明的问题:</w:t>
      </w:r>
    </w:p>
    <w:p w14:paraId="66C06296">
      <w:pPr>
        <w:adjustRightInd w:val="0"/>
        <w:snapToGrid w:val="0"/>
        <w:spacing w:line="440" w:lineRule="exact"/>
        <w:ind w:firstLine="480" w:firstLineChars="200"/>
        <w:rPr>
          <w:rFonts w:hint="eastAsia" w:ascii="Times New Roman" w:hAnsi="宋体" w:cs="Times New Roman"/>
          <w:color w:val="auto"/>
          <w:sz w:val="24"/>
          <w:szCs w:val="24"/>
          <w:lang w:val="en-US" w:eastAsia="zh-CN"/>
        </w:rPr>
      </w:pPr>
      <w:r>
        <w:rPr>
          <w:rFonts w:hint="eastAsia" w:ascii="Times New Roman" w:hAnsi="宋体" w:cs="Times New Roman"/>
          <w:color w:val="auto"/>
          <w:sz w:val="24"/>
          <w:szCs w:val="24"/>
          <w:lang w:val="en-US" w:eastAsia="zh-CN"/>
        </w:rPr>
        <w:t>1.招标最高限价采用广联达7.0云计价平台软件编制。</w:t>
      </w:r>
    </w:p>
    <w:p w14:paraId="4B331D3A">
      <w:pPr>
        <w:adjustRightInd w:val="0"/>
        <w:snapToGrid w:val="0"/>
        <w:spacing w:line="440" w:lineRule="exact"/>
        <w:ind w:firstLine="480" w:firstLineChars="200"/>
        <w:rPr>
          <w:rFonts w:hint="eastAsia" w:ascii="Times New Roman" w:hAnsi="宋体" w:eastAsia="宋体" w:cs="Times New Roman"/>
          <w:color w:val="auto"/>
          <w:sz w:val="24"/>
          <w:szCs w:val="24"/>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Times New Roman" w:hAnsi="宋体" w:cs="Times New Roman"/>
          <w:color w:val="auto"/>
          <w:sz w:val="24"/>
          <w:szCs w:val="24"/>
          <w:lang w:val="en-US" w:eastAsia="zh-CN"/>
        </w:rPr>
        <w:t>2.招标最高限价制执行《安康工程造价管理信息</w:t>
      </w:r>
      <w:r>
        <w:rPr>
          <w:rFonts w:hint="eastAsia" w:ascii="Times New Roman" w:hAnsi="宋体" w:eastAsia="宋体" w:cs="Times New Roman"/>
          <w:color w:val="auto"/>
          <w:sz w:val="24"/>
          <w:szCs w:val="24"/>
          <w:lang w:val="en-US" w:eastAsia="zh-CN"/>
        </w:rPr>
        <w:t>》2026年第2期。</w:t>
      </w:r>
    </w:p>
    <w:p w14:paraId="0807B088">
      <w:pPr>
        <w:pStyle w:val="22"/>
        <w:numPr>
          <w:ilvl w:val="0"/>
          <w:numId w:val="0"/>
        </w:numPr>
        <w:spacing w:before="0" w:after="0" w:line="420" w:lineRule="exact"/>
        <w:jc w:val="center"/>
        <w:outlineLvl w:val="0"/>
        <w:rPr>
          <w:rFonts w:hint="eastAsia"/>
          <w:color w:val="auto"/>
          <w:sz w:val="36"/>
          <w:lang w:val="en-US" w:eastAsia="zh-CN"/>
        </w:rPr>
        <w:sectPr>
          <w:headerReference r:id="rId15" w:type="first"/>
          <w:footerReference r:id="rId17" w:type="first"/>
          <w:headerReference r:id="rId14" w:type="default"/>
          <w:footerReference r:id="rId16" w:type="default"/>
          <w:pgSz w:w="11906" w:h="16838"/>
          <w:pgMar w:top="1417" w:right="1417" w:bottom="1417" w:left="1417" w:header="1134" w:footer="992" w:gutter="0"/>
          <w:pgNumType w:fmt="decimal"/>
          <w:cols w:space="0" w:num="1"/>
          <w:titlePg/>
          <w:rtlGutter w:val="0"/>
          <w:docGrid w:type="lines" w:linePitch="333" w:charSpace="0"/>
        </w:sectPr>
      </w:pPr>
      <w:bookmarkStart w:id="133" w:name="表-2 分部分项工程量清单计价表"/>
      <w:bookmarkEnd w:id="133"/>
      <w:bookmarkStart w:id="134" w:name="_Toc536202391"/>
      <w:bookmarkStart w:id="135" w:name="_Toc10286"/>
      <w:bookmarkStart w:id="136" w:name="_Toc536429331"/>
      <w:bookmarkStart w:id="137" w:name="_Toc536202322"/>
      <w:bookmarkStart w:id="138" w:name="_Toc536429384"/>
      <w:bookmarkStart w:id="139" w:name="_Toc19543347"/>
      <w:r>
        <w:rPr>
          <w:rFonts w:hint="eastAsia"/>
          <w:color w:val="auto"/>
          <w:sz w:val="36"/>
          <w:lang w:val="en-US" w:eastAsia="zh-CN"/>
        </w:rPr>
        <w:drawing>
          <wp:anchor distT="0" distB="0" distL="114300" distR="114300" simplePos="0" relativeHeight="251664384" behindDoc="0" locked="0" layoutInCell="1" allowOverlap="1">
            <wp:simplePos x="0" y="0"/>
            <wp:positionH relativeFrom="column">
              <wp:posOffset>30480</wp:posOffset>
            </wp:positionH>
            <wp:positionV relativeFrom="paragraph">
              <wp:posOffset>434340</wp:posOffset>
            </wp:positionV>
            <wp:extent cx="5581650" cy="7705725"/>
            <wp:effectExtent l="0" t="0" r="0" b="9525"/>
            <wp:wrapNone/>
            <wp:docPr id="15" name="图片 15" descr="f5470657-47b6-4604-814d-f48170b1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5470657-47b6-4604-814d-f48170b14172"/>
                    <pic:cNvPicPr>
                      <a:picLocks noChangeAspect="1"/>
                    </pic:cNvPicPr>
                  </pic:nvPicPr>
                  <pic:blipFill>
                    <a:blip r:embed="rId28"/>
                    <a:stretch>
                      <a:fillRect/>
                    </a:stretch>
                  </pic:blipFill>
                  <pic:spPr>
                    <a:xfrm>
                      <a:off x="0" y="0"/>
                      <a:ext cx="5581650" cy="7705725"/>
                    </a:xfrm>
                    <a:prstGeom prst="rect">
                      <a:avLst/>
                    </a:prstGeom>
                  </pic:spPr>
                </pic:pic>
              </a:graphicData>
            </a:graphic>
          </wp:anchor>
        </w:drawing>
      </w:r>
    </w:p>
    <w:p w14:paraId="0EA9DFD4">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5408" behindDoc="0" locked="0" layoutInCell="1" allowOverlap="1">
            <wp:simplePos x="0" y="0"/>
            <wp:positionH relativeFrom="column">
              <wp:posOffset>40005</wp:posOffset>
            </wp:positionH>
            <wp:positionV relativeFrom="paragraph">
              <wp:posOffset>462280</wp:posOffset>
            </wp:positionV>
            <wp:extent cx="5562600" cy="7019925"/>
            <wp:effectExtent l="0" t="0" r="0" b="9525"/>
            <wp:wrapNone/>
            <wp:docPr id="16" name="图片 16" descr="7e0c3f69-d218-4307-9da7-fb8c265934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7e0c3f69-d218-4307-9da7-fb8c265934e3"/>
                    <pic:cNvPicPr>
                      <a:picLocks noChangeAspect="1"/>
                    </pic:cNvPicPr>
                  </pic:nvPicPr>
                  <pic:blipFill>
                    <a:blip r:embed="rId29"/>
                    <a:stretch>
                      <a:fillRect/>
                    </a:stretch>
                  </pic:blipFill>
                  <pic:spPr>
                    <a:xfrm>
                      <a:off x="0" y="0"/>
                      <a:ext cx="5562600" cy="7019925"/>
                    </a:xfrm>
                    <a:prstGeom prst="rect">
                      <a:avLst/>
                    </a:prstGeom>
                  </pic:spPr>
                </pic:pic>
              </a:graphicData>
            </a:graphic>
          </wp:anchor>
        </w:drawing>
      </w:r>
    </w:p>
    <w:p w14:paraId="0196AC19">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6432" behindDoc="0" locked="0" layoutInCell="1" allowOverlap="1">
            <wp:simplePos x="0" y="0"/>
            <wp:positionH relativeFrom="column">
              <wp:posOffset>104140</wp:posOffset>
            </wp:positionH>
            <wp:positionV relativeFrom="paragraph">
              <wp:posOffset>250190</wp:posOffset>
            </wp:positionV>
            <wp:extent cx="5686425" cy="7115175"/>
            <wp:effectExtent l="0" t="0" r="9525" b="9525"/>
            <wp:wrapNone/>
            <wp:docPr id="17" name="图片 17" descr="1c9ea316-d89b-4d08-a92c-5a28362fcd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c9ea316-d89b-4d08-a92c-5a28362fcda5"/>
                    <pic:cNvPicPr>
                      <a:picLocks noChangeAspect="1"/>
                    </pic:cNvPicPr>
                  </pic:nvPicPr>
                  <pic:blipFill>
                    <a:blip r:embed="rId30"/>
                    <a:stretch>
                      <a:fillRect/>
                    </a:stretch>
                  </pic:blipFill>
                  <pic:spPr>
                    <a:xfrm>
                      <a:off x="0" y="0"/>
                      <a:ext cx="5686425" cy="7115175"/>
                    </a:xfrm>
                    <a:prstGeom prst="rect">
                      <a:avLst/>
                    </a:prstGeom>
                  </pic:spPr>
                </pic:pic>
              </a:graphicData>
            </a:graphic>
          </wp:anchor>
        </w:drawing>
      </w:r>
    </w:p>
    <w:p w14:paraId="43B501A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7456" behindDoc="0" locked="0" layoutInCell="1" allowOverlap="1">
            <wp:simplePos x="0" y="0"/>
            <wp:positionH relativeFrom="column">
              <wp:posOffset>0</wp:posOffset>
            </wp:positionH>
            <wp:positionV relativeFrom="paragraph">
              <wp:posOffset>238760</wp:posOffset>
            </wp:positionV>
            <wp:extent cx="5619750" cy="7429500"/>
            <wp:effectExtent l="0" t="0" r="0" b="0"/>
            <wp:wrapNone/>
            <wp:docPr id="18" name="图片 18" descr="3d7127a1-0706-4596-a146-785db959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3d7127a1-0706-4596-a146-785db9594966"/>
                    <pic:cNvPicPr>
                      <a:picLocks noChangeAspect="1"/>
                    </pic:cNvPicPr>
                  </pic:nvPicPr>
                  <pic:blipFill>
                    <a:blip r:embed="rId31"/>
                    <a:stretch>
                      <a:fillRect/>
                    </a:stretch>
                  </pic:blipFill>
                  <pic:spPr>
                    <a:xfrm>
                      <a:off x="0" y="0"/>
                      <a:ext cx="5619750" cy="7429500"/>
                    </a:xfrm>
                    <a:prstGeom prst="rect">
                      <a:avLst/>
                    </a:prstGeom>
                  </pic:spPr>
                </pic:pic>
              </a:graphicData>
            </a:graphic>
          </wp:anchor>
        </w:drawing>
      </w:r>
    </w:p>
    <w:p w14:paraId="22620B10">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8480" behindDoc="0" locked="0" layoutInCell="1" allowOverlap="1">
            <wp:simplePos x="0" y="0"/>
            <wp:positionH relativeFrom="column">
              <wp:posOffset>66040</wp:posOffset>
            </wp:positionH>
            <wp:positionV relativeFrom="paragraph">
              <wp:posOffset>185420</wp:posOffset>
            </wp:positionV>
            <wp:extent cx="5572125" cy="7753350"/>
            <wp:effectExtent l="0" t="0" r="9525" b="0"/>
            <wp:wrapNone/>
            <wp:docPr id="19" name="图片 19" descr="c6ba184e-bf68-461f-b09e-14ae6043b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6ba184e-bf68-461f-b09e-14ae6043b023"/>
                    <pic:cNvPicPr>
                      <a:picLocks noChangeAspect="1"/>
                    </pic:cNvPicPr>
                  </pic:nvPicPr>
                  <pic:blipFill>
                    <a:blip r:embed="rId32"/>
                    <a:stretch>
                      <a:fillRect/>
                    </a:stretch>
                  </pic:blipFill>
                  <pic:spPr>
                    <a:xfrm>
                      <a:off x="0" y="0"/>
                      <a:ext cx="5572125" cy="7753350"/>
                    </a:xfrm>
                    <a:prstGeom prst="rect">
                      <a:avLst/>
                    </a:prstGeom>
                  </pic:spPr>
                </pic:pic>
              </a:graphicData>
            </a:graphic>
          </wp:anchor>
        </w:drawing>
      </w:r>
    </w:p>
    <w:p w14:paraId="535CA9B4">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9504" behindDoc="0" locked="0" layoutInCell="1" allowOverlap="1">
            <wp:simplePos x="0" y="0"/>
            <wp:positionH relativeFrom="column">
              <wp:posOffset>66040</wp:posOffset>
            </wp:positionH>
            <wp:positionV relativeFrom="paragraph">
              <wp:posOffset>431165</wp:posOffset>
            </wp:positionV>
            <wp:extent cx="5667375" cy="7296150"/>
            <wp:effectExtent l="0" t="0" r="9525" b="0"/>
            <wp:wrapNone/>
            <wp:docPr id="20" name="图片 20" descr="8684e66d-e587-4664-80d6-b583f5f2c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8684e66d-e587-4664-80d6-b583f5f2c480"/>
                    <pic:cNvPicPr>
                      <a:picLocks noChangeAspect="1"/>
                    </pic:cNvPicPr>
                  </pic:nvPicPr>
                  <pic:blipFill>
                    <a:blip r:embed="rId33"/>
                    <a:stretch>
                      <a:fillRect/>
                    </a:stretch>
                  </pic:blipFill>
                  <pic:spPr>
                    <a:xfrm>
                      <a:off x="0" y="0"/>
                      <a:ext cx="5667375" cy="7296150"/>
                    </a:xfrm>
                    <a:prstGeom prst="rect">
                      <a:avLst/>
                    </a:prstGeom>
                  </pic:spPr>
                </pic:pic>
              </a:graphicData>
            </a:graphic>
          </wp:anchor>
        </w:drawing>
      </w:r>
    </w:p>
    <w:p w14:paraId="75B43B87">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0528" behindDoc="0" locked="0" layoutInCell="1" allowOverlap="1">
            <wp:simplePos x="0" y="0"/>
            <wp:positionH relativeFrom="column">
              <wp:posOffset>1905</wp:posOffset>
            </wp:positionH>
            <wp:positionV relativeFrom="paragraph">
              <wp:posOffset>513080</wp:posOffset>
            </wp:positionV>
            <wp:extent cx="5638800" cy="6038850"/>
            <wp:effectExtent l="0" t="0" r="0" b="0"/>
            <wp:wrapNone/>
            <wp:docPr id="29" name="图片 29" descr="65ada7f4-9b3e-41b6-8224-4bcd5804d2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65ada7f4-9b3e-41b6-8224-4bcd5804d2aa"/>
                    <pic:cNvPicPr>
                      <a:picLocks noChangeAspect="1"/>
                    </pic:cNvPicPr>
                  </pic:nvPicPr>
                  <pic:blipFill>
                    <a:blip r:embed="rId34"/>
                    <a:stretch>
                      <a:fillRect/>
                    </a:stretch>
                  </pic:blipFill>
                  <pic:spPr>
                    <a:xfrm>
                      <a:off x="0" y="0"/>
                      <a:ext cx="5638800" cy="6038850"/>
                    </a:xfrm>
                    <a:prstGeom prst="rect">
                      <a:avLst/>
                    </a:prstGeom>
                  </pic:spPr>
                </pic:pic>
              </a:graphicData>
            </a:graphic>
          </wp:anchor>
        </w:drawing>
      </w:r>
    </w:p>
    <w:p w14:paraId="12971980">
      <w:pPr>
        <w:pStyle w:val="22"/>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第六部分 </w:t>
      </w:r>
      <w:r>
        <w:rPr>
          <w:rFonts w:hint="eastAsia" w:eastAsia="宋体"/>
          <w:color w:val="auto"/>
          <w:sz w:val="36"/>
        </w:rPr>
        <w:t xml:space="preserve"> </w:t>
      </w:r>
      <w:bookmarkEnd w:id="131"/>
      <w:bookmarkEnd w:id="132"/>
      <w:bookmarkEnd w:id="134"/>
      <w:bookmarkEnd w:id="135"/>
      <w:bookmarkEnd w:id="136"/>
      <w:bookmarkEnd w:id="137"/>
      <w:bookmarkEnd w:id="138"/>
      <w:bookmarkStart w:id="140" w:name="_Toc3837039"/>
      <w:bookmarkStart w:id="141" w:name="_Toc10937"/>
      <w:r>
        <w:rPr>
          <w:rFonts w:hint="eastAsia" w:eastAsia="宋体"/>
          <w:color w:val="auto"/>
          <w:sz w:val="36"/>
        </w:rPr>
        <w:t>商务及合同主要条款</w:t>
      </w:r>
      <w:bookmarkEnd w:id="139"/>
      <w:bookmarkEnd w:id="140"/>
      <w:bookmarkEnd w:id="141"/>
    </w:p>
    <w:p w14:paraId="02E8E3BD">
      <w:pPr>
        <w:widowControl/>
        <w:jc w:val="center"/>
        <w:rPr>
          <w:rFonts w:hint="eastAsia" w:ascii="新宋体" w:hAnsi="新宋体" w:eastAsia="新宋体" w:cs="新宋体"/>
          <w:b/>
          <w:bCs/>
          <w:color w:val="auto"/>
          <w:kern w:val="0"/>
          <w:sz w:val="48"/>
          <w:szCs w:val="48"/>
          <w:lang w:val="en-US" w:eastAsia="zh-CN"/>
        </w:rPr>
      </w:pPr>
    </w:p>
    <w:p w14:paraId="3FFE2731">
      <w:pPr>
        <w:widowControl/>
        <w:jc w:val="center"/>
        <w:rPr>
          <w:rFonts w:hint="default" w:ascii="新宋体" w:hAnsi="新宋体" w:eastAsia="新宋体" w:cs="新宋体"/>
          <w:b/>
          <w:bCs/>
          <w:color w:val="auto"/>
          <w:kern w:val="0"/>
          <w:sz w:val="44"/>
          <w:szCs w:val="44"/>
          <w:lang w:val="en-US"/>
        </w:rPr>
      </w:pPr>
      <w:r>
        <w:rPr>
          <w:rFonts w:hint="eastAsia" w:ascii="新宋体" w:hAnsi="新宋体" w:eastAsia="新宋体" w:cs="新宋体"/>
          <w:b/>
          <w:bCs/>
          <w:color w:val="auto"/>
          <w:kern w:val="0"/>
          <w:sz w:val="48"/>
          <w:szCs w:val="48"/>
          <w:lang w:val="en-US" w:eastAsia="zh-CN"/>
        </w:rPr>
        <w:t>安康职业技术学院附属小学</w:t>
      </w:r>
      <w:r>
        <w:rPr>
          <w:rFonts w:hint="eastAsia" w:ascii="新宋体" w:hAnsi="新宋体" w:eastAsia="新宋体" w:cs="新宋体"/>
          <w:b/>
          <w:bCs/>
          <w:color w:val="auto"/>
          <w:kern w:val="0"/>
          <w:sz w:val="48"/>
          <w:szCs w:val="48"/>
          <w:u w:val="single"/>
          <w:lang w:val="en-US" w:eastAsia="zh-CN"/>
        </w:rPr>
        <w:t xml:space="preserve">              </w:t>
      </w:r>
      <w:r>
        <w:rPr>
          <w:rFonts w:hint="eastAsia" w:ascii="新宋体" w:hAnsi="新宋体" w:eastAsia="新宋体" w:cs="新宋体"/>
          <w:b/>
          <w:bCs/>
          <w:color w:val="auto"/>
          <w:kern w:val="0"/>
          <w:sz w:val="48"/>
          <w:szCs w:val="48"/>
          <w:lang w:val="en-US" w:eastAsia="zh-CN"/>
        </w:rPr>
        <w:t>项目</w:t>
      </w:r>
    </w:p>
    <w:p w14:paraId="0FF3A686">
      <w:pPr>
        <w:widowControl/>
        <w:rPr>
          <w:rFonts w:hint="eastAsia" w:ascii="新宋体" w:hAnsi="新宋体" w:eastAsia="新宋体" w:cs="新宋体"/>
          <w:b/>
          <w:bCs/>
          <w:color w:val="auto"/>
          <w:kern w:val="0"/>
          <w:sz w:val="36"/>
          <w:szCs w:val="36"/>
        </w:rPr>
      </w:pPr>
    </w:p>
    <w:p w14:paraId="3B5FE7FC">
      <w:pPr>
        <w:widowControl/>
        <w:rPr>
          <w:rFonts w:hint="eastAsia" w:ascii="新宋体" w:hAnsi="新宋体" w:eastAsia="新宋体" w:cs="新宋体"/>
          <w:b/>
          <w:bCs/>
          <w:color w:val="auto"/>
          <w:kern w:val="0"/>
          <w:sz w:val="36"/>
          <w:szCs w:val="36"/>
        </w:rPr>
      </w:pPr>
    </w:p>
    <w:p w14:paraId="1ED1144C">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施</w:t>
      </w:r>
    </w:p>
    <w:p w14:paraId="46954987">
      <w:pPr>
        <w:widowControl/>
        <w:jc w:val="center"/>
        <w:rPr>
          <w:rFonts w:hint="eastAsia" w:ascii="新宋体" w:hAnsi="新宋体" w:eastAsia="新宋体" w:cs="新宋体"/>
          <w:b/>
          <w:bCs/>
          <w:color w:val="auto"/>
          <w:kern w:val="0"/>
          <w:sz w:val="72"/>
          <w:szCs w:val="72"/>
        </w:rPr>
      </w:pPr>
    </w:p>
    <w:p w14:paraId="2CE7FDAD">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工</w:t>
      </w:r>
    </w:p>
    <w:p w14:paraId="1343F101">
      <w:pPr>
        <w:widowControl/>
        <w:jc w:val="center"/>
        <w:rPr>
          <w:rFonts w:hint="eastAsia" w:ascii="新宋体" w:hAnsi="新宋体" w:eastAsia="新宋体" w:cs="新宋体"/>
          <w:b/>
          <w:bCs/>
          <w:color w:val="auto"/>
          <w:kern w:val="0"/>
          <w:sz w:val="72"/>
          <w:szCs w:val="72"/>
        </w:rPr>
      </w:pPr>
    </w:p>
    <w:p w14:paraId="0B6FCFF3">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合</w:t>
      </w:r>
    </w:p>
    <w:p w14:paraId="74F6E518">
      <w:pPr>
        <w:widowControl/>
        <w:jc w:val="center"/>
        <w:rPr>
          <w:rFonts w:hint="eastAsia" w:ascii="新宋体" w:hAnsi="新宋体" w:eastAsia="新宋体" w:cs="新宋体"/>
          <w:b/>
          <w:bCs/>
          <w:color w:val="auto"/>
          <w:kern w:val="0"/>
          <w:sz w:val="72"/>
          <w:szCs w:val="72"/>
        </w:rPr>
      </w:pPr>
    </w:p>
    <w:p w14:paraId="1BE4A4F8">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同</w:t>
      </w:r>
    </w:p>
    <w:p w14:paraId="5B01685B">
      <w:pPr>
        <w:widowControl/>
        <w:jc w:val="center"/>
        <w:rPr>
          <w:rFonts w:hint="eastAsia" w:ascii="新宋体" w:hAnsi="新宋体" w:eastAsia="新宋体" w:cs="新宋体"/>
          <w:b/>
          <w:bCs/>
          <w:color w:val="auto"/>
          <w:kern w:val="0"/>
          <w:sz w:val="36"/>
          <w:szCs w:val="36"/>
        </w:rPr>
      </w:pPr>
    </w:p>
    <w:p w14:paraId="7F3A4689">
      <w:pPr>
        <w:widowControl/>
        <w:rPr>
          <w:rFonts w:hint="eastAsia" w:ascii="新宋体" w:hAnsi="新宋体" w:eastAsia="新宋体" w:cs="新宋体"/>
          <w:b/>
          <w:bCs/>
          <w:color w:val="auto"/>
          <w:kern w:val="0"/>
          <w:sz w:val="32"/>
          <w:szCs w:val="32"/>
        </w:rPr>
      </w:pPr>
    </w:p>
    <w:p w14:paraId="3B7965BD">
      <w:pPr>
        <w:widowControl/>
        <w:rPr>
          <w:rFonts w:hint="default" w:ascii="新宋体" w:hAnsi="新宋体" w:eastAsia="新宋体" w:cs="新宋体"/>
          <w:b/>
          <w:bCs/>
          <w:color w:val="auto"/>
          <w:kern w:val="0"/>
          <w:sz w:val="32"/>
          <w:szCs w:val="32"/>
          <w:lang w:val="en-US" w:eastAsia="zh-CN"/>
        </w:rPr>
      </w:pPr>
      <w:r>
        <w:rPr>
          <w:rFonts w:hint="eastAsia" w:ascii="新宋体" w:hAnsi="新宋体" w:eastAsia="新宋体" w:cs="新宋体"/>
          <w:b/>
          <w:bCs/>
          <w:color w:val="auto"/>
          <w:kern w:val="0"/>
          <w:sz w:val="32"/>
          <w:szCs w:val="32"/>
          <w:lang w:val="en-US" w:eastAsia="zh-CN"/>
        </w:rPr>
        <w:t xml:space="preserve">           甲方：安康职业技术学院附属小学</w:t>
      </w:r>
    </w:p>
    <w:p w14:paraId="123C7459">
      <w:pPr>
        <w:widowControl/>
        <w:ind w:firstLine="200"/>
        <w:jc w:val="center"/>
        <w:rPr>
          <w:rFonts w:hint="eastAsia" w:ascii="新宋体" w:hAnsi="新宋体" w:eastAsia="新宋体" w:cs="新宋体"/>
          <w:b/>
          <w:bCs/>
          <w:color w:val="auto"/>
          <w:kern w:val="0"/>
          <w:sz w:val="36"/>
          <w:szCs w:val="36"/>
        </w:rPr>
      </w:pPr>
    </w:p>
    <w:p w14:paraId="59D7CEE6">
      <w:pPr>
        <w:ind w:firstLine="1807" w:firstLineChars="500"/>
        <w:rPr>
          <w:rFonts w:hint="eastAsia" w:ascii="宋体" w:hAnsi="宋体" w:eastAsia="宋体" w:cs="宋体"/>
          <w:color w:val="auto"/>
          <w:sz w:val="28"/>
          <w:szCs w:val="28"/>
        </w:rPr>
      </w:pPr>
      <w:r>
        <w:rPr>
          <w:rFonts w:hint="eastAsia" w:ascii="新宋体" w:hAnsi="新宋体" w:eastAsia="新宋体" w:cs="新宋体"/>
          <w:b/>
          <w:bCs/>
          <w:color w:val="auto"/>
          <w:kern w:val="0"/>
          <w:sz w:val="36"/>
          <w:szCs w:val="36"/>
          <w:lang w:eastAsia="zh-CN"/>
        </w:rPr>
        <w:t>乙方：</w:t>
      </w:r>
    </w:p>
    <w:p w14:paraId="664B7D1F">
      <w:pPr>
        <w:widowControl/>
        <w:spacing w:line="480" w:lineRule="atLeast"/>
        <w:jc w:val="center"/>
        <w:rPr>
          <w:rFonts w:hint="eastAsia" w:ascii="宋体" w:hAnsi="宋体" w:eastAsia="宋体" w:cs="宋体"/>
          <w:b/>
          <w:bCs w:val="0"/>
          <w:snapToGrid w:val="0"/>
          <w:color w:val="auto"/>
          <w:kern w:val="0"/>
          <w:sz w:val="32"/>
        </w:rPr>
      </w:pPr>
      <w:r>
        <w:rPr>
          <w:rFonts w:hint="eastAsia" w:ascii="宋体" w:hAnsi="宋体" w:eastAsia="宋体" w:cs="宋体"/>
          <w:b/>
          <w:bCs w:val="0"/>
          <w:snapToGrid w:val="0"/>
          <w:color w:val="auto"/>
          <w:kern w:val="0"/>
          <w:sz w:val="32"/>
        </w:rPr>
        <w:t>合同主要条款</w:t>
      </w:r>
    </w:p>
    <w:p w14:paraId="4CCB2D5B">
      <w:pPr>
        <w:snapToGrid w:val="0"/>
        <w:spacing w:line="360" w:lineRule="auto"/>
        <w:textAlignment w:val="baseline"/>
        <w:rPr>
          <w:rFonts w:hint="eastAsia" w:ascii="宋体" w:hAnsi="宋体" w:eastAsia="宋体" w:cs="宋体"/>
          <w:snapToGrid w:val="0"/>
          <w:color w:val="auto"/>
          <w:kern w:val="0"/>
          <w:sz w:val="24"/>
          <w:szCs w:val="24"/>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以甲乙双方实际签订合同为准。</w:t>
      </w:r>
      <w:r>
        <w:rPr>
          <w:rFonts w:hint="eastAsia" w:ascii="宋体" w:hAnsi="宋体" w:cs="宋体"/>
          <w:b/>
          <w:bCs/>
          <w:color w:val="auto"/>
          <w:sz w:val="24"/>
          <w:szCs w:val="24"/>
        </w:rPr>
        <w:t>）</w:t>
      </w:r>
    </w:p>
    <w:p w14:paraId="3BDFF96C">
      <w:pPr>
        <w:keepNext w:val="0"/>
        <w:keepLines w:val="0"/>
        <w:pageBreakBefore w:val="0"/>
        <w:kinsoku/>
        <w:wordWrap/>
        <w:overflowPunct/>
        <w:topLinePunct w:val="0"/>
        <w:bidi w:val="0"/>
        <w:adjustRightInd/>
        <w:spacing w:line="500" w:lineRule="exact"/>
        <w:ind w:left="0" w:right="0" w:firstLine="7"/>
        <w:textAlignment w:val="auto"/>
        <w:rPr>
          <w:rFonts w:ascii="新宋体" w:hAnsi="新宋体" w:eastAsia="新宋体" w:cs="新宋体"/>
          <w:color w:val="auto"/>
          <w:spacing w:val="-2"/>
          <w:sz w:val="24"/>
          <w:szCs w:val="24"/>
        </w:rPr>
      </w:pPr>
      <w:bookmarkStart w:id="142" w:name="_Toc372631065"/>
      <w:bookmarkStart w:id="143" w:name="_Toc362618803"/>
    </w:p>
    <w:p w14:paraId="2ABC8374">
      <w:pPr>
        <w:keepNext w:val="0"/>
        <w:keepLines w:val="0"/>
        <w:pageBreakBefore w:val="0"/>
        <w:kinsoku/>
        <w:wordWrap/>
        <w:overflowPunct/>
        <w:topLinePunct w:val="0"/>
        <w:bidi w:val="0"/>
        <w:adjustRightInd/>
        <w:spacing w:line="500" w:lineRule="exact"/>
        <w:ind w:left="0" w:right="0" w:firstLine="7"/>
        <w:textAlignment w:val="auto"/>
        <w:rPr>
          <w:rFonts w:hint="eastAsia" w:ascii="新宋体" w:hAnsi="新宋体" w:eastAsia="新宋体" w:cs="新宋体"/>
          <w:color w:val="auto"/>
          <w:spacing w:val="-2"/>
          <w:sz w:val="24"/>
          <w:szCs w:val="24"/>
          <w:lang w:val="en-US" w:eastAsia="zh-CN"/>
        </w:rPr>
      </w:pPr>
      <w:r>
        <w:rPr>
          <w:rFonts w:ascii="新宋体" w:hAnsi="新宋体" w:eastAsia="新宋体" w:cs="新宋体"/>
          <w:color w:val="auto"/>
          <w:spacing w:val="-2"/>
          <w:sz w:val="24"/>
          <w:szCs w:val="24"/>
        </w:rPr>
        <w:t>甲方（需方)：</w:t>
      </w:r>
      <w:r>
        <w:rPr>
          <w:rFonts w:hint="eastAsia" w:ascii="新宋体" w:hAnsi="新宋体" w:eastAsia="新宋体" w:cs="新宋体"/>
          <w:color w:val="auto"/>
          <w:spacing w:val="-2"/>
          <w:sz w:val="24"/>
          <w:szCs w:val="24"/>
          <w:lang w:val="en-US" w:eastAsia="zh-CN"/>
        </w:rPr>
        <w:t>安康职业技术学院附属小学</w:t>
      </w:r>
    </w:p>
    <w:p w14:paraId="647F985C">
      <w:pPr>
        <w:keepNext w:val="0"/>
        <w:keepLines w:val="0"/>
        <w:pageBreakBefore w:val="0"/>
        <w:kinsoku/>
        <w:wordWrap/>
        <w:overflowPunct/>
        <w:topLinePunct w:val="0"/>
        <w:bidi w:val="0"/>
        <w:adjustRightInd/>
        <w:spacing w:line="500" w:lineRule="exact"/>
        <w:ind w:left="0" w:right="0" w:firstLine="7"/>
        <w:textAlignment w:val="auto"/>
        <w:rPr>
          <w:rFonts w:ascii="新宋体" w:hAnsi="新宋体" w:eastAsia="新宋体" w:cs="新宋体"/>
          <w:color w:val="auto"/>
          <w:sz w:val="24"/>
          <w:szCs w:val="24"/>
        </w:rPr>
      </w:pPr>
      <w:r>
        <w:rPr>
          <w:rFonts w:ascii="新宋体" w:hAnsi="新宋体" w:eastAsia="新宋体" w:cs="新宋体"/>
          <w:color w:val="auto"/>
          <w:spacing w:val="-7"/>
          <w:sz w:val="24"/>
          <w:szCs w:val="24"/>
        </w:rPr>
        <w:t>乙方（供方</w:t>
      </w:r>
      <w:r>
        <w:rPr>
          <w:rFonts w:ascii="新宋体" w:hAnsi="新宋体" w:eastAsia="新宋体" w:cs="新宋体"/>
          <w:color w:val="auto"/>
          <w:sz w:val="24"/>
          <w:szCs w:val="24"/>
        </w:rPr>
        <w:t>）：</w:t>
      </w:r>
      <w:r>
        <w:rPr>
          <w:rFonts w:ascii="新宋体" w:hAnsi="新宋体" w:eastAsia="新宋体" w:cs="新宋体"/>
          <w:color w:val="auto"/>
          <w:sz w:val="24"/>
          <w:szCs w:val="24"/>
          <w:u w:val="single" w:color="auto"/>
        </w:rPr>
        <w:t xml:space="preserve">                          </w:t>
      </w:r>
    </w:p>
    <w:p w14:paraId="1725429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p>
    <w:p w14:paraId="3A8E3635">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安康职业技术学院附属小学于 2026 年</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月</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日，以</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方式确定</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 xml:space="preserve">为 </w:t>
      </w:r>
      <w:r>
        <w:rPr>
          <w:rFonts w:hint="eastAsia" w:ascii="新宋体" w:hAnsi="新宋体" w:eastAsia="新宋体" w:cs="新宋体"/>
          <w:color w:val="auto"/>
          <w:kern w:val="0"/>
          <w:sz w:val="24"/>
          <w:szCs w:val="24"/>
          <w:u w:val="single"/>
          <w:lang w:val="en-US" w:eastAsia="zh-CN" w:bidi="ar-SA"/>
        </w:rPr>
        <w:t>安康职业技术学院附属小学绿化升级改造项目</w:t>
      </w:r>
      <w:r>
        <w:rPr>
          <w:rFonts w:hint="eastAsia" w:ascii="新宋体" w:hAnsi="新宋体" w:eastAsia="新宋体" w:cs="新宋体"/>
          <w:color w:val="auto"/>
          <w:kern w:val="0"/>
          <w:sz w:val="24"/>
          <w:szCs w:val="24"/>
          <w:lang w:val="en-US" w:eastAsia="zh-CN" w:bidi="ar-SA"/>
        </w:rPr>
        <w:t>的成交供应商。甲乙双方经协商，达成以下条款：</w:t>
      </w:r>
    </w:p>
    <w:p w14:paraId="1595435A">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第一条：项目实施内容及价格</w:t>
      </w:r>
    </w:p>
    <w:p w14:paraId="04F56428">
      <w:pPr>
        <w:keepNext w:val="0"/>
        <w:keepLines w:val="0"/>
        <w:pageBreakBefore w:val="0"/>
        <w:widowControl w:val="0"/>
        <w:kinsoku/>
        <w:wordWrap/>
        <w:overflowPunct/>
        <w:topLinePunct w:val="0"/>
        <w:autoSpaceDE/>
        <w:autoSpaceDN/>
        <w:bidi w:val="0"/>
        <w:adjustRightInd/>
        <w:snapToGrid/>
        <w:spacing w:line="500" w:lineRule="exact"/>
        <w:ind w:left="0" w:right="0" w:firstLine="478"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1"/>
          <w:sz w:val="24"/>
          <w:szCs w:val="24"/>
        </w:rPr>
        <w:t>工程名称：</w:t>
      </w:r>
      <w:r>
        <w:rPr>
          <w:rFonts w:hint="eastAsia" w:ascii="新宋体" w:hAnsi="新宋体" w:eastAsia="新宋体" w:cs="新宋体"/>
          <w:color w:val="auto"/>
          <w:kern w:val="0"/>
          <w:sz w:val="24"/>
          <w:szCs w:val="24"/>
          <w:u w:val="single"/>
          <w:lang w:val="en-US" w:eastAsia="zh-CN" w:bidi="ar-SA"/>
        </w:rPr>
        <w:t>安康职业技术学院附属小学绿化升级改造项目</w:t>
      </w:r>
    </w:p>
    <w:p w14:paraId="3F9D0EBE">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hint="default" w:ascii="新宋体" w:hAnsi="新宋体" w:eastAsia="新宋体" w:cs="新宋体"/>
          <w:color w:val="auto"/>
          <w:sz w:val="24"/>
          <w:szCs w:val="24"/>
          <w:lang w:val="en-US"/>
        </w:rPr>
      </w:pPr>
      <w:r>
        <w:rPr>
          <w:rFonts w:ascii="新宋体" w:hAnsi="新宋体" w:eastAsia="新宋体" w:cs="新宋体"/>
          <w:b/>
          <w:bCs/>
          <w:color w:val="auto"/>
          <w:spacing w:val="-3"/>
          <w:sz w:val="24"/>
          <w:szCs w:val="24"/>
        </w:rPr>
        <w:t>工程地点：</w:t>
      </w:r>
      <w:r>
        <w:rPr>
          <w:rFonts w:hint="eastAsia" w:ascii="新宋体" w:hAnsi="新宋体" w:eastAsia="新宋体" w:cs="新宋体"/>
          <w:color w:val="auto"/>
          <w:kern w:val="0"/>
          <w:sz w:val="24"/>
          <w:szCs w:val="24"/>
          <w:u w:val="single"/>
          <w:lang w:val="en-US" w:eastAsia="zh-CN" w:bidi="ar-SA"/>
        </w:rPr>
        <w:t>安康职业技术学院附属小学校园内</w:t>
      </w:r>
    </w:p>
    <w:p w14:paraId="033EFD23">
      <w:pPr>
        <w:keepNext w:val="0"/>
        <w:keepLines w:val="0"/>
        <w:pageBreakBefore w:val="0"/>
        <w:widowControl w:val="0"/>
        <w:kinsoku/>
        <w:wordWrap/>
        <w:overflowPunct/>
        <w:topLinePunct w:val="0"/>
        <w:autoSpaceDE/>
        <w:autoSpaceDN/>
        <w:bidi w:val="0"/>
        <w:adjustRightInd/>
        <w:snapToGrid/>
        <w:spacing w:line="500" w:lineRule="exact"/>
        <w:ind w:left="0" w:right="0" w:firstLine="478"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1"/>
          <w:sz w:val="24"/>
          <w:szCs w:val="24"/>
        </w:rPr>
        <w:t>工程内容：</w:t>
      </w:r>
      <w:r>
        <w:rPr>
          <w:rFonts w:hint="eastAsia" w:ascii="新宋体" w:hAnsi="新宋体" w:eastAsia="新宋体" w:cs="新宋体"/>
          <w:color w:val="auto"/>
          <w:spacing w:val="-1"/>
          <w:sz w:val="24"/>
          <w:szCs w:val="24"/>
          <w:u w:val="single" w:color="auto"/>
        </w:rPr>
        <w:t>校园内绿地处理、移植苗木、栽植苗木及回填种植土等，详见工程量清单。</w:t>
      </w:r>
    </w:p>
    <w:p w14:paraId="554819C1">
      <w:pPr>
        <w:keepNext w:val="0"/>
        <w:keepLines w:val="0"/>
        <w:pageBreakBefore w:val="0"/>
        <w:widowControl w:val="0"/>
        <w:kinsoku/>
        <w:wordWrap/>
        <w:overflowPunct/>
        <w:topLinePunct w:val="0"/>
        <w:autoSpaceDE/>
        <w:autoSpaceDN/>
        <w:bidi w:val="0"/>
        <w:adjustRightInd/>
        <w:snapToGrid/>
        <w:spacing w:line="500" w:lineRule="exact"/>
        <w:ind w:left="0" w:right="0" w:firstLine="422" w:firstLineChars="200"/>
        <w:jc w:val="both"/>
        <w:textAlignment w:val="auto"/>
        <w:rPr>
          <w:rFonts w:ascii="宋体" w:hAnsi="宋体" w:eastAsia="宋体" w:cs="宋体"/>
          <w:color w:val="auto"/>
          <w:sz w:val="24"/>
          <w:szCs w:val="24"/>
        </w:rPr>
      </w:pPr>
      <w:r>
        <w:rPr>
          <w:rFonts w:ascii="新宋体" w:hAnsi="新宋体" w:eastAsia="新宋体" w:cs="新宋体"/>
          <w:b/>
          <w:bCs/>
          <w:color w:val="auto"/>
          <w:spacing w:val="-15"/>
          <w:sz w:val="24"/>
          <w:szCs w:val="24"/>
        </w:rPr>
        <w:t>金额：</w:t>
      </w:r>
      <w:r>
        <w:rPr>
          <w:rFonts w:ascii="宋体" w:hAnsi="宋体" w:eastAsia="宋体" w:cs="宋体"/>
          <w:color w:val="auto"/>
          <w:spacing w:val="28"/>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15"/>
          <w:sz w:val="24"/>
          <w:szCs w:val="24"/>
          <w:u w:val="single" w:color="auto"/>
        </w:rPr>
        <w:t>元</w:t>
      </w:r>
      <w:r>
        <w:rPr>
          <w:rFonts w:ascii="宋体" w:hAnsi="宋体" w:eastAsia="宋体" w:cs="宋体"/>
          <w:color w:val="auto"/>
          <w:spacing w:val="4"/>
          <w:sz w:val="24"/>
          <w:szCs w:val="24"/>
          <w:u w:val="single" w:color="auto"/>
        </w:rPr>
        <w:t xml:space="preserve"> </w:t>
      </w:r>
    </w:p>
    <w:p w14:paraId="4559F419">
      <w:pPr>
        <w:keepNext w:val="0"/>
        <w:keepLines w:val="0"/>
        <w:pageBreakBefore w:val="0"/>
        <w:widowControl w:val="0"/>
        <w:kinsoku/>
        <w:wordWrap/>
        <w:overflowPunct/>
        <w:topLinePunct w:val="0"/>
        <w:autoSpaceDE/>
        <w:autoSpaceDN/>
        <w:bidi w:val="0"/>
        <w:adjustRightInd/>
        <w:snapToGrid/>
        <w:spacing w:line="500" w:lineRule="exact"/>
        <w:ind w:left="0" w:right="0" w:firstLine="428" w:firstLineChars="200"/>
        <w:jc w:val="both"/>
        <w:textAlignment w:val="auto"/>
        <w:rPr>
          <w:rFonts w:ascii="新宋体" w:hAnsi="新宋体" w:eastAsia="新宋体" w:cs="新宋体"/>
          <w:color w:val="auto"/>
          <w:sz w:val="24"/>
          <w:szCs w:val="24"/>
        </w:rPr>
      </w:pPr>
      <w:r>
        <w:rPr>
          <w:rFonts w:ascii="新宋体" w:hAnsi="新宋体" w:eastAsia="新宋体" w:cs="新宋体"/>
          <w:color w:val="auto"/>
          <w:spacing w:val="-13"/>
          <w:sz w:val="24"/>
          <w:szCs w:val="24"/>
        </w:rPr>
        <w:t>（大</w:t>
      </w:r>
      <w:r>
        <w:rPr>
          <w:rFonts w:ascii="新宋体" w:hAnsi="新宋体" w:eastAsia="新宋体" w:cs="新宋体"/>
          <w:color w:val="auto"/>
          <w:spacing w:val="17"/>
          <w:sz w:val="24"/>
          <w:szCs w:val="24"/>
        </w:rPr>
        <w:t xml:space="preserve"> </w:t>
      </w:r>
      <w:r>
        <w:rPr>
          <w:rFonts w:ascii="新宋体" w:hAnsi="新宋体" w:eastAsia="新宋体" w:cs="新宋体"/>
          <w:color w:val="auto"/>
          <w:spacing w:val="-13"/>
          <w:sz w:val="24"/>
          <w:szCs w:val="24"/>
        </w:rPr>
        <w:t>写</w:t>
      </w:r>
      <w:r>
        <w:rPr>
          <w:rFonts w:ascii="新宋体" w:hAnsi="新宋体" w:eastAsia="新宋体" w:cs="新宋体"/>
          <w:color w:val="auto"/>
          <w:spacing w:val="-90"/>
          <w:sz w:val="24"/>
          <w:szCs w:val="24"/>
        </w:rPr>
        <w:t xml:space="preserve"> </w:t>
      </w:r>
      <w:r>
        <w:rPr>
          <w:rFonts w:ascii="新宋体" w:hAnsi="新宋体" w:eastAsia="新宋体" w:cs="新宋体"/>
          <w:color w:val="auto"/>
          <w:spacing w:val="-15"/>
          <w:sz w:val="24"/>
          <w:szCs w:val="24"/>
        </w:rPr>
        <w:t>：</w:t>
      </w:r>
      <w:r>
        <w:rPr>
          <w:rFonts w:ascii="新宋体" w:hAnsi="新宋体" w:eastAsia="新宋体" w:cs="新宋体"/>
          <w:color w:val="auto"/>
          <w:sz w:val="24"/>
          <w:szCs w:val="24"/>
          <w:u w:val="single" w:color="auto"/>
        </w:rPr>
        <w:t xml:space="preserve">                           </w:t>
      </w:r>
      <w:r>
        <w:rPr>
          <w:rFonts w:ascii="新宋体" w:hAnsi="新宋体" w:eastAsia="新宋体" w:cs="新宋体"/>
          <w:color w:val="auto"/>
          <w:spacing w:val="-15"/>
          <w:sz w:val="24"/>
          <w:szCs w:val="24"/>
        </w:rPr>
        <w:t>）</w:t>
      </w:r>
    </w:p>
    <w:p w14:paraId="6DD59D1B">
      <w:pPr>
        <w:keepNext w:val="0"/>
        <w:keepLines w:val="0"/>
        <w:pageBreakBefore w:val="0"/>
        <w:widowControl w:val="0"/>
        <w:kinsoku/>
        <w:wordWrap/>
        <w:overflowPunct/>
        <w:topLinePunct w:val="0"/>
        <w:autoSpaceDE/>
        <w:autoSpaceDN/>
        <w:bidi w:val="0"/>
        <w:adjustRightInd/>
        <w:snapToGrid/>
        <w:spacing w:line="500" w:lineRule="exact"/>
        <w:ind w:left="0" w:right="0" w:firstLine="468" w:firstLineChars="200"/>
        <w:jc w:val="both"/>
        <w:textAlignment w:val="auto"/>
        <w:rPr>
          <w:rFonts w:ascii="新宋体" w:hAnsi="新宋体" w:eastAsia="新宋体" w:cs="新宋体"/>
          <w:color w:val="auto"/>
          <w:sz w:val="24"/>
          <w:szCs w:val="24"/>
        </w:rPr>
      </w:pPr>
      <w:r>
        <w:rPr>
          <w:rFonts w:ascii="新宋体" w:hAnsi="新宋体" w:eastAsia="新宋体" w:cs="新宋体"/>
          <w:color w:val="auto"/>
          <w:spacing w:val="-3"/>
          <w:sz w:val="24"/>
          <w:szCs w:val="24"/>
        </w:rPr>
        <w:t>工程造价：工程项目因建设需要变更的以甲方现场签证为</w:t>
      </w:r>
      <w:r>
        <w:rPr>
          <w:rFonts w:ascii="新宋体" w:hAnsi="新宋体" w:eastAsia="新宋体" w:cs="新宋体"/>
          <w:color w:val="auto"/>
          <w:spacing w:val="-4"/>
          <w:sz w:val="24"/>
          <w:szCs w:val="24"/>
        </w:rPr>
        <w:t>依据进行核算。工</w:t>
      </w:r>
      <w:r>
        <w:rPr>
          <w:rFonts w:ascii="新宋体" w:hAnsi="新宋体" w:eastAsia="新宋体" w:cs="新宋体"/>
          <w:color w:val="auto"/>
          <w:sz w:val="24"/>
          <w:szCs w:val="24"/>
        </w:rPr>
        <w:t>程造价最终以验收后审计部门批准的为准</w:t>
      </w:r>
      <w:r>
        <w:rPr>
          <w:rFonts w:ascii="新宋体" w:hAnsi="新宋体" w:eastAsia="新宋体" w:cs="新宋体"/>
          <w:color w:val="auto"/>
          <w:spacing w:val="-1"/>
          <w:sz w:val="24"/>
          <w:szCs w:val="24"/>
        </w:rPr>
        <w:t>。</w:t>
      </w:r>
    </w:p>
    <w:p w14:paraId="42D65DFB">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第二条：工程建设时间：</w:t>
      </w:r>
      <w:r>
        <w:rPr>
          <w:rFonts w:hint="eastAsia" w:ascii="宋体" w:hAnsi="宋体" w:cs="宋体"/>
          <w:color w:val="auto"/>
          <w:kern w:val="0"/>
          <w:sz w:val="24"/>
          <w:szCs w:val="24"/>
          <w:lang w:val="en-US" w:eastAsia="zh-CN"/>
        </w:rPr>
        <w:t>自合同签订生效之日起30日历天</w:t>
      </w:r>
      <w:r>
        <w:rPr>
          <w:rFonts w:ascii="新宋体" w:hAnsi="新宋体" w:eastAsia="新宋体" w:cs="新宋体"/>
          <w:color w:val="auto"/>
          <w:spacing w:val="-9"/>
          <w:sz w:val="24"/>
          <w:szCs w:val="24"/>
        </w:rPr>
        <w:t>。</w:t>
      </w:r>
    </w:p>
    <w:p w14:paraId="01081BFD">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第三条：工程质量要求</w:t>
      </w:r>
    </w:p>
    <w:p w14:paraId="3C92A9E4">
      <w:pPr>
        <w:keepNext w:val="0"/>
        <w:keepLines w:val="0"/>
        <w:pageBreakBefore w:val="0"/>
        <w:widowControl w:val="0"/>
        <w:kinsoku/>
        <w:wordWrap/>
        <w:overflowPunct/>
        <w:topLinePunct w:val="0"/>
        <w:autoSpaceDE/>
        <w:autoSpaceDN/>
        <w:bidi w:val="0"/>
        <w:adjustRightInd/>
        <w:snapToGrid/>
        <w:spacing w:line="500" w:lineRule="exact"/>
        <w:ind w:left="0" w:right="0" w:firstLine="464" w:firstLineChars="200"/>
        <w:jc w:val="both"/>
        <w:textAlignment w:val="auto"/>
        <w:rPr>
          <w:rFonts w:ascii="新宋体" w:hAnsi="新宋体" w:eastAsia="新宋体" w:cs="新宋体"/>
          <w:color w:val="auto"/>
          <w:sz w:val="24"/>
          <w:szCs w:val="24"/>
        </w:rPr>
      </w:pPr>
      <w:r>
        <w:rPr>
          <w:rFonts w:ascii="新宋体" w:hAnsi="新宋体" w:eastAsia="新宋体" w:cs="新宋体"/>
          <w:color w:val="auto"/>
          <w:spacing w:val="-4"/>
          <w:sz w:val="24"/>
          <w:szCs w:val="24"/>
        </w:rPr>
        <w:t>1.施工时要对施工现场进行清理整治，清除包括杂草、灰土、砾石、建筑工</w:t>
      </w:r>
      <w:r>
        <w:rPr>
          <w:rFonts w:ascii="新宋体" w:hAnsi="新宋体" w:eastAsia="新宋体" w:cs="新宋体"/>
          <w:color w:val="auto"/>
          <w:spacing w:val="-1"/>
          <w:sz w:val="24"/>
          <w:szCs w:val="24"/>
        </w:rPr>
        <w:t>程施工垃圾等杂物。</w:t>
      </w:r>
    </w:p>
    <w:p w14:paraId="5E029883">
      <w:pPr>
        <w:keepNext w:val="0"/>
        <w:keepLines w:val="0"/>
        <w:pageBreakBefore w:val="0"/>
        <w:widowControl/>
        <w:kinsoku/>
        <w:wordWrap/>
        <w:overflowPunct/>
        <w:topLinePunct w:val="0"/>
        <w:autoSpaceDE/>
        <w:autoSpaceDN/>
        <w:bidi w:val="0"/>
        <w:adjustRightInd/>
        <w:snapToGrid/>
        <w:spacing w:line="500" w:lineRule="exact"/>
        <w:ind w:left="0" w:right="0" w:firstLine="464" w:firstLineChars="200"/>
        <w:jc w:val="both"/>
        <w:textAlignment w:val="auto"/>
        <w:rPr>
          <w:rFonts w:hint="eastAsia" w:ascii="新宋体" w:hAnsi="新宋体" w:eastAsia="新宋体" w:cs="新宋体"/>
          <w:color w:val="auto"/>
          <w:kern w:val="0"/>
          <w:sz w:val="24"/>
          <w:szCs w:val="24"/>
          <w:lang w:val="en-US" w:eastAsia="zh-CN" w:bidi="ar-SA"/>
        </w:rPr>
      </w:pPr>
      <w:r>
        <w:rPr>
          <w:rFonts w:ascii="新宋体" w:hAnsi="新宋体" w:eastAsia="新宋体" w:cs="新宋体"/>
          <w:color w:val="auto"/>
          <w:spacing w:val="-4"/>
          <w:sz w:val="24"/>
          <w:szCs w:val="24"/>
        </w:rPr>
        <w:t>2.树</w:t>
      </w:r>
      <w:r>
        <w:rPr>
          <w:rFonts w:hint="eastAsia" w:ascii="新宋体" w:hAnsi="新宋体" w:eastAsia="新宋体" w:cs="新宋体"/>
          <w:color w:val="auto"/>
          <w:spacing w:val="-4"/>
          <w:sz w:val="24"/>
          <w:szCs w:val="24"/>
          <w:lang w:val="en-US" w:eastAsia="zh-CN"/>
        </w:rPr>
        <w:t>木</w:t>
      </w:r>
      <w:r>
        <w:rPr>
          <w:rFonts w:ascii="新宋体" w:hAnsi="新宋体" w:eastAsia="新宋体" w:cs="新宋体"/>
          <w:color w:val="auto"/>
          <w:spacing w:val="-4"/>
          <w:sz w:val="24"/>
          <w:szCs w:val="24"/>
        </w:rPr>
        <w:t>种植前，新栽植树木必须进行树穴</w:t>
      </w:r>
      <w:r>
        <w:rPr>
          <w:rFonts w:ascii="新宋体" w:hAnsi="新宋体" w:eastAsia="新宋体" w:cs="新宋体"/>
          <w:color w:val="auto"/>
          <w:spacing w:val="-26"/>
          <w:sz w:val="24"/>
          <w:szCs w:val="24"/>
        </w:rPr>
        <w:t xml:space="preserve"> </w:t>
      </w:r>
      <w:r>
        <w:rPr>
          <w:rFonts w:ascii="新宋体" w:hAnsi="新宋体" w:eastAsia="新宋体" w:cs="新宋体"/>
          <w:color w:val="auto"/>
          <w:spacing w:val="-4"/>
          <w:sz w:val="24"/>
          <w:szCs w:val="24"/>
        </w:rPr>
        <w:t>1.2m*1.2m</w:t>
      </w:r>
      <w:r>
        <w:rPr>
          <w:rFonts w:ascii="新宋体" w:hAnsi="新宋体" w:eastAsia="新宋体" w:cs="新宋体"/>
          <w:color w:val="auto"/>
          <w:spacing w:val="-49"/>
          <w:sz w:val="24"/>
          <w:szCs w:val="24"/>
        </w:rPr>
        <w:t xml:space="preserve"> </w:t>
      </w:r>
      <w:r>
        <w:rPr>
          <w:rFonts w:ascii="新宋体" w:hAnsi="新宋体" w:eastAsia="新宋体" w:cs="新宋体"/>
          <w:color w:val="auto"/>
          <w:spacing w:val="-4"/>
          <w:sz w:val="24"/>
          <w:szCs w:val="24"/>
        </w:rPr>
        <w:t>开挖换土。补种树木</w:t>
      </w:r>
      <w:r>
        <w:rPr>
          <w:rFonts w:ascii="新宋体" w:hAnsi="新宋体" w:eastAsia="新宋体" w:cs="新宋体"/>
          <w:color w:val="auto"/>
          <w:spacing w:val="-7"/>
          <w:sz w:val="24"/>
          <w:szCs w:val="24"/>
        </w:rPr>
        <w:t>如需换土，则必须按照合同约定进行种植土置换。种植回</w:t>
      </w:r>
      <w:r>
        <w:rPr>
          <w:rFonts w:ascii="新宋体" w:hAnsi="新宋体" w:eastAsia="新宋体" w:cs="新宋体"/>
          <w:color w:val="auto"/>
          <w:spacing w:val="-8"/>
          <w:sz w:val="24"/>
          <w:szCs w:val="24"/>
        </w:rPr>
        <w:t>填土方采用松散、肥沃、</w:t>
      </w:r>
      <w:r>
        <w:rPr>
          <w:rFonts w:hint="eastAsia" w:ascii="新宋体" w:hAnsi="新宋体" w:eastAsia="新宋体" w:cs="新宋体"/>
          <w:color w:val="auto"/>
          <w:kern w:val="0"/>
          <w:sz w:val="24"/>
          <w:szCs w:val="24"/>
          <w:lang w:val="en-US" w:eastAsia="zh-CN" w:bidi="ar-SA"/>
        </w:rPr>
        <w:t>富含有机质、具有透气作用的土壤，能帮助植物生长，不含有盐、碱土，且无有害物质以及垃圾杂物等，严禁使用沙土、贫瘠土壤。</w:t>
      </w:r>
    </w:p>
    <w:p w14:paraId="2568A96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3.工程所需苗木、材料以及设施、设备均由成交单位自行采购，本地苗木必须有苗木产地检验检疫证，外地调运苗木必须开具检疫要求书，出具苗木调运检疫证，产品质量必须符合国家标准，有外地技术检测报告、质量管理体系认证证书。苗木品种规格必须按甲方要求提供，不得私自改换品种。没有苗木检验检疫证则不予验收。</w:t>
      </w:r>
    </w:p>
    <w:p w14:paraId="564DC78E">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4.栽植苗木必须达到招标规定要求，苗木高度、冠幅、分枝等按品种要求规定执行，乔木栽植必须为树干通直、树形优美无病虫害苗木，所有起苗后根系保持完好，装车前根系须用泥浆蘸根，以保护根系，确保苗木不能失水。苗木品种必须按甲方要求提供，不得私自改换品种。若苗木品种、规格及数量达不到甲方招标文件要求则不予验收，不合格苗木不结算工程款。</w:t>
      </w:r>
    </w:p>
    <w:p w14:paraId="5ABC1A4B">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5.栽植后要将苗木根系踩实，阔叶树及 2.5 米以上的常青树要用撑杆固定，支撑材料、高度、大小必须一致，以防止灌水后倒伏，灌水后若出现倒伏现象，要及时扶正。</w:t>
      </w:r>
    </w:p>
    <w:p w14:paraId="154A76B5">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6.苗木管护期为一个生长周期，在苗木栽植验收结束后算起，确保苗木成活率达到 100%，管护期内由施工方承担绿地内苗木养护，包含浇水、防虫、抹芽、修剪、除草、卫生保洁等。卫生保洁不及时若发现一次则扣除工程款 500元。</w:t>
      </w:r>
    </w:p>
    <w:p w14:paraId="105352A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7.严格按照甲方招标文件采购内容、品种、规格、数量及甲方负责人要求施工，工程质量符合标准，若工程量超出甲方招标采购数量则由乙方自行</w:t>
      </w:r>
      <w:r>
        <w:rPr>
          <w:rFonts w:ascii="新宋体" w:hAnsi="新宋体" w:eastAsia="新宋体" w:cs="新宋体"/>
          <w:color w:val="auto"/>
          <w:kern w:val="0"/>
          <w:sz w:val="24"/>
          <w:szCs w:val="24"/>
          <w:lang w:val="en-US" w:eastAsia="zh-CN" w:bidi="ar-SA"/>
        </w:rPr>
        <w:t>承担，甲方不再追加工程量。</w:t>
      </w:r>
    </w:p>
    <w:p w14:paraId="7152380B">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8.在现场施工中如遇一些不可预测及隐蔽工程项目，在未计入采购文件的项目则由乙方自行承担费用将其施工完成，甲方不再另行追加费用。</w:t>
      </w:r>
    </w:p>
    <w:p w14:paraId="5A398449">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9.施工过程中要注意安全，设立施工安全标识，保证地上地下物以及施工人员的安全，树穴挖出的渣土废料堆放不得超过 2 日，堆放必须整齐。每拖延一天则扣除工程款 500元。</w:t>
      </w:r>
    </w:p>
    <w:bookmarkEnd w:id="142"/>
    <w:bookmarkEnd w:id="143"/>
    <w:p w14:paraId="5B95E861">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b/>
          <w:bCs/>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第四条：服务要求</w:t>
      </w:r>
    </w:p>
    <w:p w14:paraId="3D23B6E6">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工程质量达到园林绿化验收规范、综合评定的合格等级。</w:t>
      </w:r>
    </w:p>
    <w:p w14:paraId="1E285FCD">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第五条：付款方式</w:t>
      </w:r>
    </w:p>
    <w:p w14:paraId="51B579F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宋体" w:hAnsi="宋体" w:cs="宋体"/>
          <w:snapToGrid w:val="0"/>
          <w:color w:val="auto"/>
          <w:kern w:val="0"/>
          <w:sz w:val="24"/>
          <w:szCs w:val="24"/>
          <w:lang w:val="en-US" w:eastAsia="zh-CN"/>
        </w:rPr>
        <w:t>合同签订生效支付合同总额的40%；工程完工验收通过后，经审计定价，支付至审计价的97%，剩余审计价的3%一年后付清</w:t>
      </w:r>
      <w:r>
        <w:rPr>
          <w:rFonts w:hint="eastAsia" w:ascii="Times New Roman" w:hAnsi="宋体" w:cs="Times New Roman"/>
          <w:b w:val="0"/>
          <w:bCs/>
          <w:color w:val="auto"/>
          <w:sz w:val="24"/>
          <w:szCs w:val="24"/>
          <w:lang w:val="en-US" w:eastAsia="zh-CN"/>
        </w:rPr>
        <w:t>。</w:t>
      </w:r>
    </w:p>
    <w:p w14:paraId="28E371AC">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b/>
          <w:bCs/>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第六条：双方权利及义务</w:t>
      </w:r>
    </w:p>
    <w:p w14:paraId="4EE481E2">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新宋体" w:hAnsi="新宋体" w:eastAsia="新宋体" w:cs="新宋体"/>
          <w:color w:val="auto"/>
          <w:kern w:val="0"/>
          <w:sz w:val="24"/>
          <w:szCs w:val="24"/>
          <w:lang w:val="en-US" w:eastAsia="zh-CN" w:bidi="ar-SA"/>
        </w:rPr>
        <w:t>1.甲方无正当理由延期验收、不履行合同或提</w:t>
      </w:r>
      <w:r>
        <w:rPr>
          <w:rFonts w:hint="eastAsia" w:ascii="宋体" w:hAnsi="宋体" w:eastAsia="宋体" w:cs="宋体"/>
          <w:snapToGrid w:val="0"/>
          <w:color w:val="auto"/>
          <w:kern w:val="0"/>
          <w:sz w:val="24"/>
          <w:szCs w:val="24"/>
        </w:rPr>
        <w:t>出合同以外的不合理要求的，一经查实，按延期验收时间，甲方向乙方每日偿付合同价款总额 1‰的违约金，并承担相关费用。</w:t>
      </w:r>
    </w:p>
    <w:p w14:paraId="5CFFEB9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2.乙方必须按照工程规格、质量有关规定和时限要求开工竣工。乙方在工程建设过程中，发生工伤事故及损毁其他设施的事件，其责任由乙方承担并负责修复，甲方不承担任何责任。</w:t>
      </w:r>
    </w:p>
    <w:p w14:paraId="4EAF4C4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3.乙方在工程用苗木运到后，应及时通知甲方进行检验，甲方指派验收技术人员，按合同约定苗木质量标准随机抽验，抽验合格后，乙方方可栽植，若抽验苗木不合格，甲方有权要求更换，乙方拒绝更换的甲方可按不合格苗木不予结算工程款，由此造成的损失由乙方承担。</w:t>
      </w:r>
    </w:p>
    <w:p w14:paraId="02F77BF3">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4.因施工质量等问题引起甲方投诉，拒不整改的或造成人身伤亡等重大安全责任事故的，按国家有关法律法规追究乙方责任。</w:t>
      </w:r>
    </w:p>
    <w:p w14:paraId="285B9DB3">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5.在施工过程中因乙方工程质量不符合技术要求，甲方及技术人员有权要求停工、返工，乙方拒不整改的，甲方有权单方面终止合同，终止合同的书面通知送达三天后，甲方即可自行安排其他施工单位施工。</w:t>
      </w:r>
    </w:p>
    <w:p w14:paraId="08D8623E">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6.严格按照合同工期施工，因乙方原因违反合同工期要求的，每延误一天处罚工程总造价 1%的违约金。如延误 10 个工作日后乙方还不能完工，甲方有权单方面终止施工合同并扣除履约保证金，已产生的工程费用损失由乙方承担。</w:t>
      </w:r>
    </w:p>
    <w:p w14:paraId="13123BF5">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7.乙方有独立组织施工的权利，在施工过程中随时接受甲方的监督检查。工程中使用的所有材料须经甲方认可，不得偷工减料。施工过程中损毁的路面、道牙、供水等设施均由乙方无偿修复或更换。</w:t>
      </w:r>
    </w:p>
    <w:p w14:paraId="3E80D9B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8.乙方负责施工的现场管理，施工中要集中人力，按甲方要求的时间完工，不得拖延，施工现场要随时清扫外运干净。安装工程开工前要树立安全警示牌或拉警戒线，以确保施工现场安全，否则不予开工。</w:t>
      </w:r>
    </w:p>
    <w:p w14:paraId="4E34310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9.乙方在施工过程中，应做好地上市政设施及地下埋压物（如电缆、光缆等）的保护工作，若造成损毁或损坏，一切责任由乙方承担。</w:t>
      </w:r>
    </w:p>
    <w:p w14:paraId="3E4B3CCF">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10.乙方所承包的工程，不得分包或转包。</w:t>
      </w:r>
    </w:p>
    <w:p w14:paraId="6E5EA17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rPr>
        <w:t>11.乙方不得拖欠劳动者工资及材料款，因此造成的纠纷由乙方负责</w:t>
      </w:r>
      <w:r>
        <w:rPr>
          <w:rFonts w:hint="eastAsia" w:ascii="宋体" w:hAnsi="宋体" w:cs="宋体"/>
          <w:snapToGrid w:val="0"/>
          <w:color w:val="auto"/>
          <w:kern w:val="0"/>
          <w:sz w:val="24"/>
          <w:szCs w:val="24"/>
          <w:lang w:eastAsia="zh-CN"/>
        </w:rPr>
        <w:t>。</w:t>
      </w:r>
    </w:p>
    <w:p w14:paraId="302C249C">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12.乙方不得擅自更改项目的品种、质量标准及规格要求，否则视为违约，除不予支付苗木供应款外同时承担违约责任。</w:t>
      </w:r>
    </w:p>
    <w:p w14:paraId="23B3461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w:t>
      </w:r>
      <w:r>
        <w:rPr>
          <w:rFonts w:hint="eastAsia" w:ascii="宋体" w:hAnsi="宋体" w:cs="宋体"/>
          <w:snapToGrid w:val="0"/>
          <w:color w:val="auto"/>
          <w:kern w:val="0"/>
          <w:sz w:val="24"/>
          <w:szCs w:val="24"/>
          <w:lang w:val="en-US" w:eastAsia="zh-CN"/>
        </w:rPr>
        <w:t>3</w:t>
      </w:r>
      <w:r>
        <w:rPr>
          <w:rFonts w:hint="eastAsia" w:ascii="宋体" w:hAnsi="宋体" w:eastAsia="宋体" w:cs="宋体"/>
          <w:snapToGrid w:val="0"/>
          <w:color w:val="auto"/>
          <w:kern w:val="0"/>
          <w:sz w:val="24"/>
          <w:szCs w:val="24"/>
        </w:rPr>
        <w:t>.乙方应将所供货物的质量检测报告及相关资料等交付给甲方和使用单位；乙方不能完整交付货物及本款规定的检测报告的，视为未按合同约定供货，乙方必须负责补齐，因此导致逾期交付的，由乙方承担相关的违约责任。</w:t>
      </w:r>
    </w:p>
    <w:p w14:paraId="1BBB40FF">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w:t>
      </w:r>
      <w:r>
        <w:rPr>
          <w:rFonts w:hint="eastAsia" w:ascii="宋体" w:hAnsi="宋体" w:eastAsia="宋体" w:cs="宋体"/>
          <w:snapToGrid w:val="0"/>
          <w:color w:val="auto"/>
          <w:kern w:val="0"/>
          <w:sz w:val="24"/>
          <w:szCs w:val="24"/>
          <w:lang w:val="en-US" w:eastAsia="zh-CN"/>
        </w:rPr>
        <w:t>4</w:t>
      </w:r>
      <w:r>
        <w:rPr>
          <w:rFonts w:hint="eastAsia" w:ascii="宋体" w:hAnsi="宋体" w:eastAsia="宋体" w:cs="宋体"/>
          <w:snapToGrid w:val="0"/>
          <w:color w:val="auto"/>
          <w:kern w:val="0"/>
          <w:sz w:val="24"/>
          <w:szCs w:val="24"/>
        </w:rPr>
        <w:t>.其他违约行为，按国家有关法律法规承担责任。</w:t>
      </w:r>
    </w:p>
    <w:p w14:paraId="49D6C861">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第七条：安全责任</w:t>
      </w:r>
    </w:p>
    <w:p w14:paraId="16AEBDFD">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在施工过程中，乙方要设立安全标志，并负责施工现场施工人员及其他人员的安全，若发生事故，乙方承担全部责任，甲方概不负责。</w:t>
      </w:r>
    </w:p>
    <w:p w14:paraId="0A2C4EC9">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第八条：其他</w:t>
      </w:r>
    </w:p>
    <w:p w14:paraId="783C28A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乙方必须按甲方确定的时间按时开工，按有关技术要求抓好进度。</w:t>
      </w:r>
    </w:p>
    <w:p w14:paraId="658C16A9">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第九条</w:t>
      </w:r>
      <w:r>
        <w:rPr>
          <w:rFonts w:hint="eastAsia" w:ascii="宋体" w:hAnsi="宋体" w:eastAsia="宋体" w:cs="宋体"/>
          <w:b/>
          <w:bCs/>
          <w:snapToGrid w:val="0"/>
          <w:color w:val="auto"/>
          <w:kern w:val="0"/>
          <w:sz w:val="24"/>
          <w:szCs w:val="24"/>
          <w:lang w:eastAsia="zh-CN"/>
        </w:rPr>
        <w:t>：</w:t>
      </w:r>
      <w:r>
        <w:rPr>
          <w:rFonts w:hint="eastAsia" w:ascii="宋体" w:hAnsi="宋体" w:eastAsia="宋体" w:cs="宋体"/>
          <w:b/>
          <w:bCs/>
          <w:snapToGrid w:val="0"/>
          <w:color w:val="auto"/>
          <w:kern w:val="0"/>
          <w:sz w:val="24"/>
          <w:szCs w:val="24"/>
        </w:rPr>
        <w:t>协议附件：</w:t>
      </w:r>
      <w:r>
        <w:rPr>
          <w:rFonts w:hint="eastAsia" w:ascii="宋体" w:hAnsi="宋体" w:eastAsia="宋体" w:cs="宋体"/>
          <w:snapToGrid w:val="0"/>
          <w:color w:val="auto"/>
          <w:kern w:val="0"/>
          <w:sz w:val="24"/>
          <w:szCs w:val="24"/>
        </w:rPr>
        <w:t>下列文件与本协议具有同等法律效力。</w:t>
      </w:r>
    </w:p>
    <w:p w14:paraId="09F4EAC9">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rPr>
        <w:t>1.</w:t>
      </w:r>
      <w:r>
        <w:rPr>
          <w:rFonts w:hint="eastAsia" w:ascii="宋体" w:hAnsi="宋体" w:eastAsia="宋体" w:cs="宋体"/>
          <w:snapToGrid w:val="0"/>
          <w:color w:val="auto"/>
          <w:kern w:val="0"/>
          <w:sz w:val="24"/>
          <w:szCs w:val="24"/>
          <w:lang w:val="en-US" w:eastAsia="zh-CN"/>
        </w:rPr>
        <w:t>采购</w:t>
      </w:r>
      <w:r>
        <w:rPr>
          <w:rFonts w:hint="eastAsia" w:ascii="宋体" w:hAnsi="宋体" w:eastAsia="宋体" w:cs="宋体"/>
          <w:snapToGrid w:val="0"/>
          <w:color w:val="auto"/>
          <w:kern w:val="0"/>
          <w:sz w:val="24"/>
          <w:szCs w:val="24"/>
        </w:rPr>
        <w:t>文件</w:t>
      </w:r>
      <w:r>
        <w:rPr>
          <w:rFonts w:hint="eastAsia" w:ascii="宋体" w:hAnsi="宋体" w:eastAsia="宋体" w:cs="宋体"/>
          <w:snapToGrid w:val="0"/>
          <w:color w:val="auto"/>
          <w:kern w:val="0"/>
          <w:sz w:val="24"/>
          <w:szCs w:val="24"/>
          <w:lang w:eastAsia="zh-CN"/>
        </w:rPr>
        <w:t>；</w:t>
      </w:r>
    </w:p>
    <w:p w14:paraId="2C7F9D12">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2.</w:t>
      </w:r>
      <w:r>
        <w:rPr>
          <w:rFonts w:hint="eastAsia" w:ascii="宋体" w:hAnsi="宋体" w:eastAsia="宋体" w:cs="宋体"/>
          <w:snapToGrid w:val="0"/>
          <w:color w:val="auto"/>
          <w:kern w:val="0"/>
          <w:sz w:val="24"/>
          <w:szCs w:val="24"/>
          <w:lang w:val="en-US" w:eastAsia="zh-CN"/>
        </w:rPr>
        <w:t>响应</w:t>
      </w:r>
      <w:r>
        <w:rPr>
          <w:rFonts w:hint="eastAsia" w:ascii="宋体" w:hAnsi="宋体" w:eastAsia="宋体" w:cs="宋体"/>
          <w:snapToGrid w:val="0"/>
          <w:color w:val="auto"/>
          <w:kern w:val="0"/>
          <w:sz w:val="24"/>
          <w:szCs w:val="24"/>
        </w:rPr>
        <w:t>文件；</w:t>
      </w:r>
    </w:p>
    <w:p w14:paraId="07DE2E87">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3.投标报价、质量、安全及服务承诺等；</w:t>
      </w:r>
    </w:p>
    <w:p w14:paraId="472A2D60">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第十条</w:t>
      </w:r>
      <w:r>
        <w:rPr>
          <w:rFonts w:hint="eastAsia" w:ascii="宋体" w:hAnsi="宋体" w:eastAsia="宋体" w:cs="宋体"/>
          <w:b/>
          <w:bCs/>
          <w:snapToGrid w:val="0"/>
          <w:color w:val="auto"/>
          <w:kern w:val="0"/>
          <w:sz w:val="24"/>
          <w:szCs w:val="24"/>
          <w:lang w:eastAsia="zh-CN"/>
        </w:rPr>
        <w:t>：</w:t>
      </w:r>
      <w:r>
        <w:rPr>
          <w:rFonts w:hint="eastAsia" w:ascii="宋体" w:hAnsi="宋体" w:eastAsia="宋体" w:cs="宋体"/>
          <w:snapToGrid w:val="0"/>
          <w:color w:val="auto"/>
          <w:kern w:val="0"/>
          <w:sz w:val="24"/>
          <w:szCs w:val="24"/>
        </w:rPr>
        <w:t>本合同发生的任何争议，均由双方友好协商解决；协商不成，则任何一方可向</w:t>
      </w:r>
      <w:r>
        <w:rPr>
          <w:rFonts w:hint="eastAsia" w:ascii="宋体" w:hAnsi="宋体" w:eastAsia="宋体" w:cs="宋体"/>
          <w:snapToGrid w:val="0"/>
          <w:color w:val="auto"/>
          <w:kern w:val="0"/>
          <w:sz w:val="24"/>
          <w:szCs w:val="24"/>
          <w:lang w:val="en-US" w:eastAsia="zh-CN"/>
        </w:rPr>
        <w:t>甲方所在地</w:t>
      </w:r>
      <w:r>
        <w:rPr>
          <w:rFonts w:hint="eastAsia" w:ascii="宋体" w:hAnsi="宋体" w:eastAsia="宋体" w:cs="宋体"/>
          <w:snapToGrid w:val="0"/>
          <w:color w:val="auto"/>
          <w:kern w:val="0"/>
          <w:sz w:val="24"/>
          <w:szCs w:val="24"/>
        </w:rPr>
        <w:t>人民法院提起诉讼。</w:t>
      </w:r>
    </w:p>
    <w:p w14:paraId="0DFDE964">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第十一条，本合同经甲、乙双方签字，并加盖公章即为生效。</w:t>
      </w:r>
    </w:p>
    <w:p w14:paraId="026DCAF7">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第十二条，本合同一式</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份，甲方执</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份，乙方执</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w:t>
      </w:r>
    </w:p>
    <w:p w14:paraId="6BC3C627">
      <w:pPr>
        <w:keepNext w:val="0"/>
        <w:keepLines w:val="0"/>
        <w:pageBreakBefore w:val="0"/>
        <w:kinsoku/>
        <w:wordWrap/>
        <w:overflowPunct/>
        <w:topLinePunct w:val="0"/>
        <w:autoSpaceDE w:val="0"/>
        <w:autoSpaceDN w:val="0"/>
        <w:bidi w:val="0"/>
        <w:adjustRightInd/>
        <w:snapToGrid w:val="0"/>
        <w:spacing w:line="500" w:lineRule="exact"/>
        <w:ind w:left="0" w:right="0" w:firstLine="2073" w:firstLineChars="864"/>
        <w:jc w:val="left"/>
        <w:textAlignment w:val="auto"/>
        <w:rPr>
          <w:rFonts w:hint="eastAsia" w:ascii="宋体" w:hAnsi="宋体" w:eastAsia="宋体" w:cs="宋体"/>
          <w:snapToGrid w:val="0"/>
          <w:color w:val="auto"/>
          <w:kern w:val="0"/>
          <w:sz w:val="24"/>
          <w:szCs w:val="24"/>
        </w:rPr>
      </w:pPr>
    </w:p>
    <w:p w14:paraId="6A89EFDB">
      <w:pPr>
        <w:keepNext w:val="0"/>
        <w:keepLines w:val="0"/>
        <w:pageBreakBefore w:val="0"/>
        <w:kinsoku/>
        <w:wordWrap/>
        <w:overflowPunct/>
        <w:topLinePunct w:val="0"/>
        <w:autoSpaceDE w:val="0"/>
        <w:autoSpaceDN w:val="0"/>
        <w:bidi w:val="0"/>
        <w:adjustRightInd/>
        <w:snapToGrid w:val="0"/>
        <w:spacing w:line="500" w:lineRule="exact"/>
        <w:ind w:left="0" w:right="0" w:firstLine="2073" w:firstLineChars="864"/>
        <w:jc w:val="left"/>
        <w:textAlignment w:val="auto"/>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rPr>
        <w:t>（以下无正文）</w:t>
      </w:r>
    </w:p>
    <w:p w14:paraId="1E891287">
      <w:pPr>
        <w:spacing w:before="78" w:line="219" w:lineRule="auto"/>
        <w:ind w:left="867"/>
        <w:rPr>
          <w:rFonts w:ascii="新宋体" w:hAnsi="新宋体" w:eastAsia="新宋体" w:cs="新宋体"/>
          <w:color w:val="auto"/>
          <w:spacing w:val="-8"/>
          <w:sz w:val="24"/>
          <w:szCs w:val="24"/>
        </w:rPr>
      </w:pPr>
    </w:p>
    <w:p w14:paraId="268B4737">
      <w:pPr>
        <w:spacing w:before="78" w:line="219" w:lineRule="auto"/>
        <w:rPr>
          <w:rFonts w:ascii="新宋体" w:hAnsi="新宋体" w:eastAsia="新宋体" w:cs="新宋体"/>
          <w:color w:val="auto"/>
          <w:sz w:val="24"/>
          <w:szCs w:val="24"/>
        </w:rPr>
      </w:pPr>
      <w:r>
        <w:rPr>
          <w:rFonts w:ascii="新宋体" w:hAnsi="新宋体" w:eastAsia="新宋体" w:cs="新宋体"/>
          <w:color w:val="auto"/>
          <w:spacing w:val="-8"/>
          <w:sz w:val="24"/>
          <w:szCs w:val="24"/>
        </w:rPr>
        <w:t>甲方（公章</w:t>
      </w:r>
      <w:r>
        <w:rPr>
          <w:rFonts w:ascii="新宋体" w:hAnsi="新宋体" w:eastAsia="新宋体" w:cs="新宋体"/>
          <w:color w:val="auto"/>
          <w:spacing w:val="1"/>
          <w:sz w:val="24"/>
          <w:szCs w:val="24"/>
        </w:rPr>
        <w:t>）：</w:t>
      </w:r>
      <w:r>
        <w:rPr>
          <w:rFonts w:ascii="新宋体" w:hAnsi="新宋体" w:eastAsia="新宋体" w:cs="新宋体"/>
          <w:color w:val="auto"/>
          <w:spacing w:val="2"/>
          <w:sz w:val="24"/>
          <w:szCs w:val="24"/>
        </w:rPr>
        <w:t xml:space="preserve">                 </w:t>
      </w:r>
      <w:r>
        <w:rPr>
          <w:rFonts w:hint="eastAsia" w:ascii="新宋体" w:hAnsi="新宋体" w:eastAsia="新宋体" w:cs="新宋体"/>
          <w:color w:val="auto"/>
          <w:spacing w:val="2"/>
          <w:sz w:val="24"/>
          <w:szCs w:val="24"/>
          <w:lang w:val="en-US" w:eastAsia="zh-CN"/>
        </w:rPr>
        <w:t xml:space="preserve">       </w:t>
      </w:r>
      <w:r>
        <w:rPr>
          <w:rFonts w:ascii="新宋体" w:hAnsi="新宋体" w:eastAsia="新宋体" w:cs="新宋体"/>
          <w:color w:val="auto"/>
          <w:spacing w:val="-8"/>
          <w:sz w:val="24"/>
          <w:szCs w:val="24"/>
        </w:rPr>
        <w:t>乙方（公章</w:t>
      </w:r>
      <w:r>
        <w:rPr>
          <w:rFonts w:ascii="新宋体" w:hAnsi="新宋体" w:eastAsia="新宋体" w:cs="新宋体"/>
          <w:color w:val="auto"/>
          <w:spacing w:val="1"/>
          <w:sz w:val="24"/>
          <w:szCs w:val="24"/>
        </w:rPr>
        <w:t>）：</w:t>
      </w:r>
    </w:p>
    <w:p w14:paraId="29249862">
      <w:pPr>
        <w:spacing w:before="237" w:line="219" w:lineRule="auto"/>
        <w:rPr>
          <w:rFonts w:ascii="新宋体" w:hAnsi="新宋体" w:eastAsia="新宋体" w:cs="新宋体"/>
          <w:color w:val="auto"/>
          <w:sz w:val="24"/>
          <w:szCs w:val="24"/>
        </w:rPr>
      </w:pPr>
      <w:r>
        <w:rPr>
          <w:rFonts w:ascii="新宋体" w:hAnsi="新宋体" w:eastAsia="新宋体" w:cs="新宋体"/>
          <w:color w:val="auto"/>
          <w:sz w:val="24"/>
          <w:szCs w:val="24"/>
        </w:rPr>
        <w:t xml:space="preserve">法定代表人或             </w:t>
      </w:r>
      <w:r>
        <w:rPr>
          <w:rFonts w:ascii="新宋体" w:hAnsi="新宋体" w:eastAsia="新宋体" w:cs="新宋体"/>
          <w:color w:val="auto"/>
          <w:spacing w:val="-1"/>
          <w:sz w:val="24"/>
          <w:szCs w:val="24"/>
        </w:rPr>
        <w:t xml:space="preserve">      </w:t>
      </w:r>
      <w:r>
        <w:rPr>
          <w:rFonts w:hint="eastAsia" w:ascii="新宋体" w:hAnsi="新宋体" w:eastAsia="新宋体" w:cs="新宋体"/>
          <w:color w:val="auto"/>
          <w:spacing w:val="-1"/>
          <w:sz w:val="24"/>
          <w:szCs w:val="24"/>
          <w:lang w:val="en-US" w:eastAsia="zh-CN"/>
        </w:rPr>
        <w:t xml:space="preserve">       </w:t>
      </w:r>
      <w:r>
        <w:rPr>
          <w:rFonts w:ascii="新宋体" w:hAnsi="新宋体" w:eastAsia="新宋体" w:cs="新宋体"/>
          <w:color w:val="auto"/>
          <w:spacing w:val="-1"/>
          <w:sz w:val="24"/>
          <w:szCs w:val="24"/>
        </w:rPr>
        <w:t>法定代表人或</w:t>
      </w:r>
    </w:p>
    <w:p w14:paraId="5A24B8DC">
      <w:pPr>
        <w:spacing w:before="234" w:line="219" w:lineRule="auto"/>
        <w:rPr>
          <w:rFonts w:ascii="新宋体" w:hAnsi="新宋体" w:eastAsia="新宋体" w:cs="新宋体"/>
          <w:color w:val="auto"/>
          <w:sz w:val="24"/>
          <w:szCs w:val="24"/>
        </w:rPr>
      </w:pPr>
      <w:r>
        <w:rPr>
          <w:rFonts w:ascii="新宋体" w:hAnsi="新宋体" w:eastAsia="新宋体" w:cs="新宋体"/>
          <w:color w:val="auto"/>
          <w:spacing w:val="-2"/>
          <w:sz w:val="24"/>
          <w:szCs w:val="24"/>
        </w:rPr>
        <w:t>委托代理人（签字</w:t>
      </w:r>
      <w:r>
        <w:rPr>
          <w:rFonts w:ascii="新宋体" w:hAnsi="新宋体" w:eastAsia="新宋体" w:cs="新宋体"/>
          <w:color w:val="auto"/>
          <w:spacing w:val="3"/>
          <w:sz w:val="24"/>
          <w:szCs w:val="24"/>
        </w:rPr>
        <w:t>）：</w:t>
      </w:r>
      <w:r>
        <w:rPr>
          <w:rFonts w:ascii="新宋体" w:hAnsi="新宋体" w:eastAsia="新宋体" w:cs="新宋体"/>
          <w:color w:val="auto"/>
          <w:sz w:val="24"/>
          <w:szCs w:val="24"/>
        </w:rPr>
        <w:t xml:space="preserve">           </w:t>
      </w:r>
      <w:r>
        <w:rPr>
          <w:rFonts w:hint="eastAsia" w:ascii="新宋体" w:hAnsi="新宋体" w:eastAsia="新宋体" w:cs="新宋体"/>
          <w:color w:val="auto"/>
          <w:sz w:val="24"/>
          <w:szCs w:val="24"/>
          <w:lang w:val="en-US" w:eastAsia="zh-CN"/>
        </w:rPr>
        <w:t xml:space="preserve">       </w:t>
      </w:r>
      <w:r>
        <w:rPr>
          <w:rFonts w:ascii="新宋体" w:hAnsi="新宋体" w:eastAsia="新宋体" w:cs="新宋体"/>
          <w:color w:val="auto"/>
          <w:spacing w:val="-2"/>
          <w:sz w:val="24"/>
          <w:szCs w:val="24"/>
        </w:rPr>
        <w:t>委托代理人（签字</w:t>
      </w:r>
      <w:r>
        <w:rPr>
          <w:rFonts w:ascii="新宋体" w:hAnsi="新宋体" w:eastAsia="新宋体" w:cs="新宋体"/>
          <w:color w:val="auto"/>
          <w:spacing w:val="3"/>
          <w:sz w:val="24"/>
          <w:szCs w:val="24"/>
        </w:rPr>
        <w:t>）：</w:t>
      </w:r>
    </w:p>
    <w:p w14:paraId="4D9646ED">
      <w:pPr>
        <w:spacing w:before="236" w:line="221" w:lineRule="auto"/>
        <w:rPr>
          <w:rFonts w:ascii="新宋体" w:hAnsi="新宋体" w:eastAsia="新宋体" w:cs="新宋体"/>
          <w:color w:val="auto"/>
          <w:sz w:val="24"/>
          <w:szCs w:val="24"/>
        </w:rPr>
      </w:pPr>
      <w:r>
        <w:rPr>
          <w:rFonts w:ascii="新宋体" w:hAnsi="新宋体" w:eastAsia="新宋体" w:cs="新宋体"/>
          <w:color w:val="auto"/>
          <w:spacing w:val="-11"/>
          <w:sz w:val="24"/>
          <w:szCs w:val="24"/>
        </w:rPr>
        <w:t>电</w:t>
      </w:r>
      <w:r>
        <w:rPr>
          <w:rFonts w:ascii="新宋体" w:hAnsi="新宋体" w:eastAsia="新宋体" w:cs="新宋体"/>
          <w:color w:val="auto"/>
          <w:spacing w:val="2"/>
          <w:sz w:val="24"/>
          <w:szCs w:val="24"/>
        </w:rPr>
        <w:t xml:space="preserve">    </w:t>
      </w:r>
      <w:r>
        <w:rPr>
          <w:rFonts w:ascii="新宋体" w:hAnsi="新宋体" w:eastAsia="新宋体" w:cs="新宋体"/>
          <w:color w:val="auto"/>
          <w:spacing w:val="-11"/>
          <w:sz w:val="24"/>
          <w:szCs w:val="24"/>
        </w:rPr>
        <w:t>话</w:t>
      </w:r>
      <w:r>
        <w:rPr>
          <w:rFonts w:ascii="新宋体" w:hAnsi="新宋体" w:eastAsia="新宋体" w:cs="新宋体"/>
          <w:color w:val="auto"/>
          <w:spacing w:val="-88"/>
          <w:sz w:val="24"/>
          <w:szCs w:val="24"/>
        </w:rPr>
        <w:t xml:space="preserve"> </w:t>
      </w:r>
      <w:r>
        <w:rPr>
          <w:rFonts w:ascii="新宋体" w:hAnsi="新宋体" w:eastAsia="新宋体" w:cs="新宋体"/>
          <w:color w:val="auto"/>
          <w:spacing w:val="-11"/>
          <w:sz w:val="24"/>
          <w:szCs w:val="24"/>
        </w:rPr>
        <w:t xml:space="preserve">：                 </w:t>
      </w:r>
      <w:r>
        <w:rPr>
          <w:rFonts w:ascii="新宋体" w:hAnsi="新宋体" w:eastAsia="新宋体" w:cs="新宋体"/>
          <w:color w:val="auto"/>
          <w:spacing w:val="-12"/>
          <w:sz w:val="24"/>
          <w:szCs w:val="24"/>
        </w:rPr>
        <w:t xml:space="preserve">      </w:t>
      </w:r>
      <w:r>
        <w:rPr>
          <w:rFonts w:hint="eastAsia" w:ascii="新宋体" w:hAnsi="新宋体" w:eastAsia="新宋体" w:cs="新宋体"/>
          <w:color w:val="auto"/>
          <w:spacing w:val="-12"/>
          <w:sz w:val="24"/>
          <w:szCs w:val="24"/>
          <w:lang w:val="en-US" w:eastAsia="zh-CN"/>
        </w:rPr>
        <w:t xml:space="preserve">           </w:t>
      </w:r>
      <w:r>
        <w:rPr>
          <w:rFonts w:ascii="新宋体" w:hAnsi="新宋体" w:eastAsia="新宋体" w:cs="新宋体"/>
          <w:color w:val="auto"/>
          <w:spacing w:val="-12"/>
          <w:sz w:val="24"/>
          <w:szCs w:val="24"/>
        </w:rPr>
        <w:t>电</w:t>
      </w:r>
      <w:r>
        <w:rPr>
          <w:rFonts w:ascii="新宋体" w:hAnsi="新宋体" w:eastAsia="新宋体" w:cs="新宋体"/>
          <w:color w:val="auto"/>
          <w:spacing w:val="2"/>
          <w:sz w:val="24"/>
          <w:szCs w:val="24"/>
        </w:rPr>
        <w:t xml:space="preserve">    </w:t>
      </w:r>
      <w:r>
        <w:rPr>
          <w:rFonts w:ascii="新宋体" w:hAnsi="新宋体" w:eastAsia="新宋体" w:cs="新宋体"/>
          <w:color w:val="auto"/>
          <w:spacing w:val="-12"/>
          <w:sz w:val="24"/>
          <w:szCs w:val="24"/>
        </w:rPr>
        <w:t>话：</w:t>
      </w:r>
    </w:p>
    <w:p w14:paraId="5DBC87F3">
      <w:pPr>
        <w:spacing w:line="335" w:lineRule="auto"/>
        <w:rPr>
          <w:rFonts w:ascii="Arial"/>
          <w:color w:val="auto"/>
          <w:sz w:val="21"/>
        </w:rPr>
      </w:pPr>
    </w:p>
    <w:p w14:paraId="60710295">
      <w:pPr>
        <w:spacing w:before="79" w:line="219" w:lineRule="auto"/>
        <w:rPr>
          <w:rFonts w:ascii="新宋体" w:hAnsi="新宋体" w:eastAsia="新宋体" w:cs="新宋体"/>
          <w:color w:val="auto"/>
          <w:sz w:val="24"/>
          <w:szCs w:val="24"/>
        </w:rPr>
      </w:pPr>
      <w:r>
        <w:rPr>
          <w:rFonts w:ascii="新宋体" w:hAnsi="新宋体" w:eastAsia="新宋体" w:cs="新宋体"/>
          <w:color w:val="auto"/>
          <w:spacing w:val="-2"/>
          <w:sz w:val="24"/>
          <w:szCs w:val="24"/>
        </w:rPr>
        <w:t>分管领导（签字</w:t>
      </w:r>
      <w:r>
        <w:rPr>
          <w:rFonts w:ascii="新宋体" w:hAnsi="新宋体" w:eastAsia="新宋体" w:cs="新宋体"/>
          <w:color w:val="auto"/>
          <w:sz w:val="24"/>
          <w:szCs w:val="24"/>
        </w:rPr>
        <w:t>）：</w:t>
      </w:r>
    </w:p>
    <w:p w14:paraId="2188F447">
      <w:pPr>
        <w:spacing w:before="236" w:line="219" w:lineRule="auto"/>
        <w:rPr>
          <w:rFonts w:ascii="新宋体" w:hAnsi="新宋体" w:eastAsia="新宋体" w:cs="新宋体"/>
          <w:color w:val="auto"/>
          <w:sz w:val="24"/>
          <w:szCs w:val="24"/>
        </w:rPr>
      </w:pPr>
      <w:r>
        <w:rPr>
          <w:rFonts w:ascii="新宋体" w:hAnsi="新宋体" w:eastAsia="新宋体" w:cs="新宋体"/>
          <w:color w:val="auto"/>
          <w:spacing w:val="-2"/>
          <w:sz w:val="24"/>
          <w:szCs w:val="24"/>
        </w:rPr>
        <w:t>项目负责人（签字</w:t>
      </w:r>
      <w:r>
        <w:rPr>
          <w:rFonts w:ascii="新宋体" w:hAnsi="新宋体" w:eastAsia="新宋体" w:cs="新宋体"/>
          <w:color w:val="auto"/>
          <w:sz w:val="24"/>
          <w:szCs w:val="24"/>
        </w:rPr>
        <w:t>）：</w:t>
      </w:r>
    </w:p>
    <w:p w14:paraId="03A5A0E0">
      <w:pPr>
        <w:spacing w:line="335" w:lineRule="auto"/>
        <w:rPr>
          <w:rFonts w:ascii="Arial"/>
          <w:color w:val="auto"/>
          <w:sz w:val="21"/>
        </w:rPr>
      </w:pPr>
    </w:p>
    <w:p w14:paraId="5B12DC08">
      <w:pPr>
        <w:widowControl/>
        <w:spacing w:line="480" w:lineRule="exact"/>
        <w:jc w:val="left"/>
        <w:rPr>
          <w:rFonts w:hint="eastAsia" w:ascii="宋体" w:hAnsi="宋体" w:eastAsia="宋体" w:cs="宋体"/>
          <w:color w:val="auto"/>
          <w:sz w:val="24"/>
          <w:szCs w:val="24"/>
        </w:rPr>
      </w:pPr>
      <w:r>
        <w:rPr>
          <w:rFonts w:ascii="新宋体" w:hAnsi="新宋体" w:eastAsia="新宋体" w:cs="新宋体"/>
          <w:color w:val="auto"/>
          <w:spacing w:val="-3"/>
          <w:sz w:val="24"/>
          <w:szCs w:val="24"/>
        </w:rPr>
        <w:t>签约时间：    年</w:t>
      </w:r>
      <w:r>
        <w:rPr>
          <w:rFonts w:ascii="新宋体" w:hAnsi="新宋体" w:eastAsia="新宋体" w:cs="新宋体"/>
          <w:color w:val="auto"/>
          <w:spacing w:val="12"/>
          <w:sz w:val="24"/>
          <w:szCs w:val="24"/>
        </w:rPr>
        <w:t xml:space="preserve">  </w:t>
      </w:r>
      <w:r>
        <w:rPr>
          <w:rFonts w:ascii="新宋体" w:hAnsi="新宋体" w:eastAsia="新宋体" w:cs="新宋体"/>
          <w:color w:val="auto"/>
          <w:spacing w:val="-3"/>
          <w:sz w:val="24"/>
          <w:szCs w:val="24"/>
        </w:rPr>
        <w:t>月</w:t>
      </w:r>
      <w:r>
        <w:rPr>
          <w:rFonts w:ascii="新宋体" w:hAnsi="新宋体" w:eastAsia="新宋体" w:cs="新宋体"/>
          <w:color w:val="auto"/>
          <w:spacing w:val="26"/>
          <w:sz w:val="24"/>
          <w:szCs w:val="24"/>
        </w:rPr>
        <w:t xml:space="preserve">  </w:t>
      </w:r>
      <w:r>
        <w:rPr>
          <w:rFonts w:ascii="新宋体" w:hAnsi="新宋体" w:eastAsia="新宋体" w:cs="新宋体"/>
          <w:color w:val="auto"/>
          <w:spacing w:val="-3"/>
          <w:sz w:val="24"/>
          <w:szCs w:val="24"/>
        </w:rPr>
        <w:t>日</w:t>
      </w:r>
    </w:p>
    <w:p w14:paraId="4C0447E9">
      <w:pPr>
        <w:pStyle w:val="33"/>
        <w:rPr>
          <w:rFonts w:hint="eastAsia"/>
          <w:color w:val="auto"/>
        </w:rPr>
      </w:pPr>
      <w:r>
        <w:rPr>
          <w:rFonts w:hint="eastAsia"/>
          <w:color w:val="auto"/>
          <w:sz w:val="24"/>
          <w:szCs w:val="24"/>
        </w:rPr>
        <w:t xml:space="preserve">    </w:t>
      </w:r>
    </w:p>
    <w:p w14:paraId="2352DE9F">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p>
    <w:p w14:paraId="1938E3FB">
      <w:pPr>
        <w:pStyle w:val="22"/>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第七部分 </w:t>
      </w:r>
      <w:r>
        <w:rPr>
          <w:rFonts w:hint="eastAsia" w:eastAsia="宋体"/>
          <w:color w:val="auto"/>
          <w:sz w:val="36"/>
        </w:rPr>
        <w:t xml:space="preserve">  </w:t>
      </w:r>
      <w:bookmarkStart w:id="144" w:name="_Toc7097"/>
      <w:r>
        <w:rPr>
          <w:rFonts w:hint="eastAsia" w:eastAsia="宋体"/>
          <w:color w:val="auto"/>
          <w:sz w:val="36"/>
        </w:rPr>
        <w:t>响应文件格式</w:t>
      </w:r>
      <w:bookmarkEnd w:id="144"/>
    </w:p>
    <w:p w14:paraId="5E0D34AD">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655307F1">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4FB4E78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01FBE90E">
      <w:pPr>
        <w:widowControl/>
        <w:spacing w:line="600" w:lineRule="exact"/>
        <w:rPr>
          <w:rFonts w:cs="仿宋" w:asciiTheme="minorEastAsia" w:hAnsiTheme="minorEastAsia" w:eastAsiaTheme="minorEastAsia"/>
          <w:bCs/>
          <w:color w:val="auto"/>
          <w:spacing w:val="20"/>
          <w:kern w:val="0"/>
          <w:sz w:val="84"/>
          <w:szCs w:val="84"/>
        </w:rPr>
      </w:pPr>
    </w:p>
    <w:p w14:paraId="1A22C426">
      <w:pPr>
        <w:pStyle w:val="5"/>
        <w:rPr>
          <w:color w:val="auto"/>
        </w:rPr>
      </w:pPr>
    </w:p>
    <w:p w14:paraId="45B5413B">
      <w:pPr>
        <w:rPr>
          <w:color w:val="auto"/>
        </w:rPr>
      </w:pPr>
    </w:p>
    <w:p w14:paraId="4E679573">
      <w:pPr>
        <w:pStyle w:val="5"/>
        <w:rPr>
          <w:color w:val="auto"/>
        </w:rPr>
      </w:pPr>
    </w:p>
    <w:p w14:paraId="57B28BA9">
      <w:pPr>
        <w:rPr>
          <w:color w:val="auto"/>
        </w:rPr>
      </w:pPr>
    </w:p>
    <w:p w14:paraId="4E3D65B1">
      <w:pPr>
        <w:adjustRightInd w:val="0"/>
        <w:snapToGrid w:val="0"/>
        <w:spacing w:line="360" w:lineRule="auto"/>
        <w:ind w:right="338" w:rightChars="161"/>
        <w:jc w:val="center"/>
        <w:rPr>
          <w:rFonts w:hint="default" w:ascii="宋体" w:hAnsi="宋体" w:cs="仿宋_GB2312"/>
          <w:color w:val="auto"/>
          <w:sz w:val="24"/>
          <w:lang w:val="en-US"/>
        </w:rPr>
      </w:pPr>
      <w:r>
        <w:rPr>
          <w:rFonts w:hint="eastAsia" w:ascii="宋体" w:hAnsi="宋体" w:cs="宋体"/>
          <w:b/>
          <w:bCs/>
          <w:color w:val="auto"/>
          <w:sz w:val="56"/>
          <w:szCs w:val="56"/>
          <w:u w:val="single"/>
          <w:lang w:val="en-US" w:eastAsia="zh-CN"/>
        </w:rPr>
        <w:t xml:space="preserve">                 </w:t>
      </w:r>
      <w:r>
        <w:rPr>
          <w:rFonts w:hint="eastAsia" w:ascii="宋体" w:hAnsi="宋体" w:cs="宋体"/>
          <w:b/>
          <w:bCs/>
          <w:color w:val="auto"/>
          <w:sz w:val="56"/>
          <w:szCs w:val="56"/>
          <w:u w:val="none"/>
          <w:lang w:val="en-US" w:eastAsia="zh-CN"/>
        </w:rPr>
        <w:t>项目</w:t>
      </w:r>
    </w:p>
    <w:p w14:paraId="096F119E">
      <w:pPr>
        <w:pStyle w:val="20"/>
        <w:jc w:val="center"/>
        <w:rPr>
          <w:rFonts w:ascii="宋体" w:hAnsi="宋体" w:cs="宋体"/>
          <w:b/>
          <w:bCs/>
          <w:color w:val="auto"/>
          <w:sz w:val="48"/>
          <w:szCs w:val="48"/>
        </w:rPr>
      </w:pPr>
    </w:p>
    <w:p w14:paraId="6AAE874C">
      <w:pPr>
        <w:pStyle w:val="20"/>
        <w:rPr>
          <w:color w:val="auto"/>
        </w:rPr>
      </w:pPr>
    </w:p>
    <w:p w14:paraId="7D0D2306">
      <w:pPr>
        <w:pStyle w:val="20"/>
        <w:rPr>
          <w:color w:val="auto"/>
        </w:rPr>
      </w:pPr>
    </w:p>
    <w:p w14:paraId="6D19D898">
      <w:pPr>
        <w:pStyle w:val="20"/>
        <w:rPr>
          <w:color w:val="auto"/>
        </w:rPr>
      </w:pPr>
    </w:p>
    <w:p w14:paraId="76B5CCFC">
      <w:pPr>
        <w:pStyle w:val="20"/>
        <w:rPr>
          <w:color w:val="auto"/>
        </w:rPr>
      </w:pPr>
    </w:p>
    <w:p w14:paraId="66E71B40">
      <w:pPr>
        <w:widowControl/>
        <w:spacing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33AE57BA">
      <w:pPr>
        <w:pStyle w:val="20"/>
        <w:rPr>
          <w:color w:val="auto"/>
        </w:rPr>
      </w:pPr>
    </w:p>
    <w:p w14:paraId="3715206D">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43E31C2">
      <w:pPr>
        <w:widowControl/>
        <w:spacing w:line="400" w:lineRule="exact"/>
        <w:rPr>
          <w:rFonts w:cs="仿宋" w:asciiTheme="minorEastAsia" w:hAnsiTheme="minorEastAsia" w:eastAsiaTheme="minorEastAsia"/>
          <w:bCs/>
          <w:color w:val="auto"/>
          <w:sz w:val="18"/>
          <w:szCs w:val="18"/>
        </w:rPr>
      </w:pPr>
    </w:p>
    <w:p w14:paraId="55C046BC">
      <w:pPr>
        <w:widowControl/>
        <w:spacing w:line="400" w:lineRule="exact"/>
        <w:rPr>
          <w:rFonts w:cs="仿宋" w:asciiTheme="minorEastAsia" w:hAnsiTheme="minorEastAsia" w:eastAsiaTheme="minorEastAsia"/>
          <w:bCs/>
          <w:color w:val="auto"/>
          <w:sz w:val="18"/>
          <w:szCs w:val="18"/>
        </w:rPr>
      </w:pPr>
    </w:p>
    <w:p w14:paraId="3E4199F4">
      <w:pPr>
        <w:widowControl/>
        <w:spacing w:line="400" w:lineRule="exact"/>
        <w:rPr>
          <w:rFonts w:cs="仿宋" w:asciiTheme="minorEastAsia" w:hAnsiTheme="minorEastAsia" w:eastAsiaTheme="minorEastAsia"/>
          <w:bCs/>
          <w:color w:val="auto"/>
          <w:sz w:val="18"/>
          <w:szCs w:val="18"/>
        </w:rPr>
      </w:pPr>
    </w:p>
    <w:p w14:paraId="78137CD6">
      <w:pPr>
        <w:widowControl/>
        <w:spacing w:line="480" w:lineRule="auto"/>
        <w:rPr>
          <w:rFonts w:cs="仿宋" w:asciiTheme="minorEastAsia" w:hAnsiTheme="minorEastAsia" w:eastAsiaTheme="minorEastAsia"/>
          <w:bCs/>
          <w:color w:val="auto"/>
          <w:sz w:val="36"/>
          <w:szCs w:val="36"/>
        </w:rPr>
      </w:pPr>
    </w:p>
    <w:p w14:paraId="15C47E17">
      <w:pPr>
        <w:widowControl/>
        <w:spacing w:line="480" w:lineRule="auto"/>
        <w:rPr>
          <w:rFonts w:cs="仿宋" w:asciiTheme="minorEastAsia" w:hAnsiTheme="minorEastAsia" w:eastAsiaTheme="minorEastAsia"/>
          <w:bCs/>
          <w:color w:val="auto"/>
          <w:sz w:val="36"/>
          <w:szCs w:val="36"/>
        </w:rPr>
      </w:pPr>
    </w:p>
    <w:p w14:paraId="1090E09E">
      <w:pPr>
        <w:pStyle w:val="11"/>
        <w:rPr>
          <w:color w:val="auto"/>
        </w:rPr>
      </w:pPr>
    </w:p>
    <w:p w14:paraId="761316B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____________________________</w:t>
      </w:r>
    </w:p>
    <w:p w14:paraId="0AE9D218">
      <w:pPr>
        <w:snapToGrid w:val="0"/>
        <w:spacing w:line="360" w:lineRule="auto"/>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lang w:val="en-US" w:eastAsia="zh-CN"/>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w:t>
      </w:r>
    </w:p>
    <w:p w14:paraId="26BCD25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________________________________________________________</w:t>
      </w:r>
    </w:p>
    <w:p w14:paraId="43AC6770">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292F6B40">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27E6E44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4E9E1BF4">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Calibri Light" w:hAnsi="Calibri Light" w:eastAsia="宋体" w:cs="Times New Roman"/>
          <w:color w:val="auto"/>
          <w:sz w:val="32"/>
          <w:szCs w:val="32"/>
          <w:lang w:val="en-US" w:eastAsia="zh-CN"/>
        </w:rPr>
        <w:t>已标价工程量清单</w:t>
      </w:r>
    </w:p>
    <w:p w14:paraId="5ABFEB8A">
      <w:pPr>
        <w:pStyle w:val="20"/>
        <w:spacing w:line="360" w:lineRule="auto"/>
        <w:ind w:left="1155" w:leftChars="550"/>
        <w:rPr>
          <w:rFonts w:ascii="宋体" w:hAnsi="宋体"/>
          <w:color w:val="auto"/>
          <w:sz w:val="32"/>
          <w:szCs w:val="28"/>
        </w:rPr>
      </w:pPr>
      <w:r>
        <w:rPr>
          <w:rFonts w:hint="eastAsia" w:ascii="宋体" w:hAnsi="宋体"/>
          <w:color w:val="auto"/>
          <w:sz w:val="32"/>
          <w:szCs w:val="28"/>
        </w:rPr>
        <w:t>第四章</w:t>
      </w:r>
      <w:r>
        <w:rPr>
          <w:rFonts w:hint="eastAsia" w:ascii="宋体" w:hAnsi="宋体"/>
          <w:color w:val="auto"/>
          <w:sz w:val="32"/>
          <w:szCs w:val="28"/>
          <w:lang w:val="en-US" w:eastAsia="zh-CN"/>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资格证明文件</w:t>
      </w:r>
    </w:p>
    <w:p w14:paraId="49DB93BF">
      <w:pPr>
        <w:pStyle w:val="20"/>
        <w:spacing w:line="360" w:lineRule="auto"/>
        <w:ind w:left="1155" w:leftChars="550"/>
        <w:rPr>
          <w:rFonts w:ascii="宋体" w:hAnsi="宋体"/>
          <w:color w:val="auto"/>
          <w:sz w:val="32"/>
          <w:szCs w:val="28"/>
        </w:rPr>
      </w:pPr>
      <w:r>
        <w:rPr>
          <w:rFonts w:hint="eastAsia" w:ascii="宋体" w:hAnsi="宋体"/>
          <w:color w:val="auto"/>
          <w:sz w:val="32"/>
          <w:szCs w:val="28"/>
        </w:rPr>
        <w:t>第五章</w:t>
      </w:r>
      <w:r>
        <w:rPr>
          <w:rFonts w:hint="eastAsia" w:ascii="宋体" w:hAnsi="宋体"/>
          <w:color w:val="auto"/>
          <w:sz w:val="32"/>
          <w:szCs w:val="28"/>
          <w:lang w:val="en-US" w:eastAsia="zh-CN"/>
        </w:rPr>
        <w:t xml:space="preserve">   商务响应偏离表</w:t>
      </w:r>
    </w:p>
    <w:p w14:paraId="3094D50C">
      <w:pPr>
        <w:pStyle w:val="20"/>
        <w:spacing w:line="360" w:lineRule="auto"/>
        <w:ind w:left="1155" w:leftChars="550"/>
        <w:rPr>
          <w:rFonts w:ascii="宋体" w:hAnsi="宋体"/>
          <w:color w:val="auto"/>
          <w:sz w:val="32"/>
          <w:szCs w:val="28"/>
        </w:rPr>
      </w:pPr>
      <w:r>
        <w:rPr>
          <w:rFonts w:hint="eastAsia" w:ascii="宋体" w:hAnsi="宋体"/>
          <w:color w:val="auto"/>
          <w:sz w:val="32"/>
          <w:szCs w:val="28"/>
        </w:rPr>
        <w:t>第六章</w:t>
      </w:r>
      <w:r>
        <w:rPr>
          <w:rFonts w:hint="eastAsia" w:ascii="宋体" w:hAnsi="宋体"/>
          <w:color w:val="auto"/>
          <w:sz w:val="32"/>
          <w:szCs w:val="28"/>
          <w:lang w:val="en-US" w:eastAsia="zh-CN"/>
        </w:rPr>
        <w:t xml:space="preserve">   响应</w:t>
      </w:r>
      <w:r>
        <w:rPr>
          <w:rFonts w:hint="eastAsia" w:ascii="宋体" w:hAnsi="宋体"/>
          <w:color w:val="auto"/>
          <w:sz w:val="32"/>
          <w:szCs w:val="28"/>
        </w:rPr>
        <w:t>方案</w:t>
      </w:r>
    </w:p>
    <w:p w14:paraId="60FEE06D">
      <w:pPr>
        <w:pStyle w:val="20"/>
        <w:spacing w:line="360" w:lineRule="auto"/>
        <w:ind w:left="1155" w:leftChars="550"/>
        <w:rPr>
          <w:rFonts w:ascii="宋体" w:hAnsi="宋体"/>
          <w:color w:val="auto"/>
          <w:sz w:val="32"/>
          <w:szCs w:val="28"/>
        </w:rPr>
      </w:pPr>
      <w:r>
        <w:rPr>
          <w:rFonts w:hint="eastAsia" w:ascii="宋体" w:hAnsi="宋体"/>
          <w:color w:val="auto"/>
          <w:sz w:val="32"/>
          <w:szCs w:val="28"/>
          <w:lang w:val="en-US" w:eastAsia="zh-CN"/>
        </w:rPr>
        <w:t xml:space="preserve">第七章   </w:t>
      </w:r>
      <w:r>
        <w:rPr>
          <w:rFonts w:hint="eastAsia" w:ascii="宋体" w:hAnsi="宋体"/>
          <w:color w:val="auto"/>
          <w:sz w:val="32"/>
          <w:szCs w:val="28"/>
        </w:rPr>
        <w:t>供应商承诺书</w:t>
      </w:r>
    </w:p>
    <w:p w14:paraId="39CC1270">
      <w:pPr>
        <w:pStyle w:val="20"/>
        <w:spacing w:line="360" w:lineRule="auto"/>
        <w:ind w:left="1155" w:leftChars="550"/>
        <w:rPr>
          <w:rFonts w:ascii="宋体" w:hAnsi="宋体"/>
          <w:color w:val="auto"/>
          <w:sz w:val="32"/>
          <w:szCs w:val="28"/>
        </w:rPr>
      </w:pPr>
    </w:p>
    <w:p w14:paraId="39E2776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607D2B65">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3DB90143">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5015F3C4">
      <w:pPr>
        <w:pStyle w:val="20"/>
        <w:spacing w:line="360" w:lineRule="auto"/>
        <w:ind w:left="1155" w:leftChars="550"/>
        <w:rPr>
          <w:rFonts w:ascii="宋体" w:hAnsi="宋体"/>
          <w:color w:val="auto"/>
          <w:sz w:val="32"/>
          <w:szCs w:val="28"/>
        </w:rPr>
      </w:pPr>
      <w:r>
        <w:rPr>
          <w:rFonts w:ascii="宋体" w:hAnsi="宋体"/>
          <w:color w:val="auto"/>
          <w:sz w:val="32"/>
          <w:szCs w:val="28"/>
        </w:rPr>
        <w:t xml:space="preserve">  </w:t>
      </w:r>
    </w:p>
    <w:p w14:paraId="32B65A51">
      <w:pPr>
        <w:pStyle w:val="20"/>
        <w:spacing w:line="360" w:lineRule="auto"/>
        <w:ind w:left="1155" w:leftChars="550"/>
        <w:rPr>
          <w:rFonts w:ascii="宋体" w:hAnsi="宋体"/>
          <w:color w:val="auto"/>
          <w:sz w:val="32"/>
          <w:szCs w:val="28"/>
        </w:rPr>
      </w:pPr>
    </w:p>
    <w:p w14:paraId="02816C00">
      <w:pPr>
        <w:pStyle w:val="20"/>
        <w:spacing w:line="480" w:lineRule="auto"/>
        <w:ind w:left="945" w:leftChars="450"/>
        <w:rPr>
          <w:color w:val="auto"/>
        </w:rPr>
      </w:pPr>
      <w:r>
        <w:rPr>
          <w:rFonts w:hint="eastAsia"/>
          <w:color w:val="auto"/>
          <w:sz w:val="30"/>
          <w:szCs w:val="30"/>
        </w:rPr>
        <w:tab/>
      </w:r>
    </w:p>
    <w:p w14:paraId="3B1DE63F">
      <w:pPr>
        <w:pStyle w:val="3"/>
        <w:pageBreakBefore/>
        <w:jc w:val="center"/>
        <w:rPr>
          <w:rFonts w:hint="eastAsia" w:ascii="Calibri Light" w:hAnsi="Calibri Light" w:eastAsia="宋体" w:cs="Times New Roman"/>
          <w:color w:val="auto"/>
          <w:sz w:val="32"/>
          <w:szCs w:val="32"/>
          <w:lang w:val="en-US" w:eastAsia="zh-CN"/>
        </w:rPr>
      </w:pPr>
      <w:bookmarkStart w:id="145" w:name="_Toc2536"/>
      <w:bookmarkStart w:id="146" w:name="_Toc10356"/>
      <w:bookmarkStart w:id="147" w:name="_Toc536429386"/>
      <w:bookmarkStart w:id="148" w:name="_Toc19543349"/>
      <w:bookmarkStart w:id="149" w:name="_Toc536202393"/>
      <w:bookmarkStart w:id="150" w:name="_Toc536429333"/>
      <w:bookmarkStart w:id="151" w:name="_Toc536202324"/>
      <w:r>
        <w:rPr>
          <w:rFonts w:hint="eastAsia" w:ascii="Calibri Light" w:hAnsi="Calibri Light" w:eastAsia="宋体" w:cs="Times New Roman"/>
          <w:color w:val="auto"/>
          <w:sz w:val="32"/>
          <w:szCs w:val="32"/>
          <w:lang w:val="en-US" w:eastAsia="zh-CN"/>
        </w:rPr>
        <w:t>第一</w:t>
      </w:r>
      <w:bookmarkEnd w:id="145"/>
      <w:r>
        <w:rPr>
          <w:rFonts w:hint="eastAsia" w:ascii="Calibri Light" w:hAnsi="Calibri Light" w:eastAsia="宋体" w:cs="Times New Roman"/>
          <w:color w:val="auto"/>
          <w:sz w:val="32"/>
          <w:szCs w:val="32"/>
          <w:lang w:val="en-US" w:eastAsia="zh-CN"/>
        </w:rPr>
        <w:t>章  响应函</w:t>
      </w:r>
      <w:bookmarkEnd w:id="146"/>
      <w:bookmarkEnd w:id="147"/>
      <w:bookmarkEnd w:id="148"/>
      <w:bookmarkEnd w:id="149"/>
      <w:bookmarkEnd w:id="150"/>
      <w:bookmarkEnd w:id="151"/>
    </w:p>
    <w:p w14:paraId="092496CC">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59D54F8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s="宋体"/>
          <w:color w:val="auto"/>
          <w:sz w:val="24"/>
          <w:szCs w:val="24"/>
        </w:rPr>
        <w:t>竞争性磋商文件，经详细研究，我公司决定参加本次磋商活动。为此，我方郑重承诺以下诸点，并负法律责任。</w:t>
      </w:r>
    </w:p>
    <w:p w14:paraId="31CF664C">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40117C5">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w:t>
      </w:r>
      <w:r>
        <w:rPr>
          <w:rFonts w:hint="eastAsia" w:ascii="宋体" w:hAnsi="宋体" w:cs="宋体"/>
          <w:color w:val="auto"/>
          <w:sz w:val="24"/>
          <w:szCs w:val="24"/>
          <w:lang w:val="en-US" w:eastAsia="zh-CN"/>
        </w:rPr>
        <w:t>投标总价</w:t>
      </w:r>
      <w:r>
        <w:rPr>
          <w:rFonts w:hint="eastAsia" w:ascii="宋体" w:hAnsi="宋体" w:cs="宋体"/>
          <w:color w:val="auto"/>
          <w:sz w:val="24"/>
          <w:szCs w:val="24"/>
        </w:rPr>
        <w:t>为：</w:t>
      </w:r>
    </w:p>
    <w:p w14:paraId="0892207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color w:val="auto"/>
          <w:lang w:val="en-US" w:eastAsia="zh-CN"/>
        </w:rPr>
      </w:pPr>
      <w:r>
        <w:rPr>
          <w:rFonts w:hint="eastAsia" w:ascii="宋体" w:hAnsi="宋体" w:cs="宋体"/>
          <w:color w:val="auto"/>
          <w:sz w:val="24"/>
          <w:szCs w:val="24"/>
        </w:rPr>
        <w:t>人民币（大写）：______________元；（小写）￥：______元；</w:t>
      </w:r>
    </w:p>
    <w:p w14:paraId="41155B58">
      <w:pPr>
        <w:adjustRightInd w:val="0"/>
        <w:snapToGrid w:val="0"/>
        <w:spacing w:line="48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r>
        <w:rPr>
          <w:rFonts w:hint="eastAsia" w:ascii="宋体" w:hAnsi="宋体" w:cs="宋体"/>
          <w:color w:val="auto"/>
          <w:sz w:val="24"/>
          <w:szCs w:val="24"/>
          <w:lang w:eastAsia="zh-CN"/>
        </w:rPr>
        <w:t>。</w:t>
      </w:r>
    </w:p>
    <w:p w14:paraId="03F250B7">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19D4350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27F6C3D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6B814BA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308FA185">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4A111E8E">
      <w:pPr>
        <w:adjustRightInd w:val="0"/>
        <w:snapToGrid w:val="0"/>
        <w:spacing w:line="480" w:lineRule="exact"/>
        <w:ind w:firstLine="480" w:firstLineChars="200"/>
        <w:jc w:val="left"/>
        <w:rPr>
          <w:rFonts w:hint="eastAsia" w:ascii="宋体" w:hAnsi="宋体" w:cs="宋体"/>
          <w:color w:val="auto"/>
          <w:sz w:val="24"/>
          <w:szCs w:val="24"/>
        </w:rPr>
      </w:pPr>
    </w:p>
    <w:p w14:paraId="7AB65EE2">
      <w:pPr>
        <w:adjustRightInd w:val="0"/>
        <w:snapToGrid w:val="0"/>
        <w:spacing w:line="480" w:lineRule="exact"/>
        <w:ind w:firstLine="480" w:firstLineChars="200"/>
        <w:jc w:val="left"/>
        <w:rPr>
          <w:rFonts w:hint="eastAsia" w:ascii="宋体" w:hAnsi="宋体" w:cs="宋体"/>
          <w:color w:val="auto"/>
          <w:sz w:val="24"/>
          <w:szCs w:val="24"/>
        </w:rPr>
      </w:pPr>
    </w:p>
    <w:p w14:paraId="5010F3B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22CC92B0">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w:t>
      </w:r>
    </w:p>
    <w:p w14:paraId="19B0DA6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667DDD5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1EA453D4">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5A7631A9">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1A950C48">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6FDEBF51">
      <w:pPr>
        <w:adjustRightInd w:val="0"/>
        <w:snapToGrid w:val="0"/>
        <w:spacing w:line="480" w:lineRule="exact"/>
        <w:ind w:firstLine="480" w:firstLineChars="200"/>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52" w:name="_Toc28494"/>
    </w:p>
    <w:p w14:paraId="0F84E9C5">
      <w:pPr>
        <w:pStyle w:val="3"/>
        <w:pageBreakBefore/>
        <w:jc w:val="center"/>
        <w:rPr>
          <w:rFonts w:hint="eastAsia" w:ascii="Calibri Light" w:hAnsi="Calibri Light" w:eastAsia="宋体" w:cs="Times New Roman"/>
          <w:color w:val="auto"/>
          <w:sz w:val="32"/>
          <w:szCs w:val="32"/>
          <w:lang w:val="en-US" w:eastAsia="zh-CN"/>
        </w:rPr>
      </w:pPr>
      <w:bookmarkStart w:id="153" w:name="_Toc30983"/>
      <w:bookmarkStart w:id="154" w:name="_Toc536202394"/>
      <w:bookmarkStart w:id="155" w:name="_Toc536429334"/>
      <w:bookmarkStart w:id="156" w:name="_Toc536202325"/>
      <w:bookmarkStart w:id="157" w:name="_Toc536429387"/>
      <w:bookmarkStart w:id="158" w:name="_Toc19543350"/>
      <w:r>
        <w:rPr>
          <w:rFonts w:hint="eastAsia" w:ascii="Calibri Light" w:hAnsi="Calibri Light" w:eastAsia="宋体" w:cs="Times New Roman"/>
          <w:color w:val="auto"/>
          <w:sz w:val="32"/>
          <w:szCs w:val="32"/>
          <w:lang w:val="en-US" w:eastAsia="zh-CN"/>
        </w:rPr>
        <w:t>第二</w:t>
      </w:r>
      <w:bookmarkEnd w:id="152"/>
      <w:r>
        <w:rPr>
          <w:rFonts w:hint="eastAsia" w:ascii="Calibri Light" w:hAnsi="Calibri Light" w:eastAsia="宋体" w:cs="Times New Roman"/>
          <w:color w:val="auto"/>
          <w:sz w:val="32"/>
          <w:szCs w:val="32"/>
          <w:lang w:val="en-US" w:eastAsia="zh-CN"/>
        </w:rPr>
        <w:t xml:space="preserve">章  </w:t>
      </w:r>
      <w:bookmarkEnd w:id="153"/>
      <w:r>
        <w:rPr>
          <w:rFonts w:hint="eastAsia" w:ascii="Calibri Light" w:hAnsi="Calibri Light" w:eastAsia="宋体" w:cs="Times New Roman"/>
          <w:color w:val="auto"/>
          <w:sz w:val="32"/>
          <w:szCs w:val="32"/>
          <w:lang w:val="en-US" w:eastAsia="zh-CN"/>
        </w:rPr>
        <w:t>响应报价表</w:t>
      </w:r>
      <w:bookmarkEnd w:id="154"/>
      <w:bookmarkEnd w:id="155"/>
      <w:bookmarkEnd w:id="156"/>
      <w:bookmarkEnd w:id="157"/>
      <w:bookmarkEnd w:id="158"/>
    </w:p>
    <w:p w14:paraId="23443128">
      <w:pPr>
        <w:keepNext w:val="0"/>
        <w:keepLines w:val="0"/>
        <w:suppressLineNumbers w:val="0"/>
        <w:kinsoku w:val="0"/>
        <w:spacing w:before="0" w:beforeAutospacing="0" w:after="0" w:afterAutospacing="0" w:line="500" w:lineRule="exact"/>
        <w:ind w:left="0" w:right="0" w:firstLine="480" w:firstLineChars="200"/>
        <w:jc w:val="both"/>
        <w:rPr>
          <w:rFonts w:hint="eastAsia" w:ascii="宋体" w:hAnsi="宋体" w:eastAsia="宋体" w:cs="Times New Roman"/>
          <w:color w:val="auto"/>
          <w:sz w:val="24"/>
          <w:szCs w:val="24"/>
        </w:rPr>
      </w:pPr>
      <w:bookmarkStart w:id="159" w:name="_Toc536202395"/>
      <w:bookmarkStart w:id="160" w:name="_Toc536429335"/>
      <w:bookmarkStart w:id="161" w:name="_Toc536429388"/>
      <w:bookmarkStart w:id="162" w:name="_Toc536202326"/>
      <w:r>
        <w:rPr>
          <w:rFonts w:hint="eastAsia" w:ascii="宋体" w:hAnsi="宋体" w:eastAsia="宋体" w:cs="Times New Roman"/>
          <w:color w:val="auto"/>
          <w:sz w:val="24"/>
          <w:szCs w:val="24"/>
        </w:rPr>
        <w:t>供应商名称：</w:t>
      </w:r>
      <w:bookmarkEnd w:id="159"/>
      <w:bookmarkEnd w:id="160"/>
      <w:bookmarkEnd w:id="161"/>
      <w:bookmarkEnd w:id="162"/>
      <w:r>
        <w:rPr>
          <w:rFonts w:hint="eastAsia" w:ascii="宋体" w:hAnsi="宋体" w:eastAsia="宋体" w:cs="Times New Roman"/>
          <w:color w:val="auto"/>
          <w:sz w:val="24"/>
          <w:szCs w:val="24"/>
        </w:rPr>
        <w:t xml:space="preserve">                                        </w:t>
      </w:r>
    </w:p>
    <w:p w14:paraId="3AB342B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项目名称：</w:t>
      </w:r>
      <w:r>
        <w:rPr>
          <w:rFonts w:hint="eastAsia" w:cs="Times New Roman" w:asciiTheme="minorEastAsia" w:hAnsiTheme="minorEastAsia" w:eastAsiaTheme="minorEastAsia"/>
          <w:color w:val="auto"/>
          <w:sz w:val="28"/>
          <w:szCs w:val="28"/>
        </w:rPr>
        <w:t xml:space="preserve">                                          </w:t>
      </w:r>
      <w:r>
        <w:rPr>
          <w:rFonts w:hint="eastAsia" w:ascii="宋体" w:hAnsi="宋体" w:eastAsia="宋体" w:cs="Times New Roman"/>
          <w:color w:val="auto"/>
          <w:sz w:val="24"/>
          <w:szCs w:val="24"/>
          <w:lang w:val="en-US" w:eastAsia="zh-CN"/>
        </w:rPr>
        <w:t>单位：元</w:t>
      </w:r>
      <w:r>
        <w:rPr>
          <w:rFonts w:hint="eastAsia" w:ascii="宋体" w:hAnsi="宋体" w:eastAsia="宋体" w:cs="Times New Roman"/>
          <w:color w:val="auto"/>
          <w:sz w:val="24"/>
          <w:szCs w:val="24"/>
        </w:rPr>
        <w:t xml:space="preserve">  </w:t>
      </w:r>
    </w:p>
    <w:tbl>
      <w:tblPr>
        <w:tblStyle w:val="34"/>
        <w:tblW w:w="10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0"/>
        <w:gridCol w:w="2796"/>
        <w:gridCol w:w="2209"/>
        <w:gridCol w:w="2882"/>
      </w:tblGrid>
      <w:tr w14:paraId="12C2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jc w:val="center"/>
        </w:trPr>
        <w:tc>
          <w:tcPr>
            <w:tcW w:w="2390" w:type="dxa"/>
            <w:tcBorders>
              <w:tl2br w:val="single" w:color="auto" w:sz="4" w:space="0"/>
            </w:tcBorders>
          </w:tcPr>
          <w:p w14:paraId="6F221842">
            <w:pPr>
              <w:keepNext w:val="0"/>
              <w:keepLines w:val="0"/>
              <w:suppressLineNumbers w:val="0"/>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rPr>
              <w:t>报价内容</w:t>
            </w:r>
          </w:p>
          <w:p w14:paraId="267CB71F">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2E6B26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1D3EE00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05F31A4A">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2796" w:type="dxa"/>
            <w:vAlign w:val="center"/>
          </w:tcPr>
          <w:p w14:paraId="7031B8E3">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70BA5B1C">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元</w:t>
            </w:r>
            <w:r>
              <w:rPr>
                <w:rFonts w:hint="eastAsia" w:ascii="宋体" w:hAnsi="宋体" w:cs="Times New Roman"/>
                <w:color w:val="auto"/>
                <w:sz w:val="24"/>
                <w:szCs w:val="24"/>
                <w:lang w:eastAsia="zh-CN"/>
              </w:rPr>
              <w:t>）</w:t>
            </w:r>
          </w:p>
        </w:tc>
        <w:tc>
          <w:tcPr>
            <w:tcW w:w="2209" w:type="dxa"/>
            <w:vAlign w:val="center"/>
          </w:tcPr>
          <w:p w14:paraId="0BEE6F6C">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工期</w:t>
            </w:r>
          </w:p>
          <w:p w14:paraId="1A4396CD">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（天）</w:t>
            </w:r>
          </w:p>
        </w:tc>
        <w:tc>
          <w:tcPr>
            <w:tcW w:w="2882" w:type="dxa"/>
            <w:vAlign w:val="center"/>
          </w:tcPr>
          <w:p w14:paraId="5519ABE7">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auto"/>
                <w:sz w:val="24"/>
                <w:szCs w:val="24"/>
                <w:lang w:eastAsia="zh-CN"/>
              </w:rPr>
            </w:pPr>
            <w:r>
              <w:rPr>
                <w:rFonts w:hint="eastAsia" w:ascii="宋体" w:hAnsi="宋体"/>
                <w:color w:val="auto"/>
                <w:sz w:val="24"/>
              </w:rPr>
              <w:t>质量</w:t>
            </w:r>
            <w:r>
              <w:rPr>
                <w:rFonts w:hint="eastAsia" w:ascii="宋体" w:hAnsi="宋体"/>
                <w:color w:val="auto"/>
                <w:sz w:val="24"/>
                <w:lang w:val="en-US" w:eastAsia="zh-CN"/>
              </w:rPr>
              <w:t>等级</w:t>
            </w:r>
          </w:p>
        </w:tc>
      </w:tr>
      <w:tr w14:paraId="5674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jc w:val="center"/>
        </w:trPr>
        <w:tc>
          <w:tcPr>
            <w:tcW w:w="2390" w:type="dxa"/>
            <w:vAlign w:val="center"/>
          </w:tcPr>
          <w:p w14:paraId="5ED930FE">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796" w:type="dxa"/>
            <w:vAlign w:val="center"/>
          </w:tcPr>
          <w:p w14:paraId="2DAE321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2209" w:type="dxa"/>
            <w:vAlign w:val="center"/>
          </w:tcPr>
          <w:p w14:paraId="01302E5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882" w:type="dxa"/>
            <w:vAlign w:val="center"/>
          </w:tcPr>
          <w:p w14:paraId="2759EE5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6082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277" w:type="dxa"/>
            <w:gridSpan w:val="4"/>
            <w:vAlign w:val="center"/>
          </w:tcPr>
          <w:p w14:paraId="2658A1B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7E8C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277" w:type="dxa"/>
            <w:gridSpan w:val="4"/>
            <w:vAlign w:val="center"/>
          </w:tcPr>
          <w:p w14:paraId="317DD171">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lang w:val="en-US"/>
              </w:rPr>
            </w:pPr>
            <w:r>
              <w:rPr>
                <w:rFonts w:hint="eastAsia" w:ascii="宋体" w:hAnsi="宋体" w:cs="Times New Roman"/>
                <w:color w:val="auto"/>
                <w:sz w:val="24"/>
                <w:szCs w:val="24"/>
              </w:rPr>
              <w:t>备注：表内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tc>
      </w:tr>
    </w:tbl>
    <w:p w14:paraId="1533A45D">
      <w:pPr>
        <w:spacing w:line="360" w:lineRule="auto"/>
        <w:jc w:val="left"/>
        <w:rPr>
          <w:rFonts w:ascii="宋体" w:hAnsi="宋体" w:cs="仿宋"/>
          <w:color w:val="auto"/>
          <w:sz w:val="24"/>
          <w:szCs w:val="24"/>
        </w:rPr>
      </w:pPr>
      <w:r>
        <w:rPr>
          <w:rFonts w:hint="eastAsia" w:ascii="宋体" w:hAnsi="宋体" w:cs="仿宋"/>
          <w:color w:val="auto"/>
          <w:sz w:val="24"/>
          <w:szCs w:val="24"/>
        </w:rPr>
        <w:t>备注</w:t>
      </w:r>
      <w:r>
        <w:rPr>
          <w:rFonts w:ascii="宋体" w:hAnsi="宋体" w:cs="仿宋"/>
          <w:color w:val="auto"/>
          <w:sz w:val="24"/>
          <w:szCs w:val="24"/>
        </w:rPr>
        <w:t>：</w:t>
      </w:r>
    </w:p>
    <w:p w14:paraId="26CD2D16">
      <w:pPr>
        <w:spacing w:line="360" w:lineRule="auto"/>
        <w:ind w:firstLine="360" w:firstLineChars="150"/>
        <w:jc w:val="left"/>
        <w:rPr>
          <w:rFonts w:ascii="宋体" w:hAnsi="宋体" w:cs="仿宋"/>
          <w:color w:val="auto"/>
          <w:sz w:val="24"/>
          <w:szCs w:val="24"/>
        </w:rPr>
      </w:pPr>
      <w:r>
        <w:rPr>
          <w:rFonts w:hint="eastAsia" w:ascii="宋体" w:hAnsi="宋体" w:cs="仿宋"/>
          <w:color w:val="auto"/>
          <w:sz w:val="24"/>
          <w:szCs w:val="24"/>
        </w:rPr>
        <w:t>投标人所报的价格应考虑到可能发生的所有与完成本项目相关服务及履行合同义务有关的一切费用。</w:t>
      </w:r>
    </w:p>
    <w:p w14:paraId="64C0C96E">
      <w:pPr>
        <w:kinsoku w:val="0"/>
        <w:spacing w:line="360" w:lineRule="auto"/>
        <w:jc w:val="left"/>
        <w:rPr>
          <w:rFonts w:ascii="宋体" w:cs="Times New Roman"/>
          <w:color w:val="auto"/>
          <w:sz w:val="24"/>
          <w:szCs w:val="24"/>
        </w:rPr>
      </w:pPr>
    </w:p>
    <w:p w14:paraId="10E839B7">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7BA6D06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EA96CCF">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25BA5A6A">
      <w:pPr>
        <w:kinsoku w:val="0"/>
        <w:spacing w:line="480" w:lineRule="auto"/>
        <w:jc w:val="left"/>
        <w:rPr>
          <w:rFonts w:ascii="宋体" w:cs="Times New Roman"/>
          <w:color w:val="auto"/>
          <w:sz w:val="24"/>
          <w:szCs w:val="24"/>
        </w:rPr>
      </w:pPr>
    </w:p>
    <w:p w14:paraId="23E39340">
      <w:pPr>
        <w:pStyle w:val="3"/>
        <w:rPr>
          <w:rFonts w:hint="eastAsia" w:ascii="宋体" w:hAnsi="宋体" w:cs="宋体"/>
          <w:color w:val="auto"/>
        </w:rPr>
        <w:sectPr>
          <w:pgSz w:w="11906" w:h="16838"/>
          <w:pgMar w:top="1417" w:right="1417" w:bottom="1417" w:left="1417" w:header="1134" w:footer="992" w:gutter="0"/>
          <w:pgNumType w:fmt="decimal"/>
          <w:cols w:space="0" w:num="1"/>
          <w:titlePg/>
          <w:rtlGutter w:val="0"/>
          <w:docGrid w:type="lines" w:linePitch="333" w:charSpace="0"/>
        </w:sectPr>
      </w:pPr>
      <w:bookmarkStart w:id="163" w:name="_Toc484890088"/>
      <w:bookmarkStart w:id="164" w:name="_Toc15021755"/>
      <w:bookmarkStart w:id="165" w:name="_Toc19543351"/>
    </w:p>
    <w:p w14:paraId="0481ABF5">
      <w:pPr>
        <w:autoSpaceDE w:val="0"/>
        <w:autoSpaceDN w:val="0"/>
        <w:adjustRightInd w:val="0"/>
        <w:snapToGrid w:val="0"/>
        <w:spacing w:line="360" w:lineRule="auto"/>
        <w:ind w:firstLine="3855" w:firstLineChars="1200"/>
        <w:jc w:val="left"/>
        <w:rPr>
          <w:rFonts w:hint="eastAsia" w:hAnsi="宋体" w:cs="宋体"/>
          <w:bCs/>
          <w:color w:val="auto"/>
          <w:sz w:val="24"/>
        </w:rPr>
      </w:pPr>
      <w:r>
        <w:rPr>
          <w:rFonts w:hint="eastAsia" w:hAnsi="宋体"/>
          <w:b/>
          <w:color w:val="auto"/>
          <w:sz w:val="32"/>
          <w:szCs w:val="32"/>
        </w:rPr>
        <w:t>主要材料明细表</w:t>
      </w:r>
    </w:p>
    <w:p w14:paraId="09A95251">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宋体" w:eastAsia="仿宋_GB2312"/>
          <w:color w:val="auto"/>
          <w:lang w:val="en-US" w:eastAsia="zh-CN"/>
        </w:rPr>
      </w:pPr>
      <w:r>
        <w:rPr>
          <w:rFonts w:hint="eastAsia" w:ascii="仿宋_GB2312" w:hAnsi="宋体" w:eastAsia="仿宋_GB2312"/>
          <w:color w:val="auto"/>
        </w:rPr>
        <w:t xml:space="preserve">                                  </w:t>
      </w:r>
      <w:r>
        <w:rPr>
          <w:rFonts w:hint="eastAsia" w:ascii="仿宋_GB2312" w:hAnsi="宋体" w:eastAsia="仿宋_GB2312"/>
          <w:color w:val="auto"/>
          <w:lang w:val="en-US" w:eastAsia="zh-CN"/>
        </w:rPr>
        <w:t xml:space="preserve">                           </w:t>
      </w:r>
      <w:r>
        <w:rPr>
          <w:rFonts w:hint="eastAsia" w:hAnsi="宋体" w:eastAsia="宋体"/>
          <w:color w:val="auto"/>
          <w:sz w:val="25"/>
          <w:szCs w:val="25"/>
          <w:lang w:val="en-US" w:eastAsia="zh-CN"/>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4BF7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exact"/>
          <w:jc w:val="center"/>
        </w:trPr>
        <w:tc>
          <w:tcPr>
            <w:tcW w:w="1020" w:type="dxa"/>
            <w:noWrap w:val="0"/>
            <w:vAlign w:val="center"/>
          </w:tcPr>
          <w:p w14:paraId="62A35C14">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序号</w:t>
            </w:r>
          </w:p>
        </w:tc>
        <w:tc>
          <w:tcPr>
            <w:tcW w:w="1440" w:type="dxa"/>
            <w:noWrap w:val="0"/>
            <w:vAlign w:val="center"/>
          </w:tcPr>
          <w:p w14:paraId="2F59A81E">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材料名称</w:t>
            </w:r>
          </w:p>
        </w:tc>
        <w:tc>
          <w:tcPr>
            <w:tcW w:w="1260" w:type="dxa"/>
            <w:noWrap w:val="0"/>
            <w:vAlign w:val="center"/>
          </w:tcPr>
          <w:p w14:paraId="36DE17D1">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规格型号</w:t>
            </w:r>
          </w:p>
        </w:tc>
        <w:tc>
          <w:tcPr>
            <w:tcW w:w="1260" w:type="dxa"/>
            <w:noWrap w:val="0"/>
            <w:vAlign w:val="center"/>
          </w:tcPr>
          <w:p w14:paraId="7C37E2B1">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品 牌</w:t>
            </w:r>
          </w:p>
        </w:tc>
        <w:tc>
          <w:tcPr>
            <w:tcW w:w="1287" w:type="dxa"/>
            <w:noWrap w:val="0"/>
            <w:vAlign w:val="center"/>
          </w:tcPr>
          <w:p w14:paraId="41B45A24">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生产厂家</w:t>
            </w:r>
          </w:p>
        </w:tc>
        <w:tc>
          <w:tcPr>
            <w:tcW w:w="798" w:type="dxa"/>
            <w:noWrap w:val="0"/>
            <w:vAlign w:val="center"/>
          </w:tcPr>
          <w:p w14:paraId="1D57635B">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单位</w:t>
            </w:r>
          </w:p>
        </w:tc>
        <w:tc>
          <w:tcPr>
            <w:tcW w:w="735" w:type="dxa"/>
            <w:noWrap w:val="0"/>
            <w:vAlign w:val="center"/>
          </w:tcPr>
          <w:p w14:paraId="016C689B">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数量</w:t>
            </w:r>
          </w:p>
        </w:tc>
        <w:tc>
          <w:tcPr>
            <w:tcW w:w="840" w:type="dxa"/>
            <w:noWrap w:val="0"/>
            <w:vAlign w:val="center"/>
          </w:tcPr>
          <w:p w14:paraId="2441F438">
            <w:pPr>
              <w:keepNext w:val="0"/>
              <w:keepLines w:val="0"/>
              <w:suppressLineNumbers w:val="0"/>
              <w:spacing w:before="0" w:beforeAutospacing="0" w:after="0" w:afterAutospacing="0"/>
              <w:ind w:left="0" w:right="0"/>
              <w:jc w:val="center"/>
              <w:rPr>
                <w:rFonts w:hint="eastAsia" w:hAnsi="宋体"/>
                <w:color w:val="auto"/>
                <w:sz w:val="25"/>
                <w:szCs w:val="25"/>
              </w:rPr>
            </w:pPr>
            <w:r>
              <w:rPr>
                <w:rFonts w:hint="eastAsia" w:hAnsi="宋体"/>
                <w:color w:val="auto"/>
                <w:sz w:val="25"/>
                <w:szCs w:val="25"/>
              </w:rPr>
              <w:t>备注</w:t>
            </w:r>
          </w:p>
        </w:tc>
      </w:tr>
      <w:tr w14:paraId="161D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3D121C29">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1B61A2F2">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28399FFA">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6F2BF2B2">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1D4B0F65">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545716A2">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32193553">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09D4E438">
            <w:pPr>
              <w:keepNext w:val="0"/>
              <w:keepLines w:val="0"/>
              <w:suppressLineNumbers w:val="0"/>
              <w:spacing w:before="0" w:beforeAutospacing="0" w:after="0" w:afterAutospacing="0"/>
              <w:ind w:left="0" w:right="0"/>
              <w:rPr>
                <w:rFonts w:hint="eastAsia" w:hAnsi="宋体"/>
                <w:color w:val="auto"/>
              </w:rPr>
            </w:pPr>
          </w:p>
        </w:tc>
      </w:tr>
      <w:tr w14:paraId="3278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6E59DA1A">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5FAFF819">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28948BEC">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D32AF3D">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71E9B528">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71AF9149">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546B7812">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664B5C8A">
            <w:pPr>
              <w:keepNext w:val="0"/>
              <w:keepLines w:val="0"/>
              <w:suppressLineNumbers w:val="0"/>
              <w:spacing w:before="0" w:beforeAutospacing="0" w:after="0" w:afterAutospacing="0"/>
              <w:ind w:left="0" w:right="0"/>
              <w:rPr>
                <w:rFonts w:hint="eastAsia" w:hAnsi="宋体"/>
                <w:color w:val="auto"/>
              </w:rPr>
            </w:pPr>
          </w:p>
        </w:tc>
      </w:tr>
      <w:tr w14:paraId="23C4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15AF853">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0F59CE52">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C2D9D3E">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3093F6C">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46EE7470">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1C683430">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4AD67336">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2F73C100">
            <w:pPr>
              <w:keepNext w:val="0"/>
              <w:keepLines w:val="0"/>
              <w:suppressLineNumbers w:val="0"/>
              <w:spacing w:before="0" w:beforeAutospacing="0" w:after="0" w:afterAutospacing="0"/>
              <w:ind w:left="0" w:right="0"/>
              <w:rPr>
                <w:rFonts w:hint="eastAsia" w:hAnsi="宋体"/>
                <w:color w:val="auto"/>
              </w:rPr>
            </w:pPr>
          </w:p>
        </w:tc>
      </w:tr>
      <w:tr w14:paraId="2613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CE6D267">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603C9651">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701FDB23">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AAC76C3">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36A95C1F">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642E9047">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002C8135">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0370B7CA">
            <w:pPr>
              <w:keepNext w:val="0"/>
              <w:keepLines w:val="0"/>
              <w:suppressLineNumbers w:val="0"/>
              <w:spacing w:before="0" w:beforeAutospacing="0" w:after="0" w:afterAutospacing="0"/>
              <w:ind w:left="0" w:right="0"/>
              <w:rPr>
                <w:rFonts w:hint="eastAsia" w:hAnsi="宋体"/>
                <w:color w:val="auto"/>
              </w:rPr>
            </w:pPr>
          </w:p>
        </w:tc>
      </w:tr>
      <w:tr w14:paraId="65E3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4400002">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5FBFDAD4">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5206845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6F0CD59E">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738C1AC5">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1FF03DCB">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6F5FB670">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637E2A0E">
            <w:pPr>
              <w:keepNext w:val="0"/>
              <w:keepLines w:val="0"/>
              <w:suppressLineNumbers w:val="0"/>
              <w:spacing w:before="0" w:beforeAutospacing="0" w:after="0" w:afterAutospacing="0"/>
              <w:ind w:left="0" w:right="0"/>
              <w:rPr>
                <w:rFonts w:hint="eastAsia" w:hAnsi="宋体"/>
                <w:color w:val="auto"/>
              </w:rPr>
            </w:pPr>
          </w:p>
        </w:tc>
      </w:tr>
      <w:tr w14:paraId="63C6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6B88304">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764E4E3B">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7A594D1C">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4E86C6D2">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4B663820">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72535ACD">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594A266B">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76A57EF5">
            <w:pPr>
              <w:keepNext w:val="0"/>
              <w:keepLines w:val="0"/>
              <w:suppressLineNumbers w:val="0"/>
              <w:spacing w:before="0" w:beforeAutospacing="0" w:after="0" w:afterAutospacing="0"/>
              <w:ind w:left="0" w:right="0"/>
              <w:rPr>
                <w:rFonts w:hint="eastAsia" w:hAnsi="宋体"/>
                <w:color w:val="auto"/>
              </w:rPr>
            </w:pPr>
          </w:p>
        </w:tc>
      </w:tr>
      <w:tr w14:paraId="5119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01D86A2">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5A2214F1">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52B16E7D">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9704D71">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239F5782">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719A959B">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0B6C9FDC">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7AFA8648">
            <w:pPr>
              <w:keepNext w:val="0"/>
              <w:keepLines w:val="0"/>
              <w:suppressLineNumbers w:val="0"/>
              <w:spacing w:before="0" w:beforeAutospacing="0" w:after="0" w:afterAutospacing="0"/>
              <w:ind w:left="0" w:right="0"/>
              <w:rPr>
                <w:rFonts w:hint="eastAsia" w:hAnsi="宋体"/>
                <w:color w:val="auto"/>
              </w:rPr>
            </w:pPr>
          </w:p>
        </w:tc>
      </w:tr>
      <w:tr w14:paraId="668B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9FC009C">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0EE8A843">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CB16EB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77A1B642">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005C8F14">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169EAA03">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50B52E4A">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0F340E76">
            <w:pPr>
              <w:keepNext w:val="0"/>
              <w:keepLines w:val="0"/>
              <w:suppressLineNumbers w:val="0"/>
              <w:spacing w:before="0" w:beforeAutospacing="0" w:after="0" w:afterAutospacing="0"/>
              <w:ind w:left="0" w:right="0"/>
              <w:rPr>
                <w:rFonts w:hint="eastAsia" w:hAnsi="宋体"/>
                <w:color w:val="auto"/>
              </w:rPr>
            </w:pPr>
          </w:p>
        </w:tc>
      </w:tr>
      <w:tr w14:paraId="1C90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502683D">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75130D3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53E9EAD0">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495927D">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08418299">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1A0AF2CB">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1B802283">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79F164D9">
            <w:pPr>
              <w:keepNext w:val="0"/>
              <w:keepLines w:val="0"/>
              <w:suppressLineNumbers w:val="0"/>
              <w:spacing w:before="0" w:beforeAutospacing="0" w:after="0" w:afterAutospacing="0"/>
              <w:ind w:left="0" w:right="0"/>
              <w:rPr>
                <w:rFonts w:hint="eastAsia" w:hAnsi="宋体"/>
                <w:color w:val="auto"/>
              </w:rPr>
            </w:pPr>
          </w:p>
        </w:tc>
      </w:tr>
      <w:tr w14:paraId="6F2C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0BFD4E36">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7F578AD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3F80B733">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2526D5EA">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0E3F0391">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477AC7D9">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0B8AC78A">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6E0E502E">
            <w:pPr>
              <w:keepNext w:val="0"/>
              <w:keepLines w:val="0"/>
              <w:suppressLineNumbers w:val="0"/>
              <w:spacing w:before="0" w:beforeAutospacing="0" w:after="0" w:afterAutospacing="0"/>
              <w:ind w:left="0" w:right="0"/>
              <w:rPr>
                <w:rFonts w:hint="eastAsia" w:hAnsi="宋体"/>
                <w:color w:val="auto"/>
              </w:rPr>
            </w:pPr>
          </w:p>
        </w:tc>
      </w:tr>
      <w:tr w14:paraId="18F1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5808206">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58EFB5C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426F1E9">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1EF215AD">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631D73A2">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42C036AB">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34DA5D80">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7153AACC">
            <w:pPr>
              <w:keepNext w:val="0"/>
              <w:keepLines w:val="0"/>
              <w:suppressLineNumbers w:val="0"/>
              <w:spacing w:before="0" w:beforeAutospacing="0" w:after="0" w:afterAutospacing="0"/>
              <w:ind w:left="0" w:right="0"/>
              <w:rPr>
                <w:rFonts w:hint="eastAsia" w:hAnsi="宋体"/>
                <w:color w:val="auto"/>
              </w:rPr>
            </w:pPr>
          </w:p>
        </w:tc>
      </w:tr>
      <w:tr w14:paraId="0875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CC7385A">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6CD2D1E5">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30B15260">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5DBD6D79">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20C5F4DF">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50BD16A9">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1478F2B5">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66523186">
            <w:pPr>
              <w:keepNext w:val="0"/>
              <w:keepLines w:val="0"/>
              <w:suppressLineNumbers w:val="0"/>
              <w:spacing w:before="0" w:beforeAutospacing="0" w:after="0" w:afterAutospacing="0"/>
              <w:ind w:left="0" w:right="0"/>
              <w:rPr>
                <w:rFonts w:hint="eastAsia" w:hAnsi="宋体"/>
                <w:color w:val="auto"/>
              </w:rPr>
            </w:pPr>
          </w:p>
        </w:tc>
      </w:tr>
      <w:tr w14:paraId="5A4F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F627D47">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165698D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69BDCF17">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6148A06A">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3A951D08">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0FC12626">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1CC2ED1D">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205B187B">
            <w:pPr>
              <w:keepNext w:val="0"/>
              <w:keepLines w:val="0"/>
              <w:suppressLineNumbers w:val="0"/>
              <w:spacing w:before="0" w:beforeAutospacing="0" w:after="0" w:afterAutospacing="0"/>
              <w:ind w:left="0" w:right="0"/>
              <w:rPr>
                <w:rFonts w:hint="eastAsia" w:hAnsi="宋体"/>
                <w:color w:val="auto"/>
              </w:rPr>
            </w:pPr>
          </w:p>
        </w:tc>
      </w:tr>
      <w:tr w14:paraId="764D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AF3EFB5">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31F5DDA1">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8B47648">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7FA5072">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68F09DF2">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2F9DE627">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7E6251D2">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26B8113A">
            <w:pPr>
              <w:keepNext w:val="0"/>
              <w:keepLines w:val="0"/>
              <w:suppressLineNumbers w:val="0"/>
              <w:spacing w:before="0" w:beforeAutospacing="0" w:after="0" w:afterAutospacing="0"/>
              <w:ind w:left="0" w:right="0"/>
              <w:rPr>
                <w:rFonts w:hint="eastAsia" w:hAnsi="宋体"/>
                <w:color w:val="auto"/>
              </w:rPr>
            </w:pPr>
          </w:p>
        </w:tc>
      </w:tr>
      <w:tr w14:paraId="5CCE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20" w:type="dxa"/>
            <w:noWrap w:val="0"/>
            <w:vAlign w:val="top"/>
          </w:tcPr>
          <w:p w14:paraId="6D3FC1CD">
            <w:pPr>
              <w:keepNext w:val="0"/>
              <w:keepLines w:val="0"/>
              <w:suppressLineNumbers w:val="0"/>
              <w:spacing w:before="0" w:beforeAutospacing="0" w:after="0" w:afterAutospacing="0"/>
              <w:ind w:left="0" w:right="0"/>
              <w:rPr>
                <w:rFonts w:hint="eastAsia" w:hAnsi="宋体"/>
                <w:color w:val="auto"/>
              </w:rPr>
            </w:pPr>
          </w:p>
        </w:tc>
        <w:tc>
          <w:tcPr>
            <w:tcW w:w="1440" w:type="dxa"/>
            <w:noWrap w:val="0"/>
            <w:vAlign w:val="top"/>
          </w:tcPr>
          <w:p w14:paraId="0ED9FEFB">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5F092F33">
            <w:pPr>
              <w:keepNext w:val="0"/>
              <w:keepLines w:val="0"/>
              <w:suppressLineNumbers w:val="0"/>
              <w:spacing w:before="0" w:beforeAutospacing="0" w:after="0" w:afterAutospacing="0"/>
              <w:ind w:left="0" w:right="0"/>
              <w:rPr>
                <w:rFonts w:hint="eastAsia" w:hAnsi="宋体"/>
                <w:color w:val="auto"/>
              </w:rPr>
            </w:pPr>
          </w:p>
        </w:tc>
        <w:tc>
          <w:tcPr>
            <w:tcW w:w="1260" w:type="dxa"/>
            <w:noWrap w:val="0"/>
            <w:vAlign w:val="top"/>
          </w:tcPr>
          <w:p w14:paraId="0B59199B">
            <w:pPr>
              <w:keepNext w:val="0"/>
              <w:keepLines w:val="0"/>
              <w:suppressLineNumbers w:val="0"/>
              <w:spacing w:before="0" w:beforeAutospacing="0" w:after="0" w:afterAutospacing="0"/>
              <w:ind w:left="0" w:right="0"/>
              <w:rPr>
                <w:rFonts w:hint="eastAsia" w:hAnsi="宋体"/>
                <w:color w:val="auto"/>
              </w:rPr>
            </w:pPr>
          </w:p>
        </w:tc>
        <w:tc>
          <w:tcPr>
            <w:tcW w:w="1287" w:type="dxa"/>
            <w:noWrap w:val="0"/>
            <w:vAlign w:val="top"/>
          </w:tcPr>
          <w:p w14:paraId="011B71C7">
            <w:pPr>
              <w:keepNext w:val="0"/>
              <w:keepLines w:val="0"/>
              <w:suppressLineNumbers w:val="0"/>
              <w:spacing w:before="0" w:beforeAutospacing="0" w:after="0" w:afterAutospacing="0"/>
              <w:ind w:left="0" w:right="0"/>
              <w:rPr>
                <w:rFonts w:hint="eastAsia" w:hAnsi="宋体"/>
                <w:color w:val="auto"/>
              </w:rPr>
            </w:pPr>
          </w:p>
        </w:tc>
        <w:tc>
          <w:tcPr>
            <w:tcW w:w="798" w:type="dxa"/>
            <w:noWrap w:val="0"/>
            <w:vAlign w:val="top"/>
          </w:tcPr>
          <w:p w14:paraId="0FE6D336">
            <w:pPr>
              <w:keepNext w:val="0"/>
              <w:keepLines w:val="0"/>
              <w:suppressLineNumbers w:val="0"/>
              <w:spacing w:before="0" w:beforeAutospacing="0" w:after="0" w:afterAutospacing="0"/>
              <w:ind w:left="0" w:right="0"/>
              <w:rPr>
                <w:rFonts w:hint="eastAsia" w:hAnsi="宋体"/>
                <w:color w:val="auto"/>
              </w:rPr>
            </w:pPr>
          </w:p>
        </w:tc>
        <w:tc>
          <w:tcPr>
            <w:tcW w:w="735" w:type="dxa"/>
            <w:noWrap w:val="0"/>
            <w:vAlign w:val="top"/>
          </w:tcPr>
          <w:p w14:paraId="227A5663">
            <w:pPr>
              <w:keepNext w:val="0"/>
              <w:keepLines w:val="0"/>
              <w:suppressLineNumbers w:val="0"/>
              <w:spacing w:before="0" w:beforeAutospacing="0" w:after="0" w:afterAutospacing="0"/>
              <w:ind w:left="0" w:right="0"/>
              <w:rPr>
                <w:rFonts w:hint="eastAsia" w:hAnsi="宋体"/>
                <w:color w:val="auto"/>
              </w:rPr>
            </w:pPr>
          </w:p>
        </w:tc>
        <w:tc>
          <w:tcPr>
            <w:tcW w:w="840" w:type="dxa"/>
            <w:noWrap w:val="0"/>
            <w:vAlign w:val="top"/>
          </w:tcPr>
          <w:p w14:paraId="0C2F2AD0">
            <w:pPr>
              <w:keepNext w:val="0"/>
              <w:keepLines w:val="0"/>
              <w:suppressLineNumbers w:val="0"/>
              <w:spacing w:before="0" w:beforeAutospacing="0" w:after="0" w:afterAutospacing="0"/>
              <w:ind w:left="0" w:right="0"/>
              <w:rPr>
                <w:rFonts w:hint="eastAsia" w:hAnsi="宋体"/>
                <w:color w:val="auto"/>
              </w:rPr>
            </w:pPr>
          </w:p>
        </w:tc>
      </w:tr>
    </w:tbl>
    <w:p w14:paraId="12BFA198">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rPr>
      </w:pPr>
    </w:p>
    <w:p w14:paraId="2259D05A">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rPr>
      </w:pPr>
    </w:p>
    <w:p w14:paraId="0C1D6FDE">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08F4AD72">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2"/>
          <w:szCs w:val="22"/>
        </w:rPr>
        <w:t>签字或盖章</w:t>
      </w:r>
      <w:r>
        <w:rPr>
          <w:rFonts w:hint="eastAsia" w:ascii="宋体" w:hAnsi="宋体" w:eastAsia="宋体" w:cs="宋体"/>
          <w:color w:val="auto"/>
          <w:sz w:val="24"/>
          <w:szCs w:val="24"/>
        </w:rPr>
        <w:t>）：____________________</w:t>
      </w:r>
    </w:p>
    <w:p w14:paraId="298B5309">
      <w:pPr>
        <w:overflowPunct/>
        <w:topLinePunct w:val="0"/>
        <w:bidi w:val="0"/>
        <w:adjustRightInd w:val="0"/>
        <w:snapToGrid w:val="0"/>
        <w:spacing w:line="500" w:lineRule="atLeast"/>
        <w:ind w:firstLine="480" w:firstLineChars="200"/>
        <w:rPr>
          <w:rFonts w:hint="eastAsia" w:ascii="Calibri Light" w:hAnsi="Calibri Light" w:eastAsia="宋体" w:cs="Times New Roman"/>
          <w:color w:val="auto"/>
          <w:sz w:val="32"/>
          <w:szCs w:val="32"/>
          <w:lang w:val="en-US" w:eastAsia="zh-CN"/>
        </w:rPr>
        <w:sectPr>
          <w:headerReference r:id="rId19" w:type="first"/>
          <w:footerReference r:id="rId21" w:type="first"/>
          <w:headerReference r:id="rId18" w:type="default"/>
          <w:footerReference r:id="rId20" w:type="default"/>
          <w:pgSz w:w="11906" w:h="16838"/>
          <w:pgMar w:top="1417" w:right="1417" w:bottom="1417" w:left="1417" w:header="1191" w:footer="992" w:gutter="0"/>
          <w:pgNumType w:fmt="decimal"/>
          <w:cols w:space="0" w:num="1"/>
          <w:titlePg/>
          <w:rtlGutter w:val="0"/>
          <w:docGrid w:type="lines" w:linePitch="333" w:charSpace="0"/>
        </w:sectPr>
      </w:pPr>
      <w:r>
        <w:rPr>
          <w:rFonts w:hint="eastAsia" w:ascii="宋体" w:hAnsi="宋体" w:eastAsia="宋体" w:cs="宋体"/>
          <w:color w:val="auto"/>
          <w:sz w:val="24"/>
          <w:szCs w:val="24"/>
        </w:rPr>
        <w:t>日    期：________年________月________日</w:t>
      </w:r>
    </w:p>
    <w:p w14:paraId="376E20B4">
      <w:pPr>
        <w:pStyle w:val="3"/>
        <w:pageBreakBefore/>
        <w:jc w:val="center"/>
        <w:rPr>
          <w:rFonts w:hint="eastAsia" w:ascii="Calibri Light" w:hAnsi="Calibri Light" w:eastAsia="宋体" w:cs="Times New Roman"/>
          <w:color w:val="auto"/>
          <w:sz w:val="32"/>
          <w:szCs w:val="32"/>
        </w:rPr>
        <w:sectPr>
          <w:pgSz w:w="11906" w:h="16838"/>
          <w:pgMar w:top="1417" w:right="1417" w:bottom="1417" w:left="1417" w:header="1191" w:footer="992" w:gutter="0"/>
          <w:pgNumType w:fmt="decimal"/>
          <w:cols w:space="0" w:num="1"/>
          <w:titlePg/>
          <w:rtlGutter w:val="0"/>
          <w:docGrid w:type="lines" w:linePitch="333" w:charSpace="0"/>
        </w:sectPr>
      </w:pPr>
      <w:r>
        <w:rPr>
          <w:rFonts w:hint="eastAsia" w:ascii="Calibri Light" w:hAnsi="Calibri Light" w:eastAsia="宋体" w:cs="Times New Roman"/>
          <w:color w:val="auto"/>
          <w:sz w:val="32"/>
          <w:szCs w:val="32"/>
          <w:lang w:val="en-US" w:eastAsia="zh-CN"/>
        </w:rPr>
        <w:t>第三章  已标价工程量清单</w:t>
      </w:r>
      <w:bookmarkEnd w:id="163"/>
      <w:bookmarkEnd w:id="164"/>
      <w:bookmarkEnd w:id="165"/>
      <w:bookmarkStart w:id="166" w:name="_Toc11309"/>
    </w:p>
    <w:p w14:paraId="06039206">
      <w:pPr>
        <w:pStyle w:val="3"/>
        <w:pageBreakBefore/>
        <w:jc w:val="center"/>
        <w:rPr>
          <w:rFonts w:ascii="宋体" w:hAnsi="宋体" w:cs="宋体"/>
          <w:color w:val="auto"/>
        </w:rPr>
      </w:pPr>
      <w:r>
        <w:rPr>
          <w:rFonts w:hint="eastAsia" w:ascii="Calibri Light" w:hAnsi="Calibri Light" w:cs="Times New Roman"/>
          <w:color w:val="auto"/>
          <w:sz w:val="32"/>
          <w:szCs w:val="32"/>
        </w:rPr>
        <w:t>第</w:t>
      </w:r>
      <w:r>
        <w:rPr>
          <w:rFonts w:hint="eastAsia" w:ascii="Calibri Light" w:hAnsi="Calibri Light" w:cs="Times New Roman"/>
          <w:color w:val="auto"/>
          <w:sz w:val="32"/>
          <w:szCs w:val="32"/>
          <w:lang w:val="en-US" w:eastAsia="zh-CN"/>
        </w:rPr>
        <w:t>四</w:t>
      </w:r>
      <w:r>
        <w:rPr>
          <w:rFonts w:hint="eastAsia" w:ascii="Calibri Light" w:hAnsi="Calibri Light" w:cs="Times New Roman"/>
          <w:color w:val="auto"/>
          <w:sz w:val="32"/>
          <w:szCs w:val="32"/>
        </w:rPr>
        <w:t>章</w:t>
      </w:r>
      <w:r>
        <w:rPr>
          <w:rFonts w:hint="eastAsia" w:ascii="Calibri Light" w:hAnsi="Calibri Light" w:cs="Times New Roman"/>
          <w:color w:val="auto"/>
          <w:sz w:val="32"/>
          <w:szCs w:val="32"/>
          <w:lang w:val="en-US" w:eastAsia="zh-CN"/>
        </w:rPr>
        <w:t xml:space="preserve"> </w:t>
      </w:r>
      <w:r>
        <w:rPr>
          <w:rFonts w:hint="eastAsia" w:ascii="Calibri Light" w:hAnsi="Calibri Light" w:cs="Times New Roman"/>
          <w:color w:val="auto"/>
          <w:sz w:val="32"/>
          <w:szCs w:val="32"/>
        </w:rPr>
        <w:t xml:space="preserve"> 供应商</w:t>
      </w:r>
      <w:r>
        <w:rPr>
          <w:rFonts w:hint="eastAsia" w:ascii="Calibri Light" w:hAnsi="Calibri Light" w:cs="Times New Roman"/>
          <w:color w:val="auto"/>
          <w:sz w:val="32"/>
          <w:szCs w:val="32"/>
          <w:lang w:val="en-US" w:eastAsia="zh-CN"/>
        </w:rPr>
        <w:t>资格证明文件</w:t>
      </w:r>
    </w:p>
    <w:p w14:paraId="11CD236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2B9BCC79">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133C5F2">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44B3F669">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2C96930D">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提供2024年度或2025年度经审计的财务审计报告</w:t>
      </w:r>
      <w:r>
        <w:rPr>
          <w:rFonts w:hint="eastAsia" w:ascii="宋体" w:hAnsi="宋体" w:eastAsia="宋体" w:cs="宋体"/>
          <w:i w:val="0"/>
          <w:iCs w:val="0"/>
          <w:caps w:val="0"/>
          <w:color w:val="auto"/>
          <w:spacing w:val="0"/>
          <w:sz w:val="24"/>
          <w:szCs w:val="24"/>
          <w:shd w:val="clear" w:fill="FFFFFF"/>
        </w:rPr>
        <w:t>（成立时间至提交响应文件截止时间不足一年的可提供成立后任意时段的资产负债表）或其基本存款账户开户银行出具的资信证明。</w:t>
      </w:r>
    </w:p>
    <w:p w14:paraId="423F77D8">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0D14A277">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3BE71050">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6DEF7934">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5DFDEDB0">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i w:val="0"/>
          <w:iCs w:val="0"/>
          <w:caps w:val="0"/>
          <w:color w:val="auto"/>
          <w:spacing w:val="0"/>
          <w:kern w:val="0"/>
          <w:sz w:val="24"/>
          <w:szCs w:val="24"/>
          <w:shd w:val="clear" w:fill="FFFFFF"/>
          <w:lang w:val="en-US" w:eastAsia="zh-CN" w:bidi="ar-SA"/>
        </w:rPr>
        <w:t>（10）本</w:t>
      </w:r>
      <w:r>
        <w:rPr>
          <w:rFonts w:hint="eastAsia" w:ascii="宋体" w:hAnsi="宋体" w:eastAsia="宋体" w:cs="宋体"/>
          <w:i w:val="0"/>
          <w:iCs w:val="0"/>
          <w:caps w:val="0"/>
          <w:color w:val="auto"/>
          <w:spacing w:val="0"/>
          <w:sz w:val="24"/>
          <w:szCs w:val="24"/>
          <w:shd w:val="clear" w:fill="FFFFFF"/>
        </w:rPr>
        <w:t>项目专门面向中小企业采购，投标人须提供《中小企业声明函》。</w:t>
      </w:r>
    </w:p>
    <w:p w14:paraId="6154546F">
      <w:pPr>
        <w:widowControl/>
        <w:jc w:val="left"/>
        <w:rPr>
          <w:rFonts w:ascii="宋体" w:hAnsi="宋体" w:cs="Arial"/>
          <w:b/>
          <w:color w:val="auto"/>
          <w:kern w:val="0"/>
          <w:sz w:val="32"/>
          <w:szCs w:val="32"/>
        </w:rPr>
      </w:pPr>
      <w:r>
        <w:rPr>
          <w:rFonts w:ascii="宋体" w:hAnsi="宋体" w:cs="Arial"/>
          <w:b/>
          <w:color w:val="auto"/>
          <w:kern w:val="0"/>
          <w:sz w:val="32"/>
          <w:szCs w:val="32"/>
        </w:rPr>
        <w:br w:type="page"/>
      </w:r>
    </w:p>
    <w:p w14:paraId="12D6F661">
      <w:pPr>
        <w:tabs>
          <w:tab w:val="left" w:pos="210"/>
        </w:tabs>
        <w:spacing w:line="320" w:lineRule="exact"/>
        <w:rPr>
          <w:rFonts w:ascii="宋体" w:hAnsi="宋体" w:cs="Arial"/>
          <w:b/>
          <w:color w:val="auto"/>
          <w:kern w:val="0"/>
          <w:sz w:val="32"/>
          <w:szCs w:val="32"/>
        </w:rPr>
      </w:pPr>
    </w:p>
    <w:p w14:paraId="04642436">
      <w:pPr>
        <w:tabs>
          <w:tab w:val="left" w:pos="210"/>
        </w:tabs>
        <w:spacing w:line="420" w:lineRule="exact"/>
        <w:jc w:val="center"/>
        <w:rPr>
          <w:rFonts w:ascii="宋体" w:hAnsi="宋体" w:cs="Arial"/>
          <w:b/>
          <w:color w:val="auto"/>
          <w:kern w:val="0"/>
          <w:sz w:val="32"/>
          <w:szCs w:val="32"/>
        </w:rPr>
      </w:pPr>
      <w:r>
        <w:rPr>
          <w:rFonts w:hint="eastAsia" w:ascii="宋体" w:hAnsi="宋体" w:cs="Arial"/>
          <w:b/>
          <w:color w:val="auto"/>
          <w:kern w:val="0"/>
          <w:sz w:val="32"/>
          <w:szCs w:val="32"/>
        </w:rPr>
        <w:t xml:space="preserve">    法定代表人证明书</w:t>
      </w:r>
    </w:p>
    <w:p w14:paraId="70678E52">
      <w:pPr>
        <w:tabs>
          <w:tab w:val="left" w:pos="210"/>
        </w:tabs>
        <w:spacing w:line="320" w:lineRule="exact"/>
        <w:jc w:val="center"/>
        <w:rPr>
          <w:rFonts w:ascii="宋体" w:hAnsi="宋体" w:cs="Arial"/>
          <w:b/>
          <w:color w:val="auto"/>
          <w:kern w:val="0"/>
          <w:sz w:val="32"/>
          <w:szCs w:val="32"/>
        </w:rPr>
      </w:pPr>
    </w:p>
    <w:tbl>
      <w:tblPr>
        <w:tblStyle w:val="34"/>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14B6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1FC18979">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ascii="宋体" w:hAnsi="宋体" w:eastAsia="宋体" w:cs="宋体"/>
                <w:color w:val="auto"/>
                <w:sz w:val="24"/>
                <w:szCs w:val="24"/>
              </w:rPr>
              <w:t>安康尚昊招标代理有限公司</w:t>
            </w:r>
          </w:p>
        </w:tc>
      </w:tr>
      <w:tr w14:paraId="7C9B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9549F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0D45D9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E6FB67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4374BA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0F8A06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7D01C51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E82F07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63612C8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673306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D8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B827B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066FD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16CE4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07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982A0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9E99EC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31A81F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BE3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245573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7DB9C07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0AC1846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27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48931CD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53602D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201335D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70BC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1758D17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CC190A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97EB4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7DA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2773E27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DC06D5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05E0A0A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64607D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019C53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B2C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2BEFC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BE37FC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43E29B1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33D0D4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65CEAB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53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42668D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4C5F5E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188BE0F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1173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1C01690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6062DE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19D964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0C8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3F13EFE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08FA341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52C2EA3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2C725D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61F1A7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321420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D5616D6">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580EB16A">
      <w:pPr>
        <w:pStyle w:val="3"/>
        <w:pageBreakBefore/>
        <w:rPr>
          <w:rFonts w:ascii="宋体" w:hAnsi="宋体" w:cs="宋体"/>
          <w:color w:val="auto"/>
        </w:rPr>
      </w:pPr>
      <w:bookmarkStart w:id="167" w:name="_Toc19543356"/>
      <w:r>
        <w:rPr>
          <w:rFonts w:hint="eastAsia" w:ascii="宋体" w:hAnsi="宋体" w:cs="宋体"/>
          <w:color w:val="auto"/>
        </w:rPr>
        <w:t>法定代表人授权书</w:t>
      </w:r>
      <w:bookmarkEnd w:id="167"/>
    </w:p>
    <w:p w14:paraId="28EA0032">
      <w:pPr>
        <w:pStyle w:val="15"/>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12E90487">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的采购活动。以我方名义全权处理该项目有关磋商、签订合同以及执行合同等一切事宜。</w:t>
      </w:r>
    </w:p>
    <w:p w14:paraId="45D0EF1A">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日历日，特此声明。</w:t>
      </w:r>
    </w:p>
    <w:p w14:paraId="5123BA0F">
      <w:pPr>
        <w:pStyle w:val="15"/>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74494C7A">
      <w:pPr>
        <w:pStyle w:val="15"/>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0F659769">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6BBC1C4">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57633C70">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1D9697D3">
      <w:pPr>
        <w:pStyle w:val="15"/>
        <w:spacing w:line="400" w:lineRule="exact"/>
        <w:ind w:firstLine="480" w:firstLineChars="200"/>
        <w:jc w:val="left"/>
        <w:rPr>
          <w:rFonts w:hint="eastAsia" w:hAnsi="宋体"/>
          <w:color w:val="auto"/>
          <w:sz w:val="24"/>
          <w:szCs w:val="24"/>
        </w:rPr>
      </w:pPr>
      <w:r>
        <w:rPr>
          <w:rFonts w:hint="eastAsia" w:ascii="宋体" w:hAnsi="宋体" w:cs="Courier New"/>
          <w:color w:val="auto"/>
          <w:sz w:val="24"/>
          <w:szCs w:val="24"/>
        </w:rPr>
        <w:t>签发日期：</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月</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日</w:t>
      </w:r>
    </w:p>
    <w:p w14:paraId="7259A9D8">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4"/>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7F72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05D6CD75">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60AAB148">
            <w:pPr>
              <w:pStyle w:val="15"/>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365C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61C28171">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73076516">
            <w:pPr>
              <w:pStyle w:val="15"/>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6BB56B2C">
      <w:pPr>
        <w:pStyle w:val="15"/>
        <w:spacing w:line="500" w:lineRule="exact"/>
        <w:ind w:firstLine="480" w:firstLineChars="200"/>
        <w:jc w:val="left"/>
        <w:rPr>
          <w:rFonts w:hAnsi="宋体"/>
          <w:color w:val="auto"/>
          <w:sz w:val="24"/>
          <w:szCs w:val="24"/>
        </w:rPr>
      </w:pPr>
      <w:r>
        <w:rPr>
          <w:rFonts w:hint="eastAsia" w:hAnsi="宋体"/>
          <w:color w:val="auto"/>
          <w:sz w:val="24"/>
          <w:szCs w:val="24"/>
        </w:rPr>
        <w:t>说明：</w:t>
      </w:r>
    </w:p>
    <w:p w14:paraId="611857B2">
      <w:pPr>
        <w:pStyle w:val="15"/>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21EDE4C">
      <w:pPr>
        <w:pStyle w:val="15"/>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287BDD40">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bookmarkStart w:id="168" w:name="_Toc536202397"/>
      <w:bookmarkStart w:id="169" w:name="_Toc536429337"/>
      <w:bookmarkStart w:id="170" w:name="_Toc536429390"/>
      <w:bookmarkStart w:id="171" w:name="_Toc19543357"/>
      <w:bookmarkStart w:id="172" w:name="_Toc536202328"/>
      <w:bookmarkStart w:id="173" w:name="_Toc7526"/>
    </w:p>
    <w:p w14:paraId="209A6BE8">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无重大违法记录声明</w:t>
      </w:r>
    </w:p>
    <w:p w14:paraId="319CDB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3016F78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特此声明。</w:t>
      </w:r>
    </w:p>
    <w:p w14:paraId="1D295CDD">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7D10ACE6">
      <w:pPr>
        <w:adjustRightInd w:val="0"/>
        <w:snapToGrid w:val="0"/>
        <w:spacing w:line="360" w:lineRule="auto"/>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2BDD6F16">
      <w:pPr>
        <w:adjustRightInd w:val="0"/>
        <w:snapToGrid w:val="0"/>
        <w:spacing w:line="360" w:lineRule="auto"/>
        <w:ind w:firstLine="480" w:firstLineChars="200"/>
        <w:rPr>
          <w:color w:val="auto"/>
        </w:rPr>
        <w:sectPr>
          <w:pgSz w:w="11906" w:h="16838"/>
          <w:pgMar w:top="1417" w:right="1417" w:bottom="1417" w:left="1417" w:header="1191" w:footer="992" w:gutter="0"/>
          <w:pgNumType w:fmt="decimal"/>
          <w:cols w:space="0" w:num="1"/>
          <w:titlePg/>
          <w:rtlGutter w:val="0"/>
          <w:docGrid w:type="lines" w:linePitch="333" w:charSpace="0"/>
        </w:sectPr>
      </w:pPr>
      <w:r>
        <w:rPr>
          <w:rFonts w:hint="eastAsia"/>
          <w:color w:val="auto"/>
          <w:sz w:val="24"/>
          <w:szCs w:val="24"/>
        </w:rPr>
        <w:t>日    期：________年________月________日</w:t>
      </w:r>
    </w:p>
    <w:p w14:paraId="3DBE63EF">
      <w:pPr>
        <w:adjustRightInd w:val="0"/>
        <w:snapToGrid w:val="0"/>
        <w:spacing w:line="360" w:lineRule="auto"/>
        <w:jc w:val="center"/>
        <w:rPr>
          <w:rFonts w:hint="eastAsia" w:ascii="宋体" w:hAnsi="宋体" w:eastAsia="宋体" w:cs="宋体"/>
          <w:b/>
          <w:bCs/>
          <w:color w:val="auto"/>
          <w:sz w:val="28"/>
          <w:szCs w:val="28"/>
        </w:rPr>
      </w:pPr>
    </w:p>
    <w:p w14:paraId="1A39FDE6">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35D3EEA7">
      <w:pPr>
        <w:adjustRightInd w:val="0"/>
        <w:snapToGrid w:val="0"/>
        <w:spacing w:line="360" w:lineRule="auto"/>
        <w:rPr>
          <w:rFonts w:hint="eastAsia" w:ascii="仿宋" w:hAnsi="仿宋" w:eastAsia="仿宋" w:cs="黑体"/>
          <w:bCs/>
          <w:color w:val="auto"/>
          <w:sz w:val="28"/>
          <w:szCs w:val="28"/>
        </w:rPr>
      </w:pPr>
    </w:p>
    <w:p w14:paraId="456C715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0BCC55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7195F77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7C28FD8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77A1BDC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6FBCFE9C">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特此声明。</w:t>
      </w:r>
    </w:p>
    <w:p w14:paraId="30D4DCCB">
      <w:pPr>
        <w:pStyle w:val="28"/>
        <w:ind w:firstLine="480"/>
        <w:rPr>
          <w:rFonts w:hint="eastAsia"/>
          <w:color w:val="auto"/>
        </w:rPr>
      </w:pPr>
    </w:p>
    <w:p w14:paraId="3674AB64">
      <w:pPr>
        <w:spacing w:line="360" w:lineRule="auto"/>
        <w:ind w:firstLine="480" w:firstLineChars="200"/>
        <w:rPr>
          <w:rFonts w:ascii="宋体" w:hAnsi="Calibri"/>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131BE649">
      <w:pPr>
        <w:adjustRightInd w:val="0"/>
        <w:snapToGrid w:val="0"/>
        <w:spacing w:line="360" w:lineRule="auto"/>
        <w:ind w:firstLine="480" w:firstLineChars="200"/>
        <w:rPr>
          <w:rFonts w:ascii="宋体" w:hAnsi="Calibri"/>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w:t>
      </w:r>
      <w:r>
        <w:rPr>
          <w:rFonts w:ascii="宋体" w:hAnsi="宋体" w:cs="宋体"/>
          <w:color w:val="auto"/>
          <w:sz w:val="24"/>
          <w:szCs w:val="24"/>
        </w:rPr>
        <w:t>____________________</w:t>
      </w:r>
    </w:p>
    <w:p w14:paraId="69221B47">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045CB2CB">
      <w:pPr>
        <w:spacing w:after="190" w:afterLines="50" w:line="480" w:lineRule="exact"/>
        <w:jc w:val="center"/>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中小企业声明函（工程、服务）</w:t>
      </w:r>
    </w:p>
    <w:p w14:paraId="3919315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A1D1A6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0314000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63AE8764">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4E74D41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9DE53FA">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A6FE42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3FAE8F54">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C49F051">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6615FE98">
      <w:pPr>
        <w:pStyle w:val="103"/>
        <w:rPr>
          <w:rFonts w:hint="eastAsia"/>
          <w:color w:val="auto"/>
          <w:lang w:val="en-US" w:eastAsia="zh-CN"/>
        </w:rPr>
      </w:pPr>
    </w:p>
    <w:p w14:paraId="689246B6">
      <w:pPr>
        <w:pStyle w:val="3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18F3486">
      <w:pPr>
        <w:pStyle w:val="11"/>
        <w:rPr>
          <w:rFonts w:hint="eastAsia" w:ascii="宋体" w:hAnsi="宋体" w:eastAsia="宋体" w:cs="宋体"/>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p>
    <w:p w14:paraId="679CD9D4">
      <w:pPr>
        <w:keepNext/>
        <w:keepLines/>
        <w:spacing w:line="415" w:lineRule="auto"/>
        <w:jc w:val="center"/>
        <w:outlineLvl w:val="1"/>
        <w:rPr>
          <w:rFonts w:ascii="Calibri Light" w:hAnsi="Calibri Light" w:cs="Times New Roman"/>
          <w:b/>
          <w:bCs/>
          <w:color w:val="auto"/>
          <w:sz w:val="32"/>
          <w:szCs w:val="32"/>
        </w:rPr>
      </w:pPr>
      <w:r>
        <w:rPr>
          <w:rFonts w:hint="eastAsia" w:ascii="Calibri Light" w:hAnsi="Calibri Light" w:cs="Times New Roman"/>
          <w:b/>
          <w:bCs/>
          <w:color w:val="auto"/>
          <w:sz w:val="32"/>
          <w:szCs w:val="32"/>
        </w:rPr>
        <w:t>第</w:t>
      </w:r>
      <w:r>
        <w:rPr>
          <w:rFonts w:hint="eastAsia" w:ascii="Calibri Light" w:hAnsi="Calibri Light" w:cs="Times New Roman"/>
          <w:b/>
          <w:bCs/>
          <w:color w:val="auto"/>
          <w:sz w:val="32"/>
          <w:szCs w:val="32"/>
          <w:lang w:val="en-US" w:eastAsia="zh-CN"/>
        </w:rPr>
        <w:t>五</w:t>
      </w:r>
      <w:r>
        <w:rPr>
          <w:rFonts w:hint="eastAsia" w:ascii="Calibri Light" w:hAnsi="Calibri Light" w:cs="Times New Roman"/>
          <w:b/>
          <w:bCs/>
          <w:color w:val="auto"/>
          <w:sz w:val="32"/>
          <w:szCs w:val="32"/>
        </w:rPr>
        <w:t xml:space="preserve">章 </w:t>
      </w:r>
      <w:bookmarkStart w:id="174" w:name="_Toc19543354"/>
      <w:r>
        <w:rPr>
          <w:rFonts w:hint="eastAsia" w:ascii="Calibri Light" w:hAnsi="Calibri Light" w:cs="Times New Roman"/>
          <w:b/>
          <w:bCs/>
          <w:color w:val="auto"/>
          <w:sz w:val="32"/>
          <w:szCs w:val="32"/>
        </w:rPr>
        <w:t>商务响应偏离表</w:t>
      </w:r>
      <w:bookmarkEnd w:id="174"/>
    </w:p>
    <w:tbl>
      <w:tblPr>
        <w:tblStyle w:val="3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A42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53C45609">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序号</w:t>
            </w:r>
          </w:p>
        </w:tc>
        <w:tc>
          <w:tcPr>
            <w:tcW w:w="2835" w:type="dxa"/>
            <w:vAlign w:val="center"/>
          </w:tcPr>
          <w:p w14:paraId="6B5CE4D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磋商</w:t>
            </w:r>
            <w:r>
              <w:rPr>
                <w:rFonts w:hint="eastAsia" w:ascii="宋体" w:hAnsi="宋体" w:eastAsia="宋体" w:cs="宋体"/>
                <w:b/>
                <w:color w:val="auto"/>
                <w:sz w:val="24"/>
                <w:szCs w:val="24"/>
              </w:rPr>
              <w:t>文件商务要求</w:t>
            </w:r>
          </w:p>
        </w:tc>
        <w:tc>
          <w:tcPr>
            <w:tcW w:w="2552" w:type="dxa"/>
            <w:vAlign w:val="center"/>
          </w:tcPr>
          <w:p w14:paraId="2043779E">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3F4B120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响应/</w:t>
            </w:r>
            <w:r>
              <w:rPr>
                <w:rFonts w:hint="eastAsia" w:ascii="宋体" w:hAnsi="宋体" w:eastAsia="宋体" w:cs="宋体"/>
                <w:b/>
                <w:color w:val="auto"/>
                <w:sz w:val="24"/>
                <w:szCs w:val="24"/>
              </w:rPr>
              <w:t>偏离</w:t>
            </w:r>
          </w:p>
        </w:tc>
        <w:tc>
          <w:tcPr>
            <w:tcW w:w="1516" w:type="dxa"/>
            <w:vAlign w:val="center"/>
          </w:tcPr>
          <w:p w14:paraId="245CCEC1">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098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8269180">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B36F29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4E756FAA">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B101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2F50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D8F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97D8403">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260DBC6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D6E16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3271A21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5DB5E">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2D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7BB1D4">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10285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888417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2462999">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102146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E24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C4A7843">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3E3B1C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77AC1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B712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F191F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5E088FAA">
      <w:pPr>
        <w:spacing w:line="360" w:lineRule="auto"/>
        <w:ind w:firstLine="480" w:firstLineChars="200"/>
        <w:rPr>
          <w:rFonts w:hint="eastAsia" w:ascii="宋体" w:hAnsi="宋体" w:cs="Times New Roman"/>
          <w:b w:val="0"/>
          <w:bCs w:val="0"/>
          <w:color w:val="auto"/>
          <w:sz w:val="24"/>
          <w:szCs w:val="24"/>
        </w:rPr>
      </w:pPr>
    </w:p>
    <w:p w14:paraId="4207AACB">
      <w:pPr>
        <w:spacing w:line="360" w:lineRule="auto"/>
        <w:ind w:firstLine="480" w:firstLineChars="200"/>
        <w:rPr>
          <w:rFonts w:ascii="Times New Roman" w:hAnsi="Times New Roman" w:cs="Times New Roman"/>
          <w:b w:val="0"/>
          <w:bCs w:val="0"/>
          <w:color w:val="auto"/>
          <w:sz w:val="24"/>
          <w:szCs w:val="24"/>
        </w:rPr>
      </w:pPr>
      <w:r>
        <w:rPr>
          <w:rFonts w:hint="eastAsia" w:ascii="宋体" w:hAnsi="宋体" w:cs="Times New Roman"/>
          <w:b w:val="0"/>
          <w:bCs w:val="0"/>
          <w:color w:val="auto"/>
          <w:sz w:val="24"/>
          <w:szCs w:val="24"/>
        </w:rPr>
        <w:t>注：对磋商文件中要求的商务条款响应并详细说明。</w:t>
      </w:r>
    </w:p>
    <w:p w14:paraId="752129BC">
      <w:pPr>
        <w:rPr>
          <w:rFonts w:ascii="Times New Roman" w:hAnsi="Times New Roman" w:cs="Times New Roman"/>
          <w:color w:val="auto"/>
          <w:sz w:val="24"/>
          <w:szCs w:val="24"/>
        </w:rPr>
      </w:pPr>
    </w:p>
    <w:p w14:paraId="631A5752">
      <w:pPr>
        <w:pStyle w:val="20"/>
        <w:rPr>
          <w:color w:val="auto"/>
        </w:rPr>
      </w:pPr>
    </w:p>
    <w:p w14:paraId="74B80580">
      <w:pPr>
        <w:pStyle w:val="20"/>
        <w:rPr>
          <w:color w:val="auto"/>
        </w:rPr>
      </w:pPr>
    </w:p>
    <w:p w14:paraId="01CE4F28">
      <w:pPr>
        <w:pStyle w:val="20"/>
        <w:rPr>
          <w:color w:val="auto"/>
        </w:rPr>
      </w:pPr>
    </w:p>
    <w:p w14:paraId="5C88CA64">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580425E8">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5C819905">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52846BCE">
      <w:pPr>
        <w:widowControl/>
        <w:jc w:val="left"/>
        <w:rPr>
          <w:rFonts w:ascii="宋体" w:hAnsi="宋体" w:cs="宋体"/>
          <w:b/>
          <w:bCs/>
          <w:color w:val="auto"/>
          <w:sz w:val="28"/>
          <w:szCs w:val="28"/>
        </w:rPr>
      </w:pPr>
    </w:p>
    <w:bookmarkEnd w:id="166"/>
    <w:bookmarkEnd w:id="168"/>
    <w:bookmarkEnd w:id="169"/>
    <w:bookmarkEnd w:id="170"/>
    <w:bookmarkEnd w:id="171"/>
    <w:bookmarkEnd w:id="172"/>
    <w:bookmarkEnd w:id="173"/>
    <w:p w14:paraId="728AB4B6">
      <w:pPr>
        <w:pStyle w:val="3"/>
        <w:pageBreakBefore/>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bookmarkStart w:id="175" w:name="_Toc1408"/>
    </w:p>
    <w:bookmarkEnd w:id="175"/>
    <w:p w14:paraId="1FB35719">
      <w:pPr>
        <w:pStyle w:val="3"/>
        <w:pageBreakBefore/>
        <w:rPr>
          <w:rFonts w:hint="eastAsia" w:ascii="Calibri Light" w:hAnsi="Calibri Light" w:eastAsia="宋体" w:cs="Times New Roman"/>
          <w:b/>
          <w:bCs/>
          <w:color w:val="auto"/>
          <w:kern w:val="2"/>
          <w:sz w:val="32"/>
          <w:szCs w:val="32"/>
          <w:lang w:val="en-US" w:eastAsia="zh-CN" w:bidi="ar-SA"/>
        </w:rPr>
      </w:pPr>
      <w:bookmarkStart w:id="176" w:name="_Toc9172"/>
      <w:bookmarkStart w:id="177" w:name="_Toc19543359"/>
      <w:bookmarkStart w:id="178" w:name="_Toc536202399"/>
      <w:bookmarkStart w:id="179" w:name="_Toc14937"/>
      <w:bookmarkStart w:id="180" w:name="_Toc536429392"/>
      <w:bookmarkStart w:id="181" w:name="_Toc536429339"/>
      <w:bookmarkStart w:id="182" w:name="_Toc536202330"/>
      <w:bookmarkStart w:id="183" w:name="_Toc1803"/>
      <w:r>
        <w:rPr>
          <w:rFonts w:hint="eastAsia" w:ascii="Calibri Light" w:hAnsi="Calibri Light" w:eastAsia="宋体" w:cs="Times New Roman"/>
          <w:b/>
          <w:bCs/>
          <w:color w:val="auto"/>
          <w:kern w:val="2"/>
          <w:sz w:val="32"/>
          <w:szCs w:val="32"/>
          <w:lang w:val="en-US" w:eastAsia="zh-CN" w:bidi="ar-SA"/>
        </w:rPr>
        <w:t xml:space="preserve">第六章  </w:t>
      </w:r>
      <w:bookmarkEnd w:id="176"/>
      <w:r>
        <w:rPr>
          <w:rFonts w:hint="eastAsia" w:ascii="Calibri Light" w:hAnsi="Calibri Light" w:cs="Times New Roman"/>
          <w:b/>
          <w:bCs/>
          <w:color w:val="auto"/>
          <w:kern w:val="2"/>
          <w:sz w:val="32"/>
          <w:szCs w:val="32"/>
          <w:lang w:val="en-US" w:eastAsia="zh-CN" w:bidi="ar-SA"/>
        </w:rPr>
        <w:t>响应</w:t>
      </w:r>
      <w:r>
        <w:rPr>
          <w:rFonts w:hint="eastAsia" w:ascii="Calibri Light" w:hAnsi="Calibri Light" w:eastAsia="宋体" w:cs="Times New Roman"/>
          <w:b/>
          <w:bCs/>
          <w:color w:val="auto"/>
          <w:kern w:val="2"/>
          <w:sz w:val="32"/>
          <w:szCs w:val="32"/>
          <w:lang w:val="en-US" w:eastAsia="zh-CN" w:bidi="ar-SA"/>
        </w:rPr>
        <w:t>方案</w:t>
      </w:r>
      <w:bookmarkEnd w:id="177"/>
      <w:bookmarkEnd w:id="178"/>
      <w:bookmarkEnd w:id="179"/>
      <w:bookmarkEnd w:id="180"/>
      <w:bookmarkEnd w:id="181"/>
      <w:bookmarkEnd w:id="182"/>
    </w:p>
    <w:p w14:paraId="1427B0E8">
      <w:pPr>
        <w:overflowPunct/>
        <w:topLinePunct w:val="0"/>
        <w:bidi w:val="0"/>
        <w:spacing w:line="500" w:lineRule="atLeast"/>
        <w:ind w:firstLine="482" w:firstLineChars="200"/>
        <w:rPr>
          <w:rFonts w:hint="eastAsia" w:ascii="宋体" w:hAnsi="宋体" w:eastAsia="宋体" w:cs="宋体"/>
          <w:b/>
          <w:bCs/>
          <w:color w:val="auto"/>
          <w:sz w:val="24"/>
          <w:szCs w:val="24"/>
        </w:rPr>
      </w:pPr>
      <w:bookmarkStart w:id="184" w:name="_Toc26541342"/>
      <w:bookmarkStart w:id="185" w:name="_Toc23258631"/>
      <w:bookmarkStart w:id="186" w:name="_Toc528240834"/>
      <w:bookmarkStart w:id="187" w:name="_Toc484198844"/>
      <w:bookmarkStart w:id="188" w:name="_Toc19543360"/>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磋商</w:t>
      </w:r>
      <w:r>
        <w:rPr>
          <w:rFonts w:hint="eastAsia" w:ascii="宋体" w:hAnsi="宋体" w:eastAsia="宋体" w:cs="宋体"/>
          <w:b/>
          <w:bCs/>
          <w:color w:val="auto"/>
          <w:sz w:val="24"/>
          <w:szCs w:val="24"/>
        </w:rPr>
        <w:t>文件的评审方法和程序各条款的要求，结合</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内容及商务要求编制</w:t>
      </w:r>
      <w:r>
        <w:rPr>
          <w:rFonts w:hint="eastAsia" w:ascii="宋体" w:hAnsi="宋体" w:cs="宋体"/>
          <w:b/>
          <w:bCs/>
          <w:color w:val="auto"/>
          <w:sz w:val="24"/>
          <w:szCs w:val="24"/>
          <w:lang w:val="en-US" w:eastAsia="zh-CN"/>
        </w:rPr>
        <w:t>响应</w:t>
      </w:r>
      <w:r>
        <w:rPr>
          <w:rFonts w:hint="eastAsia" w:ascii="宋体" w:hAnsi="宋体" w:eastAsia="宋体" w:cs="宋体"/>
          <w:b/>
          <w:bCs/>
          <w:color w:val="auto"/>
          <w:sz w:val="24"/>
          <w:szCs w:val="24"/>
        </w:rPr>
        <w:t>方案说明书，</w:t>
      </w:r>
      <w:r>
        <w:rPr>
          <w:rFonts w:hint="eastAsia" w:ascii="宋体" w:hAnsi="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方案由供应商自行编写，无具体格式，包含但不限于以下内容：</w:t>
      </w:r>
    </w:p>
    <w:p w14:paraId="67A3F37A">
      <w:pPr>
        <w:pStyle w:val="105"/>
        <w:keepNext w:val="0"/>
        <w:keepLines w:val="0"/>
        <w:pageBreakBefore w:val="0"/>
        <w:kinsoku/>
        <w:wordWrap/>
        <w:overflowPunct/>
        <w:topLinePunct w:val="0"/>
        <w:autoSpaceDE/>
        <w:autoSpaceDN/>
        <w:bidi w:val="0"/>
        <w:adjustRightInd/>
        <w:snapToGrid/>
        <w:spacing w:before="0" w:after="0" w:line="460" w:lineRule="exact"/>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1.施工方案；</w:t>
      </w:r>
    </w:p>
    <w:p w14:paraId="04543A17">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2.养护管理方案；</w:t>
      </w:r>
    </w:p>
    <w:p w14:paraId="6583CC4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3.质量保证措施；</w:t>
      </w:r>
    </w:p>
    <w:p w14:paraId="246E56F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4.安全保证措施；</w:t>
      </w:r>
    </w:p>
    <w:p w14:paraId="178BE6B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5.进度保障及措施；</w:t>
      </w:r>
    </w:p>
    <w:p w14:paraId="7F078D3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6.安全文明施工；</w:t>
      </w:r>
    </w:p>
    <w:p w14:paraId="64014D3C">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7.劳动力材料供应；</w:t>
      </w:r>
    </w:p>
    <w:p w14:paraId="398B002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8.机械设备配置；</w:t>
      </w:r>
    </w:p>
    <w:p w14:paraId="68662E6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9.应急预案；</w:t>
      </w:r>
    </w:p>
    <w:p w14:paraId="5C82756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Times New Roman"/>
          <w:b w:val="0"/>
          <w:bCs w:val="0"/>
          <w:color w:val="auto"/>
          <w:kern w:val="2"/>
          <w:sz w:val="24"/>
          <w:szCs w:val="24"/>
          <w:lang w:val="en-US" w:eastAsia="zh-CN" w:bidi="ar-SA"/>
        </w:rPr>
      </w:pPr>
      <w:r>
        <w:rPr>
          <w:rFonts w:hint="eastAsia" w:ascii="宋体" w:hAnsi="宋体" w:cs="Times New Roman"/>
          <w:b w:val="0"/>
          <w:bCs w:val="0"/>
          <w:color w:val="auto"/>
          <w:kern w:val="2"/>
          <w:sz w:val="24"/>
          <w:szCs w:val="24"/>
          <w:lang w:val="en-US" w:eastAsia="zh-CN" w:bidi="ar-SA"/>
        </w:rPr>
        <w:t>7.售后服务方案；</w:t>
      </w:r>
    </w:p>
    <w:p w14:paraId="4015E6A6">
      <w:pPr>
        <w:pStyle w:val="105"/>
        <w:keepNext w:val="0"/>
        <w:keepLines w:val="0"/>
        <w:pageBreakBefore w:val="0"/>
        <w:kinsoku/>
        <w:wordWrap/>
        <w:overflowPunct/>
        <w:topLinePunct w:val="0"/>
        <w:autoSpaceDE/>
        <w:autoSpaceDN/>
        <w:bidi w:val="0"/>
        <w:adjustRightInd/>
        <w:snapToGrid/>
        <w:spacing w:before="0" w:after="0" w:line="460" w:lineRule="exact"/>
        <w:textAlignment w:val="auto"/>
        <w:rPr>
          <w:rFonts w:hint="eastAsia" w:ascii="宋体" w:hAnsi="宋体" w:eastAsia="宋体" w:cs="Times New Roman"/>
          <w:b w:val="0"/>
          <w:bCs w:val="0"/>
          <w:color w:val="auto"/>
          <w:kern w:val="2"/>
          <w:sz w:val="24"/>
          <w:szCs w:val="24"/>
          <w:lang w:val="en-US" w:eastAsia="zh-CN" w:bidi="ar-SA"/>
        </w:rPr>
      </w:pPr>
      <w:r>
        <w:rPr>
          <w:rFonts w:hint="eastAsia" w:ascii="宋体" w:hAnsi="宋体" w:eastAsia="宋体" w:cs="Times New Roman"/>
          <w:b w:val="0"/>
          <w:bCs w:val="0"/>
          <w:color w:val="auto"/>
          <w:kern w:val="2"/>
          <w:sz w:val="24"/>
          <w:szCs w:val="24"/>
          <w:lang w:val="en-US" w:eastAsia="zh-CN" w:bidi="ar-SA"/>
        </w:rPr>
        <w:t>8.业绩；</w:t>
      </w:r>
    </w:p>
    <w:p w14:paraId="5D63B94D">
      <w:pPr>
        <w:pStyle w:val="105"/>
        <w:rPr>
          <w:rFonts w:hint="default"/>
          <w:color w:val="auto"/>
          <w:lang w:val="en-US" w:eastAsia="zh-CN"/>
        </w:rPr>
      </w:pPr>
      <w:r>
        <w:rPr>
          <w:rFonts w:hint="eastAsia" w:ascii="宋体" w:hAnsi="宋体" w:eastAsia="宋体" w:cs="Times New Roman"/>
          <w:b w:val="0"/>
          <w:bCs w:val="0"/>
          <w:color w:val="auto"/>
          <w:kern w:val="2"/>
          <w:sz w:val="24"/>
          <w:szCs w:val="24"/>
          <w:lang w:val="en-US" w:eastAsia="zh-CN" w:bidi="ar-SA"/>
        </w:rPr>
        <w:t>........</w:t>
      </w:r>
    </w:p>
    <w:p w14:paraId="6623791B">
      <w:pPr>
        <w:spacing w:line="520" w:lineRule="exact"/>
        <w:ind w:left="420" w:leftChars="200" w:firstLine="480" w:firstLineChars="200"/>
        <w:rPr>
          <w:rFonts w:ascii="宋体" w:hAnsi="宋体" w:cs="宋体"/>
          <w:color w:val="auto"/>
          <w:sz w:val="24"/>
        </w:rPr>
      </w:pPr>
    </w:p>
    <w:p w14:paraId="37C8C66E">
      <w:pPr>
        <w:widowControl/>
        <w:jc w:val="left"/>
        <w:rPr>
          <w:rFonts w:ascii="宋体" w:hAnsi="宋体" w:cs="Times New Roman"/>
          <w:color w:val="auto"/>
          <w:sz w:val="24"/>
          <w:szCs w:val="24"/>
        </w:rPr>
      </w:pPr>
      <w:r>
        <w:rPr>
          <w:rFonts w:ascii="宋体" w:hAnsi="宋体" w:cs="Times New Roman"/>
          <w:color w:val="auto"/>
          <w:sz w:val="24"/>
          <w:szCs w:val="24"/>
        </w:rPr>
        <w:br w:type="page"/>
      </w:r>
    </w:p>
    <w:p w14:paraId="1EB7EBB4">
      <w:pPr>
        <w:keepNext/>
        <w:keepLines/>
        <w:spacing w:before="260" w:after="260" w:line="416" w:lineRule="auto"/>
        <w:ind w:firstLine="482" w:firstLineChars="150"/>
        <w:jc w:val="center"/>
        <w:outlineLvl w:val="1"/>
        <w:rPr>
          <w:rFonts w:ascii="宋体" w:hAnsi="宋体" w:cs="宋体"/>
          <w:b/>
          <w:bCs/>
          <w:color w:val="auto"/>
          <w:kern w:val="20"/>
          <w:sz w:val="24"/>
          <w:szCs w:val="24"/>
        </w:rPr>
      </w:pPr>
      <w:r>
        <w:rPr>
          <w:rFonts w:hint="eastAsia" w:ascii="Calibri Light" w:hAnsi="Calibri Light" w:cs="Times New Roman"/>
          <w:b/>
          <w:bCs/>
          <w:color w:val="auto"/>
          <w:sz w:val="32"/>
          <w:szCs w:val="32"/>
        </w:rPr>
        <w:t>投标人情况表</w:t>
      </w:r>
      <w:bookmarkEnd w:id="184"/>
      <w:bookmarkEnd w:id="185"/>
      <w:bookmarkEnd w:id="186"/>
      <w:bookmarkEnd w:id="187"/>
    </w:p>
    <w:tbl>
      <w:tblPr>
        <w:tblStyle w:val="34"/>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0BD0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2097A22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B91FF3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1707012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6C132EE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7402CBE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1476C88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43DCF46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37A0DDF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50EA90D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338B9F8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3D72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0B39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63F1B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5866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ED16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A552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6BE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4651B1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DE2C9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E2F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E3E46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A0108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8BA03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C5FA3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47A71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C7A91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D20D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D4BFD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D53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D0F0F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84689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4CF0C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47940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002D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BDA37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5DF7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5E8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5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E71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CF973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0E43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048C1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09166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F309D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F7A3D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3BBE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6E2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7286E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9622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BC76A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A0066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6C44D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F2E2F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A1AF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DEC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6A5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1876F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19DF2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223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01FA9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98409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37FF3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6B43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16093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551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B24A4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F431D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B5D9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3302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5AE7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224D0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90097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B6E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6A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1068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4694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97E3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4CE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471C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DAF61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C7C0F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750F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351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CC7D2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B187A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F4BA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BF0E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C0F2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6BC0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AAF0F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4D71A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40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0A53A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FD9D6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E062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DC029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35AC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23B6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9C37B7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CC97B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DA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227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337F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D98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3FF6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EDD3B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8CECEF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2070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CDE2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6D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2E451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2185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77B98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170E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B73F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8BAE2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D3B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E17B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1DB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74D55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FE45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FF6B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D04D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8640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6D08A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79734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17EEB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F73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A7C6A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4D38D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3EBE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6A3E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C54B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D057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53E40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E1155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B4B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72168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FBF6A0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783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83AE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ADA81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6B8776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E4E41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627DF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323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C9EA5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F7E94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BDF58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7F4D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FE43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A213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EEEC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C661F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7AB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45F3FB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53448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E5487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C4AF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7561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2319F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224F4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D1CB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31B33A79">
      <w:pPr>
        <w:rPr>
          <w:rFonts w:ascii="Times New Roman" w:hAnsi="Times New Roman" w:cs="Times New Roman"/>
          <w:color w:val="auto"/>
          <w:szCs w:val="22"/>
        </w:rPr>
      </w:pPr>
    </w:p>
    <w:p w14:paraId="44724DF8">
      <w:pPr>
        <w:adjustRightInd w:val="0"/>
        <w:snapToGrid w:val="0"/>
        <w:spacing w:line="480" w:lineRule="auto"/>
        <w:jc w:val="left"/>
        <w:rPr>
          <w:rFonts w:hint="eastAsia" w:ascii="宋体" w:hAnsi="宋体" w:eastAsia="宋体" w:cs="宋体"/>
          <w:color w:val="auto"/>
          <w:sz w:val="24"/>
          <w:szCs w:val="24"/>
        </w:rPr>
      </w:pPr>
      <w:bookmarkStart w:id="189" w:name="_Hlt491765868"/>
      <w:bookmarkEnd w:id="189"/>
      <w:bookmarkStart w:id="190" w:name="_Hlt491765944"/>
      <w:bookmarkEnd w:id="190"/>
      <w:bookmarkStart w:id="191" w:name="_Hlt491572882"/>
      <w:bookmarkEnd w:id="191"/>
      <w:bookmarkStart w:id="192" w:name="_Hlt491766019"/>
      <w:bookmarkEnd w:id="192"/>
      <w:bookmarkStart w:id="193" w:name="_Hlt491573425"/>
      <w:bookmarkEnd w:id="193"/>
    </w:p>
    <w:p w14:paraId="7A9DC047">
      <w:pPr>
        <w:adjustRightInd w:val="0"/>
        <w:snapToGrid w:val="0"/>
        <w:spacing w:line="480" w:lineRule="auto"/>
        <w:jc w:val="left"/>
        <w:rPr>
          <w:rFonts w:hint="eastAsia" w:ascii="宋体" w:hAnsi="宋体" w:eastAsia="宋体" w:cs="宋体"/>
          <w:color w:val="auto"/>
          <w:sz w:val="24"/>
          <w:szCs w:val="24"/>
        </w:rPr>
      </w:pPr>
    </w:p>
    <w:p w14:paraId="3EC4FA1C">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120BE305">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1560CADF">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4C56DECF">
      <w:pPr>
        <w:rPr>
          <w:rFonts w:ascii="Times New Roman" w:hAnsi="Times New Roman" w:cs="Times New Roman"/>
          <w:color w:val="auto"/>
          <w:sz w:val="24"/>
          <w:szCs w:val="24"/>
        </w:rPr>
      </w:pPr>
    </w:p>
    <w:p w14:paraId="01867E4D">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188"/>
    </w:p>
    <w:tbl>
      <w:tblPr>
        <w:tblStyle w:val="34"/>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63DCF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37D009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232E38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6E44EEB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4D81FF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630905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54D09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29246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628FEA9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9C28AB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F9FE3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9C87C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4CEF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70EFA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0B037A1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7166D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82C55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D474E2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BF7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61AC1E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4DFDC13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B4C045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EAB7A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CE51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C26A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586629">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7FF276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21DED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3CF51D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67FF49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6C80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323A55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4584C1C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F9986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0B7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3DBAC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3A7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AAB9AA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34B91A0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19CA42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C63A84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B0791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771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14D58B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B90158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D2E08C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C4CC2F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340FBF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14B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ED3D8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0ACA50B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D0EE1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47EAD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F3C3B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E3C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43A0FE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3FEB03B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FA2543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01A460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15CCBD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66B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ABEDA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1BB13AD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787568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399BF3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16C8E5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57C5FEB4">
      <w:pPr>
        <w:tabs>
          <w:tab w:val="left" w:pos="8782"/>
        </w:tabs>
        <w:snapToGrid w:val="0"/>
        <w:spacing w:line="360" w:lineRule="auto"/>
        <w:ind w:firstLine="480" w:firstLineChars="200"/>
        <w:rPr>
          <w:rFonts w:ascii="宋体" w:hAnsi="宋体" w:cs="Times New Roman"/>
          <w:color w:val="auto"/>
          <w:sz w:val="24"/>
          <w:szCs w:val="24"/>
        </w:rPr>
      </w:pPr>
    </w:p>
    <w:p w14:paraId="1A2A20AC">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5A1E0356">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71EADFC0">
      <w:pPr>
        <w:pStyle w:val="20"/>
        <w:rPr>
          <w:color w:val="auto"/>
        </w:rPr>
      </w:pPr>
    </w:p>
    <w:p w14:paraId="50681F89">
      <w:pPr>
        <w:adjustRightInd w:val="0"/>
        <w:snapToGrid w:val="0"/>
        <w:spacing w:line="480" w:lineRule="auto"/>
        <w:jc w:val="left"/>
        <w:rPr>
          <w:rFonts w:hint="eastAsia" w:ascii="宋体" w:hAnsi="宋体" w:eastAsia="宋体" w:cs="宋体"/>
          <w:color w:val="auto"/>
          <w:sz w:val="24"/>
          <w:szCs w:val="24"/>
        </w:rPr>
      </w:pPr>
    </w:p>
    <w:p w14:paraId="061833A3">
      <w:pPr>
        <w:adjustRightInd w:val="0"/>
        <w:snapToGrid w:val="0"/>
        <w:spacing w:line="480" w:lineRule="auto"/>
        <w:jc w:val="left"/>
        <w:rPr>
          <w:rFonts w:hint="eastAsia" w:ascii="宋体" w:hAnsi="宋体" w:eastAsia="宋体" w:cs="宋体"/>
          <w:color w:val="auto"/>
          <w:sz w:val="24"/>
          <w:szCs w:val="24"/>
        </w:rPr>
      </w:pPr>
    </w:p>
    <w:p w14:paraId="19BDBAAA">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E76914">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667FB279">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bookmarkEnd w:id="183"/>
    <w:p w14:paraId="665C59CE">
      <w:pPr>
        <w:pStyle w:val="3"/>
        <w:pageBreakBefore/>
        <w:rPr>
          <w:rFonts w:hint="eastAsia" w:ascii="Calibri Light" w:hAnsi="Calibri Light" w:eastAsia="宋体" w:cs="Times New Roman"/>
          <w:b/>
          <w:bCs/>
          <w:color w:val="auto"/>
          <w:kern w:val="2"/>
          <w:sz w:val="32"/>
          <w:szCs w:val="32"/>
          <w:lang w:val="en-US" w:eastAsia="zh-CN" w:bidi="ar-SA"/>
        </w:rPr>
      </w:pPr>
      <w:bookmarkStart w:id="194" w:name="_Toc10667"/>
      <w:bookmarkStart w:id="195" w:name="_Toc19543363"/>
      <w:bookmarkStart w:id="196" w:name="_Toc24683"/>
      <w:bookmarkStart w:id="197" w:name="_Toc536429342"/>
      <w:bookmarkStart w:id="198" w:name="_Toc536202402"/>
      <w:bookmarkStart w:id="199" w:name="_Toc536429395"/>
      <w:bookmarkStart w:id="200" w:name="_Toc536202333"/>
      <w:r>
        <w:rPr>
          <w:rFonts w:hint="eastAsia" w:ascii="Calibri Light" w:hAnsi="Calibri Light" w:eastAsia="宋体" w:cs="Times New Roman"/>
          <w:b/>
          <w:bCs/>
          <w:color w:val="auto"/>
          <w:kern w:val="2"/>
          <w:sz w:val="32"/>
          <w:szCs w:val="32"/>
          <w:lang w:val="en-US" w:eastAsia="zh-CN" w:bidi="ar-SA"/>
        </w:rPr>
        <w:t>第七章  供应商承诺书</w:t>
      </w:r>
      <w:bookmarkEnd w:id="194"/>
      <w:bookmarkEnd w:id="195"/>
      <w:bookmarkEnd w:id="196"/>
      <w:bookmarkEnd w:id="197"/>
      <w:bookmarkEnd w:id="198"/>
      <w:bookmarkEnd w:id="199"/>
      <w:bookmarkEnd w:id="200"/>
    </w:p>
    <w:p w14:paraId="4C71CC1C">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49F3FC4B">
      <w:pPr>
        <w:widowControl/>
        <w:spacing w:line="240" w:lineRule="exact"/>
        <w:ind w:firstLine="420" w:firstLineChars="200"/>
        <w:jc w:val="left"/>
        <w:rPr>
          <w:rFonts w:cs="仿宋" w:asciiTheme="minorEastAsia" w:hAnsiTheme="minorEastAsia" w:eastAsiaTheme="minorEastAsia"/>
          <w:bCs/>
          <w:color w:val="auto"/>
          <w:kern w:val="0"/>
        </w:rPr>
      </w:pPr>
    </w:p>
    <w:p w14:paraId="00EC87F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5CA608B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72D97D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BD60CF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10D66C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 xml:space="preserve">不采取“围标、陪标”等商业欺诈手段获得政府采购定单。 </w:t>
      </w:r>
    </w:p>
    <w:p w14:paraId="1B3BEDA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506A440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7744155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1E3B42F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179CC478">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2C4FF5D5">
      <w:pPr>
        <w:widowControl/>
        <w:spacing w:line="440" w:lineRule="exact"/>
        <w:ind w:firstLine="960" w:firstLineChars="400"/>
        <w:rPr>
          <w:rFonts w:cs="仿宋" w:asciiTheme="minorEastAsia" w:hAnsiTheme="minorEastAsia" w:eastAsiaTheme="minorEastAsia"/>
          <w:bCs/>
          <w:color w:val="auto"/>
          <w:kern w:val="0"/>
          <w:sz w:val="24"/>
          <w:szCs w:val="28"/>
        </w:rPr>
      </w:pPr>
    </w:p>
    <w:p w14:paraId="7C82AD97">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6317FEFC">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 xml:space="preserve">） </w:t>
      </w:r>
    </w:p>
    <w:p w14:paraId="5A194E80">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4A559179">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798A17AC">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35580E5F">
      <w:pPr>
        <w:widowControl/>
        <w:spacing w:line="340" w:lineRule="exact"/>
        <w:rPr>
          <w:rFonts w:cs="仿宋" w:asciiTheme="minorEastAsia" w:hAnsiTheme="minorEastAsia" w:eastAsiaTheme="minorEastAsia"/>
          <w:bCs/>
          <w:color w:val="auto"/>
          <w:kern w:val="0"/>
          <w:sz w:val="24"/>
          <w:szCs w:val="28"/>
        </w:rPr>
      </w:pPr>
    </w:p>
    <w:p w14:paraId="1C570005">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0ED688C">
      <w:pPr>
        <w:widowControl/>
        <w:spacing w:line="640" w:lineRule="exact"/>
        <w:jc w:val="center"/>
        <w:rPr>
          <w:rFonts w:cs="仿宋" w:asciiTheme="minorEastAsia" w:hAnsiTheme="minorEastAsia" w:eastAsiaTheme="minorEastAsia"/>
          <w:bCs/>
          <w:color w:val="auto"/>
          <w:sz w:val="36"/>
          <w:szCs w:val="40"/>
        </w:rPr>
      </w:pPr>
    </w:p>
    <w:p w14:paraId="329BED2C">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5C0545C3">
      <w:pPr>
        <w:widowControl/>
        <w:jc w:val="left"/>
        <w:rPr>
          <w:rFonts w:cs="仿宋" w:asciiTheme="minorEastAsia" w:hAnsiTheme="minorEastAsia" w:eastAsiaTheme="minorEastAsia"/>
          <w:bCs/>
          <w:color w:val="auto"/>
          <w:kern w:val="0"/>
          <w:sz w:val="32"/>
          <w:szCs w:val="32"/>
        </w:rPr>
      </w:pPr>
    </w:p>
    <w:p w14:paraId="41018882">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F16C49A">
      <w:pPr>
        <w:widowControl/>
        <w:shd w:val="clear" w:color="auto" w:fill="FFFFFF"/>
        <w:spacing w:before="100" w:beforeAutospacing="1" w:after="100" w:afterAutospacing="1" w:line="400" w:lineRule="exact"/>
        <w:jc w:val="center"/>
        <w:rPr>
          <w:rFonts w:cs="仿宋" w:asciiTheme="minorEastAsia" w:hAnsiTheme="minorEastAsia" w:eastAsiaTheme="minorEastAsia"/>
          <w:b/>
          <w:bCs w:val="0"/>
          <w:color w:val="auto"/>
          <w:kern w:val="0"/>
          <w:sz w:val="24"/>
          <w:szCs w:val="24"/>
        </w:rPr>
      </w:pPr>
      <w:r>
        <w:rPr>
          <w:rFonts w:hint="eastAsia" w:cs="仿宋" w:asciiTheme="minorEastAsia" w:hAnsiTheme="minorEastAsia" w:eastAsiaTheme="minorEastAsia"/>
          <w:b/>
          <w:bCs w:val="0"/>
          <w:color w:val="auto"/>
          <w:kern w:val="0"/>
          <w:sz w:val="32"/>
          <w:szCs w:val="32"/>
        </w:rPr>
        <w:t>承诺书Ⅱ</w:t>
      </w:r>
    </w:p>
    <w:p w14:paraId="354E2DF5">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3C6DEEC4">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78A0EBDC">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41504CC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267ACC4">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31E2ADF3">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w:t>
      </w:r>
    </w:p>
    <w:p w14:paraId="1A919D7B">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23C97535">
      <w:pPr>
        <w:pStyle w:val="3"/>
        <w:adjustRightInd w:val="0"/>
        <w:spacing w:line="416" w:lineRule="atLeast"/>
        <w:textAlignment w:val="baseline"/>
        <w:rPr>
          <w:rFonts w:ascii="宋体" w:hAnsi="宋体" w:cs="宋体"/>
          <w:color w:val="auto"/>
        </w:rPr>
      </w:pPr>
      <w:bookmarkStart w:id="201" w:name="_Toc536202334"/>
      <w:bookmarkStart w:id="202" w:name="_Toc536429396"/>
      <w:bookmarkStart w:id="203" w:name="_Toc536202403"/>
      <w:bookmarkStart w:id="204" w:name="_Toc536429343"/>
      <w:bookmarkStart w:id="205" w:name="_Toc25514"/>
    </w:p>
    <w:bookmarkEnd w:id="0"/>
    <w:bookmarkEnd w:id="201"/>
    <w:bookmarkEnd w:id="202"/>
    <w:bookmarkEnd w:id="203"/>
    <w:bookmarkEnd w:id="204"/>
    <w:bookmarkEnd w:id="205"/>
    <w:p w14:paraId="6E1D0FD5">
      <w:pPr>
        <w:widowControl/>
        <w:jc w:val="left"/>
        <w:rPr>
          <w:color w:val="auto"/>
          <w:sz w:val="24"/>
          <w:szCs w:val="28"/>
        </w:rPr>
      </w:pPr>
    </w:p>
    <w:p w14:paraId="18395C5F">
      <w:pPr>
        <w:pStyle w:val="11"/>
        <w:rPr>
          <w:color w:val="auto"/>
          <w:sz w:val="24"/>
          <w:szCs w:val="28"/>
        </w:rPr>
      </w:pPr>
    </w:p>
    <w:p w14:paraId="6FA812C5">
      <w:pPr>
        <w:rPr>
          <w:color w:val="auto"/>
          <w:sz w:val="24"/>
          <w:szCs w:val="28"/>
        </w:rPr>
      </w:pPr>
    </w:p>
    <w:p w14:paraId="437BF3F1">
      <w:pPr>
        <w:pStyle w:val="11"/>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rtlGutter w:val="0"/>
          <w:docGrid w:type="lines" w:linePitch="333" w:charSpace="0"/>
        </w:sectPr>
      </w:pPr>
    </w:p>
    <w:p w14:paraId="2B78AAB1">
      <w:pPr>
        <w:rPr>
          <w:color w:val="auto"/>
        </w:rPr>
      </w:pPr>
    </w:p>
    <w:p w14:paraId="775D3714">
      <w:pPr>
        <w:pStyle w:val="20"/>
        <w:rPr>
          <w:rFonts w:hint="eastAsia"/>
          <w:color w:val="auto"/>
        </w:rPr>
      </w:pPr>
    </w:p>
    <w:p w14:paraId="09511F4F">
      <w:pPr>
        <w:pStyle w:val="20"/>
        <w:rPr>
          <w:rFonts w:hint="eastAsia"/>
          <w:color w:val="auto"/>
        </w:rPr>
      </w:pPr>
    </w:p>
    <w:p w14:paraId="62B46690">
      <w:pPr>
        <w:pStyle w:val="20"/>
        <w:rPr>
          <w:rFonts w:hint="eastAsia"/>
          <w:color w:val="auto"/>
        </w:rPr>
      </w:pPr>
    </w:p>
    <w:p w14:paraId="06DC6332">
      <w:pPr>
        <w:pStyle w:val="20"/>
        <w:rPr>
          <w:rFonts w:hint="eastAsia"/>
          <w:color w:val="auto"/>
        </w:rPr>
      </w:pPr>
    </w:p>
    <w:p w14:paraId="286A6AF7">
      <w:pPr>
        <w:pStyle w:val="20"/>
        <w:rPr>
          <w:rFonts w:hint="eastAsia"/>
          <w:color w:val="auto"/>
        </w:rPr>
      </w:pPr>
    </w:p>
    <w:p w14:paraId="4314B1B4">
      <w:pPr>
        <w:pStyle w:val="20"/>
        <w:rPr>
          <w:rFonts w:hint="eastAsia"/>
          <w:color w:val="auto"/>
        </w:rPr>
      </w:pPr>
    </w:p>
    <w:p w14:paraId="7F0FC2AE">
      <w:pPr>
        <w:pStyle w:val="20"/>
        <w:rPr>
          <w:rFonts w:hint="eastAsia"/>
          <w:color w:val="auto"/>
        </w:rPr>
      </w:pPr>
    </w:p>
    <w:p w14:paraId="0D1949EB">
      <w:pPr>
        <w:pStyle w:val="20"/>
        <w:rPr>
          <w:rFonts w:hint="eastAsia"/>
          <w:color w:val="auto"/>
        </w:rPr>
      </w:pPr>
    </w:p>
    <w:p w14:paraId="1196B570">
      <w:pPr>
        <w:pStyle w:val="20"/>
        <w:rPr>
          <w:rFonts w:hint="eastAsia"/>
          <w:color w:val="auto"/>
        </w:rPr>
      </w:pPr>
    </w:p>
    <w:p w14:paraId="23EA664E">
      <w:pPr>
        <w:pStyle w:val="20"/>
        <w:rPr>
          <w:rFonts w:hint="eastAsia"/>
          <w:color w:val="auto"/>
        </w:rPr>
      </w:pPr>
    </w:p>
    <w:p w14:paraId="0769AC00">
      <w:pPr>
        <w:pStyle w:val="20"/>
        <w:rPr>
          <w:rFonts w:hint="eastAsia"/>
          <w:color w:val="auto"/>
        </w:rPr>
      </w:pPr>
    </w:p>
    <w:p w14:paraId="3C47C8C1">
      <w:pPr>
        <w:pStyle w:val="20"/>
        <w:rPr>
          <w:rFonts w:hint="eastAsia"/>
          <w:color w:val="auto"/>
        </w:rPr>
      </w:pPr>
    </w:p>
    <w:p w14:paraId="23181402">
      <w:pPr>
        <w:pStyle w:val="20"/>
        <w:rPr>
          <w:rFonts w:hint="eastAsia"/>
          <w:color w:val="auto"/>
        </w:rPr>
      </w:pPr>
    </w:p>
    <w:p w14:paraId="767D1CA1">
      <w:pPr>
        <w:pStyle w:val="20"/>
        <w:rPr>
          <w:rFonts w:hint="eastAsia"/>
          <w:color w:val="auto"/>
        </w:rPr>
      </w:pPr>
    </w:p>
    <w:p w14:paraId="7796C108">
      <w:pPr>
        <w:pStyle w:val="20"/>
        <w:rPr>
          <w:rFonts w:hint="eastAsia"/>
          <w:color w:val="auto"/>
        </w:rPr>
      </w:pPr>
    </w:p>
    <w:p w14:paraId="19E235D9">
      <w:pPr>
        <w:pStyle w:val="20"/>
        <w:rPr>
          <w:rFonts w:hint="eastAsia"/>
          <w:color w:val="auto"/>
        </w:rPr>
      </w:pPr>
    </w:p>
    <w:p w14:paraId="7891A375">
      <w:pPr>
        <w:pStyle w:val="20"/>
        <w:rPr>
          <w:rFonts w:hint="eastAsia"/>
          <w:color w:val="auto"/>
        </w:rPr>
      </w:pPr>
    </w:p>
    <w:p w14:paraId="3000B14B">
      <w:pPr>
        <w:pStyle w:val="20"/>
        <w:rPr>
          <w:rFonts w:hint="eastAsia"/>
          <w:color w:val="auto"/>
        </w:rPr>
      </w:pPr>
    </w:p>
    <w:p w14:paraId="7B4A390E">
      <w:pPr>
        <w:pStyle w:val="20"/>
        <w:rPr>
          <w:rFonts w:hint="eastAsia"/>
          <w:color w:val="auto"/>
        </w:rPr>
      </w:pPr>
    </w:p>
    <w:p w14:paraId="750F1F1C">
      <w:pPr>
        <w:pStyle w:val="20"/>
        <w:rPr>
          <w:rFonts w:hint="eastAsia"/>
          <w:color w:val="auto"/>
        </w:rPr>
      </w:pPr>
    </w:p>
    <w:p w14:paraId="18E14C8F">
      <w:pPr>
        <w:pStyle w:val="20"/>
        <w:rPr>
          <w:rFonts w:hint="eastAsia"/>
          <w:color w:val="auto"/>
        </w:rPr>
      </w:pPr>
    </w:p>
    <w:p w14:paraId="199C8755">
      <w:pPr>
        <w:pStyle w:val="20"/>
        <w:rPr>
          <w:rFonts w:hint="eastAsia"/>
          <w:color w:val="auto"/>
        </w:rPr>
      </w:pPr>
    </w:p>
    <w:p w14:paraId="3005BFD9">
      <w:pPr>
        <w:pStyle w:val="20"/>
        <w:rPr>
          <w:rFonts w:hint="eastAsia"/>
          <w:color w:val="auto"/>
        </w:rPr>
      </w:pPr>
    </w:p>
    <w:p w14:paraId="26412661">
      <w:pPr>
        <w:pStyle w:val="20"/>
        <w:rPr>
          <w:rFonts w:hint="eastAsia"/>
          <w:color w:val="auto"/>
        </w:rPr>
      </w:pPr>
    </w:p>
    <w:p w14:paraId="354F6F27">
      <w:pPr>
        <w:pStyle w:val="20"/>
        <w:rPr>
          <w:rFonts w:hint="eastAsia"/>
          <w:color w:val="auto"/>
        </w:rPr>
      </w:pPr>
    </w:p>
    <w:p w14:paraId="5C5CD1D6">
      <w:pPr>
        <w:pStyle w:val="20"/>
        <w:rPr>
          <w:rFonts w:hint="eastAsia"/>
          <w:color w:val="auto"/>
        </w:rPr>
      </w:pPr>
    </w:p>
    <w:p w14:paraId="229E53E2">
      <w:pPr>
        <w:pStyle w:val="20"/>
        <w:rPr>
          <w:rFonts w:hint="eastAsia"/>
          <w:color w:val="auto"/>
        </w:rPr>
      </w:pPr>
    </w:p>
    <w:p w14:paraId="1321F1B0">
      <w:pPr>
        <w:pStyle w:val="20"/>
        <w:rPr>
          <w:rFonts w:hint="eastAsia"/>
          <w:color w:val="auto"/>
        </w:rPr>
      </w:pPr>
    </w:p>
    <w:p w14:paraId="280310F0">
      <w:pPr>
        <w:pStyle w:val="20"/>
        <w:rPr>
          <w:rFonts w:hint="eastAsia"/>
          <w:color w:val="auto"/>
        </w:rPr>
      </w:pPr>
    </w:p>
    <w:p w14:paraId="63880A84">
      <w:pPr>
        <w:pStyle w:val="20"/>
        <w:rPr>
          <w:rFonts w:hint="eastAsia"/>
          <w:color w:val="auto"/>
        </w:rPr>
      </w:pPr>
    </w:p>
    <w:p w14:paraId="64989FF4">
      <w:pPr>
        <w:pStyle w:val="20"/>
        <w:rPr>
          <w:rFonts w:hint="eastAsia"/>
          <w:color w:val="auto"/>
        </w:rPr>
      </w:pPr>
    </w:p>
    <w:p w14:paraId="1A492665">
      <w:pPr>
        <w:pStyle w:val="20"/>
        <w:rPr>
          <w:rFonts w:hint="eastAsia"/>
          <w:color w:val="auto"/>
        </w:rPr>
      </w:pPr>
    </w:p>
    <w:p w14:paraId="58FEE840">
      <w:pPr>
        <w:pStyle w:val="20"/>
        <w:rPr>
          <w:rFonts w:hint="eastAsia"/>
          <w:color w:val="auto"/>
        </w:rPr>
      </w:pPr>
    </w:p>
    <w:p w14:paraId="16828725">
      <w:pPr>
        <w:pStyle w:val="20"/>
        <w:rPr>
          <w:rFonts w:hint="eastAsia"/>
          <w:color w:val="auto"/>
        </w:rPr>
      </w:pPr>
    </w:p>
    <w:p w14:paraId="2F1A536E">
      <w:pPr>
        <w:pStyle w:val="20"/>
        <w:rPr>
          <w:rFonts w:hint="eastAsia"/>
          <w:color w:val="auto"/>
        </w:rPr>
      </w:pPr>
    </w:p>
    <w:p w14:paraId="505F7219">
      <w:pPr>
        <w:pStyle w:val="20"/>
        <w:rPr>
          <w:rFonts w:hint="eastAsia"/>
          <w:color w:val="auto"/>
        </w:rPr>
      </w:pPr>
    </w:p>
    <w:p w14:paraId="734D719E">
      <w:pPr>
        <w:pStyle w:val="20"/>
        <w:rPr>
          <w:rFonts w:hint="eastAsia"/>
          <w:color w:val="auto"/>
        </w:rPr>
      </w:pPr>
    </w:p>
    <w:p w14:paraId="52E526F2">
      <w:pPr>
        <w:pStyle w:val="20"/>
        <w:rPr>
          <w:rFonts w:hint="eastAsia"/>
          <w:color w:val="auto"/>
        </w:rPr>
      </w:pPr>
    </w:p>
    <w:p w14:paraId="29410928">
      <w:pPr>
        <w:pStyle w:val="20"/>
        <w:rPr>
          <w:rFonts w:hint="eastAsia"/>
          <w:color w:val="auto"/>
        </w:rPr>
      </w:pPr>
    </w:p>
    <w:p w14:paraId="5C53200C">
      <w:pPr>
        <w:pStyle w:val="20"/>
        <w:rPr>
          <w:rFonts w:hint="eastAsia"/>
          <w:color w:val="auto"/>
        </w:rPr>
      </w:pPr>
    </w:p>
    <w:p w14:paraId="3B738FE6">
      <w:pPr>
        <w:pStyle w:val="20"/>
        <w:rPr>
          <w:rFonts w:hint="eastAsia"/>
          <w:color w:val="auto"/>
        </w:rPr>
      </w:pPr>
    </w:p>
    <w:p w14:paraId="6A9423B1">
      <w:pPr>
        <w:pStyle w:val="20"/>
        <w:rPr>
          <w:rFonts w:hint="eastAsia"/>
          <w:color w:val="auto"/>
        </w:rPr>
      </w:pPr>
    </w:p>
    <w:p w14:paraId="3DAEF2D2">
      <w:pPr>
        <w:pStyle w:val="20"/>
        <w:rPr>
          <w:rFonts w:hint="eastAsia"/>
          <w:color w:val="auto"/>
        </w:rPr>
      </w:pPr>
    </w:p>
    <w:p w14:paraId="69B63914">
      <w:pPr>
        <w:pStyle w:val="20"/>
        <w:rPr>
          <w:rFonts w:hint="eastAsia"/>
          <w:color w:val="auto"/>
        </w:rPr>
      </w:pPr>
      <w:r>
        <w:rPr>
          <w:rFonts w:hint="eastAsia"/>
          <w:color w:val="auto"/>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7"/>
                    <a:stretch>
                      <a:fillRect/>
                    </a:stretch>
                  </pic:blipFill>
                  <pic:spPr>
                    <a:xfrm>
                      <a:off x="0" y="0"/>
                      <a:ext cx="353060" cy="255905"/>
                    </a:xfrm>
                    <a:prstGeom prst="rect">
                      <a:avLst/>
                    </a:prstGeom>
                  </pic:spPr>
                </pic:pic>
              </a:graphicData>
            </a:graphic>
          </wp:anchor>
        </w:drawing>
      </w:r>
    </w:p>
    <w:p w14:paraId="5F1B27CF">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14BED3A3">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198179FC">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地    址：安康市高新区高新观澜8幢2单元801室</w:t>
      </w:r>
    </w:p>
    <w:p w14:paraId="3EA205EF">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邮    编：725000</w:t>
      </w:r>
    </w:p>
    <w:p w14:paraId="078C668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val="en-US" w:eastAsia="zh-CN"/>
        </w:rPr>
      </w:pPr>
      <w:r>
        <w:rPr>
          <w:rFonts w:hint="eastAsia" w:asciiTheme="majorEastAsia" w:hAnsiTheme="majorEastAsia" w:eastAsiaTheme="majorEastAsia" w:cstheme="majorEastAsia"/>
          <w:color w:val="auto"/>
          <w:spacing w:val="-6"/>
          <w:sz w:val="28"/>
          <w:szCs w:val="28"/>
          <w:lang w:eastAsia="zh-CN"/>
        </w:rPr>
        <w:t>电    话：</w:t>
      </w:r>
      <w:r>
        <w:rPr>
          <w:rFonts w:hint="eastAsia" w:asciiTheme="majorEastAsia" w:hAnsiTheme="majorEastAsia" w:eastAsiaTheme="majorEastAsia" w:cstheme="majorEastAsia"/>
          <w:color w:val="auto"/>
          <w:spacing w:val="-6"/>
          <w:sz w:val="28"/>
          <w:szCs w:val="28"/>
          <w:lang w:val="en-US" w:eastAsia="zh-CN"/>
        </w:rPr>
        <w:t>13991519725</w:t>
      </w:r>
    </w:p>
    <w:p w14:paraId="651675B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公司名称：安康尚昊招标代理有限公司</w:t>
      </w:r>
    </w:p>
    <w:p w14:paraId="2956B673">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开户银行：中国建设银行股份有限公司安康分行营业部</w:t>
      </w:r>
    </w:p>
    <w:p w14:paraId="62671FBB">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账    号：61050166371100000492</w:t>
      </w:r>
      <w:r>
        <w:rPr>
          <w:rFonts w:hint="eastAsia" w:asciiTheme="majorEastAsia" w:hAnsiTheme="majorEastAsia" w:eastAsiaTheme="majorEastAsia" w:cstheme="majorEastAsia"/>
          <w:color w:val="auto"/>
          <w:spacing w:val="-6"/>
          <w:sz w:val="28"/>
          <w:szCs w:val="28"/>
          <w:lang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7496097">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p>
    <w:p w14:paraId="197E828D">
      <w:pPr>
        <w:keepNext w:val="0"/>
        <w:keepLines w:val="0"/>
        <w:pageBreakBefore w:val="0"/>
        <w:widowControl w:val="0"/>
        <w:kinsoku/>
        <w:wordWrap/>
        <w:overflowPunct/>
        <w:topLinePunct w:val="0"/>
        <w:autoSpaceDE/>
        <w:autoSpaceDN/>
        <w:bidi w:val="0"/>
        <w:adjustRightInd/>
        <w:snapToGrid/>
        <w:spacing w:line="20" w:lineRule="exact"/>
        <w:textAlignment w:val="auto"/>
        <w:rPr>
          <w:color w:val="auto"/>
        </w:rPr>
      </w:pPr>
    </w:p>
    <w:sectPr>
      <w:footerReference r:id="rId25" w:type="first"/>
      <w:footerReference r:id="rId24" w:type="default"/>
      <w:pgSz w:w="11906" w:h="16838"/>
      <w:pgMar w:top="1417" w:right="1417" w:bottom="1417" w:left="1417" w:header="1134"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18A69">
    <w:pPr>
      <w:pStyle w:val="20"/>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75747">
    <w:pPr>
      <w:pStyle w:val="20"/>
      <w:tabs>
        <w:tab w:val="center" w:pos="4819"/>
        <w:tab w:val="left" w:pos="7440"/>
      </w:tabs>
    </w:pPr>
    <w:r>
      <w:tab/>
    </w:r>
  </w:p>
  <w:p w14:paraId="0E0C7B40">
    <w:pPr>
      <w:pStyle w:val="20"/>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891F2">
    <w:pPr>
      <w:pStyle w:val="20"/>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5F4C">
    <w:pPr>
      <w:pStyle w:val="20"/>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023C4">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F6023C4">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62</w:t>
                    </w:r>
                    <w:r>
                      <w:t xml:space="preserve"> 页</w:t>
                    </w:r>
                  </w:p>
                </w:txbxContent>
              </v:textbox>
            </v:shape>
          </w:pict>
        </mc:Fallback>
      </mc:AlternateContent>
    </w:r>
    <w:r>
      <w:tab/>
    </w:r>
  </w:p>
  <w:p w14:paraId="4BF5D1EA">
    <w:pPr>
      <w:pStyle w:val="20"/>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CA7D">
    <w:pPr>
      <w:pStyle w:val="20"/>
      <w:tabs>
        <w:tab w:val="clear" w:pos="4153"/>
      </w:tabs>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B77DF">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8DB77DF">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E613B">
    <w:pPr>
      <w:pStyle w:val="20"/>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A923D">
                          <w:pPr>
                            <w:pStyle w:val="20"/>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87A923D">
                    <w:pPr>
                      <w:pStyle w:val="20"/>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62</w:t>
                    </w:r>
                    <w:r>
                      <w:t xml:space="preserve"> 页</w:t>
                    </w:r>
                  </w:p>
                </w:txbxContent>
              </v:textbox>
            </v:shape>
          </w:pict>
        </mc:Fallback>
      </mc:AlternateContent>
    </w:r>
    <w:r>
      <w:tab/>
    </w:r>
  </w:p>
  <w:p w14:paraId="58D1F380">
    <w:pPr>
      <w:pStyle w:val="20"/>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0C14">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5B946">
                          <w:pPr>
                            <w:pStyle w:val="20"/>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265B946">
                    <w:pPr>
                      <w:pStyle w:val="20"/>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62</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EA86D">
    <w:pPr>
      <w:pStyle w:val="20"/>
      <w:tabs>
        <w:tab w:val="center" w:pos="4819"/>
        <w:tab w:val="left" w:pos="7440"/>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9CE5F">
                          <w:pPr>
                            <w:pStyle w:val="20"/>
                          </w:pPr>
                          <w:r>
                            <w:t xml:space="preserve">第 </w:t>
                          </w:r>
                          <w:r>
                            <w:fldChar w:fldCharType="begin"/>
                          </w:r>
                          <w:r>
                            <w:instrText xml:space="preserve"> PAGE  \* MERGEFORMAT </w:instrText>
                          </w:r>
                          <w:r>
                            <w:fldChar w:fldCharType="separate"/>
                          </w:r>
                          <w:r>
                            <w:t>61</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A19CE5F">
                    <w:pPr>
                      <w:pStyle w:val="20"/>
                    </w:pPr>
                    <w:r>
                      <w:t xml:space="preserve">第 </w:t>
                    </w:r>
                    <w:r>
                      <w:fldChar w:fldCharType="begin"/>
                    </w:r>
                    <w:r>
                      <w:instrText xml:space="preserve"> PAGE  \* MERGEFORMAT </w:instrText>
                    </w:r>
                    <w:r>
                      <w:fldChar w:fldCharType="separate"/>
                    </w:r>
                    <w:r>
                      <w:t>61</w:t>
                    </w:r>
                    <w:r>
                      <w:fldChar w:fldCharType="end"/>
                    </w:r>
                    <w:r>
                      <w:t xml:space="preserve"> 页 共 </w:t>
                    </w:r>
                    <w:r>
                      <w:rPr>
                        <w:rFonts w:hint="eastAsia"/>
                        <w:lang w:val="en-US" w:eastAsia="zh-CN"/>
                      </w:rPr>
                      <w:t>62</w:t>
                    </w:r>
                    <w:r>
                      <w:t xml:space="preserve"> 页</w:t>
                    </w:r>
                  </w:p>
                </w:txbxContent>
              </v:textbox>
            </v:shape>
          </w:pict>
        </mc:Fallback>
      </mc:AlternateContent>
    </w:r>
    <w:r>
      <w:tab/>
    </w:r>
  </w:p>
  <w:p w14:paraId="56F0BAD3">
    <w:pPr>
      <w:pStyle w:val="20"/>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CC6A">
    <w:pPr>
      <w:pStyle w:val="2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934A5">
                          <w:pPr>
                            <w:pStyle w:val="20"/>
                          </w:pPr>
                          <w:r>
                            <w:t xml:space="preserve">第 </w:t>
                          </w:r>
                          <w:r>
                            <w:fldChar w:fldCharType="begin"/>
                          </w:r>
                          <w:r>
                            <w:instrText xml:space="preserve"> PAGE  \* MERGEFORMAT </w:instrText>
                          </w:r>
                          <w:r>
                            <w:fldChar w:fldCharType="separate"/>
                          </w:r>
                          <w:r>
                            <w:t>58</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64934A5">
                    <w:pPr>
                      <w:pStyle w:val="20"/>
                    </w:pPr>
                    <w:r>
                      <w:t xml:space="preserve">第 </w:t>
                    </w:r>
                    <w:r>
                      <w:fldChar w:fldCharType="begin"/>
                    </w:r>
                    <w:r>
                      <w:instrText xml:space="preserve"> PAGE  \* MERGEFORMAT </w:instrText>
                    </w:r>
                    <w:r>
                      <w:fldChar w:fldCharType="separate"/>
                    </w:r>
                    <w:r>
                      <w:t>58</w:t>
                    </w:r>
                    <w:r>
                      <w:fldChar w:fldCharType="end"/>
                    </w:r>
                    <w:r>
                      <w:t xml:space="preserve"> 页 共 </w:t>
                    </w:r>
                    <w:r>
                      <w:rPr>
                        <w:rFonts w:hint="eastAsia"/>
                        <w:lang w:val="en-US" w:eastAsia="zh-CN"/>
                      </w:rPr>
                      <w:t>62</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BE66E">
    <w:pPr>
      <w:pStyle w:val="20"/>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FA039">
                          <w:pPr>
                            <w:pStyle w:val="20"/>
                          </w:pPr>
                          <w:r>
                            <w:t xml:space="preserve">第 </w:t>
                          </w:r>
                          <w:r>
                            <w:fldChar w:fldCharType="begin"/>
                          </w:r>
                          <w:r>
                            <w:instrText xml:space="preserve"> PAGE  \* MERGEFORMAT </w:instrText>
                          </w:r>
                          <w:r>
                            <w:fldChar w:fldCharType="separate"/>
                          </w:r>
                          <w:r>
                            <w:t>69</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0FFA039">
                    <w:pPr>
                      <w:pStyle w:val="20"/>
                    </w:pPr>
                    <w:r>
                      <w:t xml:space="preserve">第 </w:t>
                    </w:r>
                    <w:r>
                      <w:fldChar w:fldCharType="begin"/>
                    </w:r>
                    <w:r>
                      <w:instrText xml:space="preserve"> PAGE  \* MERGEFORMAT </w:instrText>
                    </w:r>
                    <w:r>
                      <w:fldChar w:fldCharType="separate"/>
                    </w:r>
                    <w:r>
                      <w:t>69</w:t>
                    </w:r>
                    <w:r>
                      <w:fldChar w:fldCharType="end"/>
                    </w:r>
                    <w:r>
                      <w:t xml:space="preserve"> 页 共 </w:t>
                    </w:r>
                    <w:r>
                      <w:rPr>
                        <w:rFonts w:hint="eastAsia"/>
                        <w:lang w:val="en-US" w:eastAsia="zh-CN"/>
                      </w:rPr>
                      <w:t>62</w:t>
                    </w:r>
                    <w:r>
                      <w:t xml:space="preserve"> 页</w:t>
                    </w:r>
                  </w:p>
                </w:txbxContent>
              </v:textbox>
            </v:shape>
          </w:pict>
        </mc:Fallback>
      </mc:AlternateContent>
    </w:r>
    <w:r>
      <w:tab/>
    </w:r>
  </w:p>
  <w:p w14:paraId="4EEF941E">
    <w:pPr>
      <w:pStyle w:val="20"/>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C9006">
    <w:pPr>
      <w:pStyle w:val="2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BAB5C">
                          <w:pPr>
                            <w:pStyle w:val="20"/>
                          </w:pPr>
                          <w:r>
                            <w:t xml:space="preserve">第 </w:t>
                          </w:r>
                          <w:r>
                            <w:fldChar w:fldCharType="begin"/>
                          </w:r>
                          <w:r>
                            <w:instrText xml:space="preserve"> PAGE  \* MERGEFORMAT </w:instrText>
                          </w:r>
                          <w:r>
                            <w:fldChar w:fldCharType="separate"/>
                          </w:r>
                          <w:r>
                            <w:t>68</w:t>
                          </w:r>
                          <w:r>
                            <w:fldChar w:fldCharType="end"/>
                          </w:r>
                          <w:r>
                            <w:t xml:space="preserve"> 页 共 </w:t>
                          </w:r>
                          <w:r>
                            <w:rPr>
                              <w:rFonts w:hint="eastAsia"/>
                              <w:lang w:val="en-US" w:eastAsia="zh-CN"/>
                            </w:rPr>
                            <w:t>62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74BAB5C">
                    <w:pPr>
                      <w:pStyle w:val="20"/>
                    </w:pPr>
                    <w:r>
                      <w:t xml:space="preserve">第 </w:t>
                    </w:r>
                    <w:r>
                      <w:fldChar w:fldCharType="begin"/>
                    </w:r>
                    <w:r>
                      <w:instrText xml:space="preserve"> PAGE  \* MERGEFORMAT </w:instrText>
                    </w:r>
                    <w:r>
                      <w:fldChar w:fldCharType="separate"/>
                    </w:r>
                    <w:r>
                      <w:t>68</w:t>
                    </w:r>
                    <w:r>
                      <w:fldChar w:fldCharType="end"/>
                    </w:r>
                    <w:r>
                      <w:t xml:space="preserve"> 页 共 </w:t>
                    </w:r>
                    <w:r>
                      <w:rPr>
                        <w:rFonts w:hint="eastAsia"/>
                        <w:lang w:val="en-US" w:eastAsia="zh-CN"/>
                      </w:rPr>
                      <w:t>62</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C2A8">
    <w:pPr>
      <w:pStyle w:val="20"/>
      <w:tabs>
        <w:tab w:val="center" w:pos="4819"/>
        <w:tab w:val="left" w:pos="7440"/>
      </w:tabs>
    </w:pPr>
    <w:r>
      <w:tab/>
    </w:r>
  </w:p>
  <w:p w14:paraId="74586288">
    <w:pPr>
      <w:pStyle w:val="20"/>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9E52A">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0FFF4">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安康职业技术学院附属小学</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32AFA">
    <w:pPr>
      <w:pStyle w:val="21"/>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FE04B">
    <w:pPr>
      <w:pStyle w:val="21"/>
      <w:pBdr>
        <w:bottom w:val="none" w:color="auto" w:sz="0" w:space="1"/>
      </w:pBdr>
      <w:jc w:val="left"/>
      <w:rPr>
        <w:rFonts w:hint="default"/>
        <w:lang w:val="en-US"/>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EAD3">
    <w:pPr>
      <w:pStyle w:val="21"/>
      <w:pBdr>
        <w:bottom w:val="none" w:color="auto" w:sz="0" w:space="1"/>
      </w:pBdr>
      <w:jc w:val="both"/>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7F960">
    <w:pPr>
      <w:pStyle w:val="21"/>
      <w:pBdr>
        <w:bottom w:val="none" w:color="auto" w:sz="0" w:space="1"/>
      </w:pBdr>
      <w:jc w:val="both"/>
      <w:rPr>
        <w:rFonts w:hint="default"/>
        <w:lang w:val="en-US"/>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7142">
    <w:pPr>
      <w:pStyle w:val="21"/>
      <w:pBdr>
        <w:bottom w:val="none" w:color="auto" w:sz="0" w:space="1"/>
      </w:pBdr>
      <w:jc w:val="both"/>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FC443">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13C5F">
    <w:pPr>
      <w:pStyle w:val="21"/>
      <w:pBdr>
        <w:bottom w:val="none" w:color="auto" w:sz="0" w:space="1"/>
      </w:pBdr>
      <w:jc w:val="left"/>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E86AA">
    <w:pPr>
      <w:pStyle w:val="21"/>
      <w:pBdr>
        <w:bottom w:val="none" w:color="auto" w:sz="0" w:space="1"/>
      </w:pBdr>
      <w:jc w:val="left"/>
      <w:rPr>
        <w:rFonts w:hint="default" w:ascii="宋体" w:hAnsi="宋体" w:cs="宋体"/>
        <w:sz w:val="21"/>
        <w:szCs w:val="21"/>
        <w:u w:val="single"/>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F06A">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098F06A">
                    <w:pPr>
                      <w:pStyle w:val="21"/>
                    </w:pPr>
                  </w:p>
                </w:txbxContent>
              </v:textbox>
            </v:shape>
          </w:pict>
        </mc:Fallback>
      </mc:AlternateContent>
    </w: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6F30">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项目名称：安康职业技术学院附属小学绿化升级改造项目       项目编号：AKSH2026-ZCS-042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18FD4"/>
    <w:multiLevelType w:val="singleLevel"/>
    <w:tmpl w:val="94D18FD4"/>
    <w:lvl w:ilvl="0" w:tentative="0">
      <w:start w:val="1"/>
      <w:numFmt w:val="decimal"/>
      <w:lvlText w:val="%1."/>
      <w:lvlJc w:val="left"/>
      <w:pPr>
        <w:tabs>
          <w:tab w:val="left" w:pos="312"/>
        </w:tabs>
      </w:pPr>
    </w:lvl>
  </w:abstractNum>
  <w:abstractNum w:abstractNumId="1">
    <w:nsid w:val="AD4B5455"/>
    <w:multiLevelType w:val="singleLevel"/>
    <w:tmpl w:val="AD4B5455"/>
    <w:lvl w:ilvl="0" w:tentative="0">
      <w:start w:val="7"/>
      <w:numFmt w:val="chineseCounting"/>
      <w:suff w:val="nothing"/>
      <w:lvlText w:val="%1、"/>
      <w:lvlJc w:val="left"/>
      <w:rPr>
        <w:rFonts w:hint="eastAsia"/>
      </w:rPr>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dit="forms" w:enforcement="1" w:cryptProviderType="rsaFull" w:cryptAlgorithmClass="hash" w:cryptAlgorithmType="typeAny" w:cryptAlgorithmSid="4" w:cryptSpinCount="0" w:hash="NhMaVxuV7JMtHtUUA3ehgdg63b8=" w:salt="4L5jF4N1uscQxpxSxGbvaQ=="/>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3563"/>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739A1"/>
    <w:rsid w:val="00675301"/>
    <w:rsid w:val="00676150"/>
    <w:rsid w:val="0068208A"/>
    <w:rsid w:val="00686E29"/>
    <w:rsid w:val="0069197F"/>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2F2443"/>
    <w:rsid w:val="013A223F"/>
    <w:rsid w:val="013E5C8D"/>
    <w:rsid w:val="01450DC1"/>
    <w:rsid w:val="01525A0A"/>
    <w:rsid w:val="016A454D"/>
    <w:rsid w:val="016E2B68"/>
    <w:rsid w:val="017D3840"/>
    <w:rsid w:val="018E640A"/>
    <w:rsid w:val="01920D21"/>
    <w:rsid w:val="01AC2FBF"/>
    <w:rsid w:val="01AD1AAE"/>
    <w:rsid w:val="01C84DE7"/>
    <w:rsid w:val="01DA363D"/>
    <w:rsid w:val="01F90F7C"/>
    <w:rsid w:val="020600F6"/>
    <w:rsid w:val="02064B47"/>
    <w:rsid w:val="02192117"/>
    <w:rsid w:val="022D433C"/>
    <w:rsid w:val="0236335D"/>
    <w:rsid w:val="023C7D0C"/>
    <w:rsid w:val="02590F24"/>
    <w:rsid w:val="02854F8C"/>
    <w:rsid w:val="02B50726"/>
    <w:rsid w:val="02BA6C1F"/>
    <w:rsid w:val="02C56FBB"/>
    <w:rsid w:val="02CB14A4"/>
    <w:rsid w:val="02D3498C"/>
    <w:rsid w:val="02E57ADC"/>
    <w:rsid w:val="02F61685"/>
    <w:rsid w:val="02FA17E2"/>
    <w:rsid w:val="02FD5BFC"/>
    <w:rsid w:val="02FE73C3"/>
    <w:rsid w:val="030A0C9E"/>
    <w:rsid w:val="03442ED4"/>
    <w:rsid w:val="034C725D"/>
    <w:rsid w:val="037938F5"/>
    <w:rsid w:val="038C50E0"/>
    <w:rsid w:val="03A85B56"/>
    <w:rsid w:val="03C10C9F"/>
    <w:rsid w:val="03C921C1"/>
    <w:rsid w:val="03EA3C10"/>
    <w:rsid w:val="03FD053E"/>
    <w:rsid w:val="040B7728"/>
    <w:rsid w:val="04140CC2"/>
    <w:rsid w:val="0446450F"/>
    <w:rsid w:val="044E3659"/>
    <w:rsid w:val="04536164"/>
    <w:rsid w:val="04837BF7"/>
    <w:rsid w:val="04A70542"/>
    <w:rsid w:val="04AB0E36"/>
    <w:rsid w:val="04AC0867"/>
    <w:rsid w:val="04C42EA2"/>
    <w:rsid w:val="04CB26A7"/>
    <w:rsid w:val="04CD0688"/>
    <w:rsid w:val="04D502BA"/>
    <w:rsid w:val="04DF4866"/>
    <w:rsid w:val="04F06D3D"/>
    <w:rsid w:val="04FC43EA"/>
    <w:rsid w:val="050047DB"/>
    <w:rsid w:val="050438CD"/>
    <w:rsid w:val="052B0940"/>
    <w:rsid w:val="053973B5"/>
    <w:rsid w:val="05402991"/>
    <w:rsid w:val="054B711F"/>
    <w:rsid w:val="054E1CE0"/>
    <w:rsid w:val="056C728C"/>
    <w:rsid w:val="057A7F6E"/>
    <w:rsid w:val="059705B7"/>
    <w:rsid w:val="05D137D6"/>
    <w:rsid w:val="05D71396"/>
    <w:rsid w:val="05DB4DA3"/>
    <w:rsid w:val="05FA123D"/>
    <w:rsid w:val="05FB4E02"/>
    <w:rsid w:val="05FF224E"/>
    <w:rsid w:val="060454DB"/>
    <w:rsid w:val="06110D47"/>
    <w:rsid w:val="063F6A07"/>
    <w:rsid w:val="065A46B0"/>
    <w:rsid w:val="065B3B93"/>
    <w:rsid w:val="066D1D57"/>
    <w:rsid w:val="066D5199"/>
    <w:rsid w:val="066F6E3E"/>
    <w:rsid w:val="06B07B82"/>
    <w:rsid w:val="06B12629"/>
    <w:rsid w:val="06BD3616"/>
    <w:rsid w:val="06BE30D0"/>
    <w:rsid w:val="06CD112D"/>
    <w:rsid w:val="06DC7813"/>
    <w:rsid w:val="06E56C12"/>
    <w:rsid w:val="07224610"/>
    <w:rsid w:val="073278A0"/>
    <w:rsid w:val="073E5E68"/>
    <w:rsid w:val="07621A18"/>
    <w:rsid w:val="07634BF4"/>
    <w:rsid w:val="076E497F"/>
    <w:rsid w:val="077166EC"/>
    <w:rsid w:val="077741FC"/>
    <w:rsid w:val="0781151E"/>
    <w:rsid w:val="07892C9E"/>
    <w:rsid w:val="07997C89"/>
    <w:rsid w:val="07B241D3"/>
    <w:rsid w:val="07BE1E2B"/>
    <w:rsid w:val="07C5140B"/>
    <w:rsid w:val="07CF5DE6"/>
    <w:rsid w:val="07E562BD"/>
    <w:rsid w:val="07F700E8"/>
    <w:rsid w:val="07FC0B21"/>
    <w:rsid w:val="07FC0D88"/>
    <w:rsid w:val="08047F2D"/>
    <w:rsid w:val="08145F16"/>
    <w:rsid w:val="08366DA4"/>
    <w:rsid w:val="086E2AD1"/>
    <w:rsid w:val="087D1536"/>
    <w:rsid w:val="089E6E52"/>
    <w:rsid w:val="08B16FB6"/>
    <w:rsid w:val="08E53CD3"/>
    <w:rsid w:val="08E74CA6"/>
    <w:rsid w:val="08E95814"/>
    <w:rsid w:val="090A42F6"/>
    <w:rsid w:val="092266DC"/>
    <w:rsid w:val="09271A18"/>
    <w:rsid w:val="09293304"/>
    <w:rsid w:val="09306D58"/>
    <w:rsid w:val="09414AC1"/>
    <w:rsid w:val="09491BC8"/>
    <w:rsid w:val="0949327F"/>
    <w:rsid w:val="094D1E21"/>
    <w:rsid w:val="09560FD7"/>
    <w:rsid w:val="097A7578"/>
    <w:rsid w:val="099106B6"/>
    <w:rsid w:val="09913C41"/>
    <w:rsid w:val="099E1F14"/>
    <w:rsid w:val="09A52E1C"/>
    <w:rsid w:val="09A9060C"/>
    <w:rsid w:val="09C35E1E"/>
    <w:rsid w:val="09CF513B"/>
    <w:rsid w:val="09E25AD9"/>
    <w:rsid w:val="09EA213D"/>
    <w:rsid w:val="0A0976BB"/>
    <w:rsid w:val="0A3245CA"/>
    <w:rsid w:val="0A3E3F88"/>
    <w:rsid w:val="0A5C36A3"/>
    <w:rsid w:val="0A672A35"/>
    <w:rsid w:val="0A6F07AC"/>
    <w:rsid w:val="0A706A46"/>
    <w:rsid w:val="0A891706"/>
    <w:rsid w:val="0AB437F6"/>
    <w:rsid w:val="0AEE50E0"/>
    <w:rsid w:val="0AFC5610"/>
    <w:rsid w:val="0B462863"/>
    <w:rsid w:val="0B5A78B0"/>
    <w:rsid w:val="0B5D1A85"/>
    <w:rsid w:val="0B5D1E36"/>
    <w:rsid w:val="0B651A2B"/>
    <w:rsid w:val="0BA94BA0"/>
    <w:rsid w:val="0BB5243F"/>
    <w:rsid w:val="0BB772BD"/>
    <w:rsid w:val="0BC1638D"/>
    <w:rsid w:val="0BED26A5"/>
    <w:rsid w:val="0BEE4F68"/>
    <w:rsid w:val="0BF91A7F"/>
    <w:rsid w:val="0C0A394D"/>
    <w:rsid w:val="0C104C1F"/>
    <w:rsid w:val="0C193A0B"/>
    <w:rsid w:val="0C4A5A7C"/>
    <w:rsid w:val="0C5F0865"/>
    <w:rsid w:val="0C670CE3"/>
    <w:rsid w:val="0C7B690B"/>
    <w:rsid w:val="0C891E2E"/>
    <w:rsid w:val="0CB5191B"/>
    <w:rsid w:val="0CB6728F"/>
    <w:rsid w:val="0CD45C4C"/>
    <w:rsid w:val="0CFD25BD"/>
    <w:rsid w:val="0D1F6213"/>
    <w:rsid w:val="0D2652D8"/>
    <w:rsid w:val="0D2D00AD"/>
    <w:rsid w:val="0D3B3F1D"/>
    <w:rsid w:val="0D452987"/>
    <w:rsid w:val="0D62596E"/>
    <w:rsid w:val="0D6C19EE"/>
    <w:rsid w:val="0D70006B"/>
    <w:rsid w:val="0D7B32BC"/>
    <w:rsid w:val="0D933F5C"/>
    <w:rsid w:val="0DA800E4"/>
    <w:rsid w:val="0DC7526D"/>
    <w:rsid w:val="0DC7755F"/>
    <w:rsid w:val="0DCB40A1"/>
    <w:rsid w:val="0DF802F3"/>
    <w:rsid w:val="0E005C7A"/>
    <w:rsid w:val="0E0C42FA"/>
    <w:rsid w:val="0E381521"/>
    <w:rsid w:val="0E4C5684"/>
    <w:rsid w:val="0E5D7B1D"/>
    <w:rsid w:val="0E9C75AF"/>
    <w:rsid w:val="0EA91CC7"/>
    <w:rsid w:val="0EC875FE"/>
    <w:rsid w:val="0EE8058A"/>
    <w:rsid w:val="0EFD2AF6"/>
    <w:rsid w:val="0F03025E"/>
    <w:rsid w:val="0F1A17DC"/>
    <w:rsid w:val="0F1C13DE"/>
    <w:rsid w:val="0F261F26"/>
    <w:rsid w:val="0F323BCC"/>
    <w:rsid w:val="0F537409"/>
    <w:rsid w:val="0F6459AD"/>
    <w:rsid w:val="0F79260C"/>
    <w:rsid w:val="0F987E27"/>
    <w:rsid w:val="0FA47B58"/>
    <w:rsid w:val="0FA719DC"/>
    <w:rsid w:val="0FAB0EE6"/>
    <w:rsid w:val="0FBB76E3"/>
    <w:rsid w:val="0FC41BBC"/>
    <w:rsid w:val="0FC66DA3"/>
    <w:rsid w:val="100E0796"/>
    <w:rsid w:val="10102A21"/>
    <w:rsid w:val="10122E9C"/>
    <w:rsid w:val="10204FBD"/>
    <w:rsid w:val="10372E26"/>
    <w:rsid w:val="103966FB"/>
    <w:rsid w:val="105E41AB"/>
    <w:rsid w:val="106C132D"/>
    <w:rsid w:val="10794994"/>
    <w:rsid w:val="108E6DDE"/>
    <w:rsid w:val="10A6243E"/>
    <w:rsid w:val="10AB38B0"/>
    <w:rsid w:val="10DB24BE"/>
    <w:rsid w:val="10DD209D"/>
    <w:rsid w:val="10E44981"/>
    <w:rsid w:val="10FF1E8F"/>
    <w:rsid w:val="111645C6"/>
    <w:rsid w:val="112C7AF5"/>
    <w:rsid w:val="115433FE"/>
    <w:rsid w:val="11687FB0"/>
    <w:rsid w:val="119963B1"/>
    <w:rsid w:val="11AE2812"/>
    <w:rsid w:val="11B361D3"/>
    <w:rsid w:val="11BB4D58"/>
    <w:rsid w:val="11BB6630"/>
    <w:rsid w:val="11C8466F"/>
    <w:rsid w:val="11D20449"/>
    <w:rsid w:val="11EF6F34"/>
    <w:rsid w:val="120E39AF"/>
    <w:rsid w:val="12103BCB"/>
    <w:rsid w:val="123A4D81"/>
    <w:rsid w:val="12793BBE"/>
    <w:rsid w:val="127A7296"/>
    <w:rsid w:val="128C33F4"/>
    <w:rsid w:val="12C329EB"/>
    <w:rsid w:val="12C708C2"/>
    <w:rsid w:val="12C82F5F"/>
    <w:rsid w:val="131C06AC"/>
    <w:rsid w:val="133A4EB7"/>
    <w:rsid w:val="13487675"/>
    <w:rsid w:val="137447B2"/>
    <w:rsid w:val="13830E2C"/>
    <w:rsid w:val="138D11BC"/>
    <w:rsid w:val="13992EB6"/>
    <w:rsid w:val="139D2FCC"/>
    <w:rsid w:val="13A24639"/>
    <w:rsid w:val="13D84C83"/>
    <w:rsid w:val="13E946D3"/>
    <w:rsid w:val="13EA285B"/>
    <w:rsid w:val="14074063"/>
    <w:rsid w:val="142468C7"/>
    <w:rsid w:val="14365C2E"/>
    <w:rsid w:val="143C5260"/>
    <w:rsid w:val="143D057B"/>
    <w:rsid w:val="14480B77"/>
    <w:rsid w:val="149C20CC"/>
    <w:rsid w:val="14A12650"/>
    <w:rsid w:val="14AF4B49"/>
    <w:rsid w:val="14B41673"/>
    <w:rsid w:val="14B90B15"/>
    <w:rsid w:val="14CD1555"/>
    <w:rsid w:val="14D56A06"/>
    <w:rsid w:val="14E46C49"/>
    <w:rsid w:val="14E868B9"/>
    <w:rsid w:val="14F838A9"/>
    <w:rsid w:val="15273101"/>
    <w:rsid w:val="153E2DB6"/>
    <w:rsid w:val="154B7F88"/>
    <w:rsid w:val="155509E3"/>
    <w:rsid w:val="15550B09"/>
    <w:rsid w:val="155550C1"/>
    <w:rsid w:val="15576ACE"/>
    <w:rsid w:val="1568217F"/>
    <w:rsid w:val="15761223"/>
    <w:rsid w:val="15784E47"/>
    <w:rsid w:val="15861B5E"/>
    <w:rsid w:val="159517A5"/>
    <w:rsid w:val="15A74B21"/>
    <w:rsid w:val="15AB431C"/>
    <w:rsid w:val="15E23CA8"/>
    <w:rsid w:val="15FA6095"/>
    <w:rsid w:val="1606156C"/>
    <w:rsid w:val="166B3507"/>
    <w:rsid w:val="166C32BB"/>
    <w:rsid w:val="16A37A9D"/>
    <w:rsid w:val="16C2284B"/>
    <w:rsid w:val="16CB423B"/>
    <w:rsid w:val="16F861BD"/>
    <w:rsid w:val="17035549"/>
    <w:rsid w:val="17062F69"/>
    <w:rsid w:val="17103863"/>
    <w:rsid w:val="171347E8"/>
    <w:rsid w:val="17423544"/>
    <w:rsid w:val="17450DD5"/>
    <w:rsid w:val="17575561"/>
    <w:rsid w:val="176A1687"/>
    <w:rsid w:val="1779199A"/>
    <w:rsid w:val="17907B2D"/>
    <w:rsid w:val="179944DC"/>
    <w:rsid w:val="17A06173"/>
    <w:rsid w:val="17B56054"/>
    <w:rsid w:val="17C22E6D"/>
    <w:rsid w:val="17D908F6"/>
    <w:rsid w:val="17DF536C"/>
    <w:rsid w:val="17EA0C48"/>
    <w:rsid w:val="18120EEB"/>
    <w:rsid w:val="182B6938"/>
    <w:rsid w:val="18345C55"/>
    <w:rsid w:val="183D0E38"/>
    <w:rsid w:val="1841587E"/>
    <w:rsid w:val="184B14B9"/>
    <w:rsid w:val="184D1F22"/>
    <w:rsid w:val="18630E03"/>
    <w:rsid w:val="186F3E63"/>
    <w:rsid w:val="187857E7"/>
    <w:rsid w:val="187B19AA"/>
    <w:rsid w:val="18811F09"/>
    <w:rsid w:val="188321C6"/>
    <w:rsid w:val="189015C1"/>
    <w:rsid w:val="18917327"/>
    <w:rsid w:val="18921717"/>
    <w:rsid w:val="18A25EE0"/>
    <w:rsid w:val="18CC1476"/>
    <w:rsid w:val="190D3CF6"/>
    <w:rsid w:val="190E1B7D"/>
    <w:rsid w:val="191B713B"/>
    <w:rsid w:val="192F739D"/>
    <w:rsid w:val="195C4F98"/>
    <w:rsid w:val="195E21AF"/>
    <w:rsid w:val="19C27C94"/>
    <w:rsid w:val="19D10924"/>
    <w:rsid w:val="19DC5DE9"/>
    <w:rsid w:val="19E42EEC"/>
    <w:rsid w:val="19FC4F49"/>
    <w:rsid w:val="1A1E247D"/>
    <w:rsid w:val="1A206E13"/>
    <w:rsid w:val="1A324F2D"/>
    <w:rsid w:val="1A462475"/>
    <w:rsid w:val="1A754C02"/>
    <w:rsid w:val="1AA30DFE"/>
    <w:rsid w:val="1AC06A39"/>
    <w:rsid w:val="1ACC4F36"/>
    <w:rsid w:val="1AF11218"/>
    <w:rsid w:val="1AF44A0B"/>
    <w:rsid w:val="1B115D3C"/>
    <w:rsid w:val="1B1E0896"/>
    <w:rsid w:val="1B274435"/>
    <w:rsid w:val="1B3C173F"/>
    <w:rsid w:val="1B483F91"/>
    <w:rsid w:val="1B554868"/>
    <w:rsid w:val="1B614048"/>
    <w:rsid w:val="1B7C407F"/>
    <w:rsid w:val="1B807337"/>
    <w:rsid w:val="1BA47C58"/>
    <w:rsid w:val="1BB80F43"/>
    <w:rsid w:val="1BC170B5"/>
    <w:rsid w:val="1BC63CDD"/>
    <w:rsid w:val="1BC85289"/>
    <w:rsid w:val="1BCA2AC1"/>
    <w:rsid w:val="1BDC02C0"/>
    <w:rsid w:val="1BEB4B83"/>
    <w:rsid w:val="1BF0529D"/>
    <w:rsid w:val="1BF74872"/>
    <w:rsid w:val="1C446BE5"/>
    <w:rsid w:val="1C6457DA"/>
    <w:rsid w:val="1C6D0873"/>
    <w:rsid w:val="1C821221"/>
    <w:rsid w:val="1C915866"/>
    <w:rsid w:val="1CD102CB"/>
    <w:rsid w:val="1CE647C1"/>
    <w:rsid w:val="1D1A33B2"/>
    <w:rsid w:val="1D385997"/>
    <w:rsid w:val="1D3C25C0"/>
    <w:rsid w:val="1D5E31C4"/>
    <w:rsid w:val="1D673AB8"/>
    <w:rsid w:val="1D6B0D1C"/>
    <w:rsid w:val="1D724537"/>
    <w:rsid w:val="1D8D5C15"/>
    <w:rsid w:val="1D923F90"/>
    <w:rsid w:val="1D946A32"/>
    <w:rsid w:val="1DA31A6F"/>
    <w:rsid w:val="1DB51F23"/>
    <w:rsid w:val="1DC65199"/>
    <w:rsid w:val="1DE55082"/>
    <w:rsid w:val="1DEB7A42"/>
    <w:rsid w:val="1DF97E9A"/>
    <w:rsid w:val="1DFA19DF"/>
    <w:rsid w:val="1E1919C1"/>
    <w:rsid w:val="1E396257"/>
    <w:rsid w:val="1E414EAF"/>
    <w:rsid w:val="1E421B94"/>
    <w:rsid w:val="1E5A1C2F"/>
    <w:rsid w:val="1E5E18A6"/>
    <w:rsid w:val="1E707ECB"/>
    <w:rsid w:val="1E7B3D90"/>
    <w:rsid w:val="1E832DAB"/>
    <w:rsid w:val="1E865B1A"/>
    <w:rsid w:val="1EC331FD"/>
    <w:rsid w:val="1EDC3EA5"/>
    <w:rsid w:val="1EF17E08"/>
    <w:rsid w:val="1F1F3A24"/>
    <w:rsid w:val="1F206854"/>
    <w:rsid w:val="1F244EC9"/>
    <w:rsid w:val="1F2D6E0F"/>
    <w:rsid w:val="1F525822"/>
    <w:rsid w:val="1F5A3842"/>
    <w:rsid w:val="1F6659C8"/>
    <w:rsid w:val="1F690A75"/>
    <w:rsid w:val="1F7977EE"/>
    <w:rsid w:val="1F882FF2"/>
    <w:rsid w:val="1F895E51"/>
    <w:rsid w:val="1F9F1011"/>
    <w:rsid w:val="1FA073B6"/>
    <w:rsid w:val="1FA94D17"/>
    <w:rsid w:val="1FB12B7F"/>
    <w:rsid w:val="1FC14DDE"/>
    <w:rsid w:val="1FC81833"/>
    <w:rsid w:val="1FD91AA0"/>
    <w:rsid w:val="1FEA5A5B"/>
    <w:rsid w:val="1FFC578E"/>
    <w:rsid w:val="20025D99"/>
    <w:rsid w:val="200A2C27"/>
    <w:rsid w:val="203A68C1"/>
    <w:rsid w:val="2054435F"/>
    <w:rsid w:val="20670906"/>
    <w:rsid w:val="208640FC"/>
    <w:rsid w:val="20C3636D"/>
    <w:rsid w:val="20E03EA8"/>
    <w:rsid w:val="20ED38FC"/>
    <w:rsid w:val="211D78B0"/>
    <w:rsid w:val="212A1E87"/>
    <w:rsid w:val="212E72D0"/>
    <w:rsid w:val="213A3C94"/>
    <w:rsid w:val="213C19C8"/>
    <w:rsid w:val="213E32F0"/>
    <w:rsid w:val="2149131F"/>
    <w:rsid w:val="2149340F"/>
    <w:rsid w:val="214E43E5"/>
    <w:rsid w:val="21600B88"/>
    <w:rsid w:val="21B53414"/>
    <w:rsid w:val="21E5038E"/>
    <w:rsid w:val="21E8206B"/>
    <w:rsid w:val="21EA14F4"/>
    <w:rsid w:val="22330628"/>
    <w:rsid w:val="223E6CF8"/>
    <w:rsid w:val="2243364A"/>
    <w:rsid w:val="224E045E"/>
    <w:rsid w:val="226823A3"/>
    <w:rsid w:val="227C1E95"/>
    <w:rsid w:val="22833F45"/>
    <w:rsid w:val="229226B8"/>
    <w:rsid w:val="22A73267"/>
    <w:rsid w:val="22AF5BBC"/>
    <w:rsid w:val="22C677C0"/>
    <w:rsid w:val="22CD1033"/>
    <w:rsid w:val="22DD3C85"/>
    <w:rsid w:val="22E25187"/>
    <w:rsid w:val="234629D3"/>
    <w:rsid w:val="234A3673"/>
    <w:rsid w:val="23555288"/>
    <w:rsid w:val="23740A0F"/>
    <w:rsid w:val="23773046"/>
    <w:rsid w:val="238115CF"/>
    <w:rsid w:val="238A31D0"/>
    <w:rsid w:val="23A012D9"/>
    <w:rsid w:val="23AD3718"/>
    <w:rsid w:val="23B42767"/>
    <w:rsid w:val="23D5432C"/>
    <w:rsid w:val="23E303FA"/>
    <w:rsid w:val="23E869F5"/>
    <w:rsid w:val="23EB5574"/>
    <w:rsid w:val="23F911BA"/>
    <w:rsid w:val="23FE56CB"/>
    <w:rsid w:val="242B39CD"/>
    <w:rsid w:val="242D516F"/>
    <w:rsid w:val="24340889"/>
    <w:rsid w:val="244B3DA0"/>
    <w:rsid w:val="245247ED"/>
    <w:rsid w:val="24575A93"/>
    <w:rsid w:val="245C1D65"/>
    <w:rsid w:val="24897F40"/>
    <w:rsid w:val="248B67FD"/>
    <w:rsid w:val="248F6CA6"/>
    <w:rsid w:val="24A73AFB"/>
    <w:rsid w:val="24BF3406"/>
    <w:rsid w:val="24E3532B"/>
    <w:rsid w:val="2508212D"/>
    <w:rsid w:val="252B038C"/>
    <w:rsid w:val="252C333B"/>
    <w:rsid w:val="252E1698"/>
    <w:rsid w:val="25543DDA"/>
    <w:rsid w:val="255F7AD2"/>
    <w:rsid w:val="2562439C"/>
    <w:rsid w:val="256D4FBD"/>
    <w:rsid w:val="257A0E0A"/>
    <w:rsid w:val="257E016B"/>
    <w:rsid w:val="25861D82"/>
    <w:rsid w:val="25AA58E4"/>
    <w:rsid w:val="25B52A47"/>
    <w:rsid w:val="25C10491"/>
    <w:rsid w:val="25C46D47"/>
    <w:rsid w:val="25E074E7"/>
    <w:rsid w:val="25EE4017"/>
    <w:rsid w:val="25F25669"/>
    <w:rsid w:val="25F72C80"/>
    <w:rsid w:val="25F97290"/>
    <w:rsid w:val="26223B26"/>
    <w:rsid w:val="26241D26"/>
    <w:rsid w:val="2627224F"/>
    <w:rsid w:val="265B0A5D"/>
    <w:rsid w:val="26624D38"/>
    <w:rsid w:val="266360FF"/>
    <w:rsid w:val="266C4868"/>
    <w:rsid w:val="269D762C"/>
    <w:rsid w:val="26A10A3D"/>
    <w:rsid w:val="26C976F8"/>
    <w:rsid w:val="26D72EC0"/>
    <w:rsid w:val="26EF72E5"/>
    <w:rsid w:val="26FC4A2E"/>
    <w:rsid w:val="270B0E4A"/>
    <w:rsid w:val="27180E6A"/>
    <w:rsid w:val="271E393C"/>
    <w:rsid w:val="271E669F"/>
    <w:rsid w:val="27333A9E"/>
    <w:rsid w:val="273C73E8"/>
    <w:rsid w:val="273D5A6D"/>
    <w:rsid w:val="274023D4"/>
    <w:rsid w:val="274253D5"/>
    <w:rsid w:val="27663E92"/>
    <w:rsid w:val="276D74EC"/>
    <w:rsid w:val="276F6A21"/>
    <w:rsid w:val="278A534F"/>
    <w:rsid w:val="27A72484"/>
    <w:rsid w:val="27B04BAD"/>
    <w:rsid w:val="27C748D4"/>
    <w:rsid w:val="27D163B4"/>
    <w:rsid w:val="28002089"/>
    <w:rsid w:val="281C1B43"/>
    <w:rsid w:val="282B36F9"/>
    <w:rsid w:val="28375A3F"/>
    <w:rsid w:val="284A5CA4"/>
    <w:rsid w:val="28520495"/>
    <w:rsid w:val="286533D6"/>
    <w:rsid w:val="287813D0"/>
    <w:rsid w:val="28836A4D"/>
    <w:rsid w:val="28A813E1"/>
    <w:rsid w:val="28B92E20"/>
    <w:rsid w:val="28B93CEB"/>
    <w:rsid w:val="28E02A8F"/>
    <w:rsid w:val="28E1683E"/>
    <w:rsid w:val="28F416F8"/>
    <w:rsid w:val="29125D60"/>
    <w:rsid w:val="292B1C11"/>
    <w:rsid w:val="2960365F"/>
    <w:rsid w:val="29712D49"/>
    <w:rsid w:val="297B2875"/>
    <w:rsid w:val="299802D6"/>
    <w:rsid w:val="29A50D71"/>
    <w:rsid w:val="29C92C9E"/>
    <w:rsid w:val="29D10A88"/>
    <w:rsid w:val="29E76B67"/>
    <w:rsid w:val="2A1A46E9"/>
    <w:rsid w:val="2A2A2452"/>
    <w:rsid w:val="2A3717F0"/>
    <w:rsid w:val="2A441BE1"/>
    <w:rsid w:val="2A4836B1"/>
    <w:rsid w:val="2A4A0382"/>
    <w:rsid w:val="2A5341FD"/>
    <w:rsid w:val="2A851BD9"/>
    <w:rsid w:val="2A863893"/>
    <w:rsid w:val="2A932720"/>
    <w:rsid w:val="2AA02867"/>
    <w:rsid w:val="2AB357E7"/>
    <w:rsid w:val="2AC9578D"/>
    <w:rsid w:val="2ACC5C5A"/>
    <w:rsid w:val="2AF04F6E"/>
    <w:rsid w:val="2B000827"/>
    <w:rsid w:val="2B0C0F7B"/>
    <w:rsid w:val="2B0D7E3B"/>
    <w:rsid w:val="2B420288"/>
    <w:rsid w:val="2B421328"/>
    <w:rsid w:val="2B5C43D0"/>
    <w:rsid w:val="2B5E1033"/>
    <w:rsid w:val="2B5F159F"/>
    <w:rsid w:val="2B641D7F"/>
    <w:rsid w:val="2B6A541F"/>
    <w:rsid w:val="2B6D3C7A"/>
    <w:rsid w:val="2B786D85"/>
    <w:rsid w:val="2B927BC6"/>
    <w:rsid w:val="2B955445"/>
    <w:rsid w:val="2BB23B01"/>
    <w:rsid w:val="2BB32D41"/>
    <w:rsid w:val="2BC069D0"/>
    <w:rsid w:val="2BC367B8"/>
    <w:rsid w:val="2BD07B70"/>
    <w:rsid w:val="2BE960EF"/>
    <w:rsid w:val="2BFC2739"/>
    <w:rsid w:val="2C071A15"/>
    <w:rsid w:val="2C0B64AA"/>
    <w:rsid w:val="2C2D3420"/>
    <w:rsid w:val="2C5030EA"/>
    <w:rsid w:val="2C610E53"/>
    <w:rsid w:val="2C6C747A"/>
    <w:rsid w:val="2C7B4E8C"/>
    <w:rsid w:val="2C842D34"/>
    <w:rsid w:val="2C845095"/>
    <w:rsid w:val="2C9446A0"/>
    <w:rsid w:val="2CA04D25"/>
    <w:rsid w:val="2CAE1BBE"/>
    <w:rsid w:val="2CED77C1"/>
    <w:rsid w:val="2CF617E0"/>
    <w:rsid w:val="2CF77A09"/>
    <w:rsid w:val="2D0B4249"/>
    <w:rsid w:val="2D16631A"/>
    <w:rsid w:val="2D391C9E"/>
    <w:rsid w:val="2D4C5A5E"/>
    <w:rsid w:val="2D546C0A"/>
    <w:rsid w:val="2D5A4743"/>
    <w:rsid w:val="2D6C2100"/>
    <w:rsid w:val="2D762BBA"/>
    <w:rsid w:val="2D944CD1"/>
    <w:rsid w:val="2DBB723B"/>
    <w:rsid w:val="2DC37DF1"/>
    <w:rsid w:val="2DCE0619"/>
    <w:rsid w:val="2DD35AE8"/>
    <w:rsid w:val="2DD97BC5"/>
    <w:rsid w:val="2DE463B0"/>
    <w:rsid w:val="2DE6399F"/>
    <w:rsid w:val="2DE64BF5"/>
    <w:rsid w:val="2DE84AF7"/>
    <w:rsid w:val="2E0D173F"/>
    <w:rsid w:val="2E307DB7"/>
    <w:rsid w:val="2E3E5270"/>
    <w:rsid w:val="2E6011D7"/>
    <w:rsid w:val="2E727E5A"/>
    <w:rsid w:val="2E961606"/>
    <w:rsid w:val="2EC54F0E"/>
    <w:rsid w:val="2EFE7D6E"/>
    <w:rsid w:val="2EFF4953"/>
    <w:rsid w:val="2F1F0B51"/>
    <w:rsid w:val="2F4B7B98"/>
    <w:rsid w:val="2F984ABB"/>
    <w:rsid w:val="2FA015C3"/>
    <w:rsid w:val="2FDB716E"/>
    <w:rsid w:val="2FE34275"/>
    <w:rsid w:val="30052AD8"/>
    <w:rsid w:val="30201025"/>
    <w:rsid w:val="30561692"/>
    <w:rsid w:val="30586CDF"/>
    <w:rsid w:val="30600479"/>
    <w:rsid w:val="309722D7"/>
    <w:rsid w:val="309E4373"/>
    <w:rsid w:val="30AA13BF"/>
    <w:rsid w:val="30AA79E3"/>
    <w:rsid w:val="30B40AB8"/>
    <w:rsid w:val="30DF6CA0"/>
    <w:rsid w:val="30ED32FC"/>
    <w:rsid w:val="310A08C8"/>
    <w:rsid w:val="31195802"/>
    <w:rsid w:val="31321010"/>
    <w:rsid w:val="313533BC"/>
    <w:rsid w:val="313E4759"/>
    <w:rsid w:val="314B1C9B"/>
    <w:rsid w:val="314D7BF8"/>
    <w:rsid w:val="31612184"/>
    <w:rsid w:val="31692558"/>
    <w:rsid w:val="31796C3F"/>
    <w:rsid w:val="317D0C73"/>
    <w:rsid w:val="31926D16"/>
    <w:rsid w:val="3194218A"/>
    <w:rsid w:val="31B444D7"/>
    <w:rsid w:val="31C342A2"/>
    <w:rsid w:val="31F83438"/>
    <w:rsid w:val="31FC5556"/>
    <w:rsid w:val="32170FF5"/>
    <w:rsid w:val="32286B1B"/>
    <w:rsid w:val="32356B5E"/>
    <w:rsid w:val="324E226E"/>
    <w:rsid w:val="325356E2"/>
    <w:rsid w:val="32C1086E"/>
    <w:rsid w:val="32D4454C"/>
    <w:rsid w:val="32F341BB"/>
    <w:rsid w:val="32F54E61"/>
    <w:rsid w:val="330001A2"/>
    <w:rsid w:val="33044C2E"/>
    <w:rsid w:val="332A6927"/>
    <w:rsid w:val="332E6808"/>
    <w:rsid w:val="33386686"/>
    <w:rsid w:val="33434A04"/>
    <w:rsid w:val="334713E7"/>
    <w:rsid w:val="335C0F0C"/>
    <w:rsid w:val="3363480C"/>
    <w:rsid w:val="338257CE"/>
    <w:rsid w:val="33B10912"/>
    <w:rsid w:val="33D45A74"/>
    <w:rsid w:val="33EA4F8B"/>
    <w:rsid w:val="34027E2D"/>
    <w:rsid w:val="34112A47"/>
    <w:rsid w:val="341A1198"/>
    <w:rsid w:val="343717A5"/>
    <w:rsid w:val="344A5CAF"/>
    <w:rsid w:val="345E1EFF"/>
    <w:rsid w:val="345E211C"/>
    <w:rsid w:val="34627E84"/>
    <w:rsid w:val="346907A6"/>
    <w:rsid w:val="346C4843"/>
    <w:rsid w:val="34761B3D"/>
    <w:rsid w:val="347C6980"/>
    <w:rsid w:val="34861646"/>
    <w:rsid w:val="34B01683"/>
    <w:rsid w:val="34ED2EF3"/>
    <w:rsid w:val="34FB6280"/>
    <w:rsid w:val="35152498"/>
    <w:rsid w:val="351737E1"/>
    <w:rsid w:val="35184C6D"/>
    <w:rsid w:val="351C016C"/>
    <w:rsid w:val="351F0B3B"/>
    <w:rsid w:val="353D1B92"/>
    <w:rsid w:val="356946DE"/>
    <w:rsid w:val="356A2C20"/>
    <w:rsid w:val="35773F4E"/>
    <w:rsid w:val="358B1967"/>
    <w:rsid w:val="35906410"/>
    <w:rsid w:val="35BE61A8"/>
    <w:rsid w:val="35D903FF"/>
    <w:rsid w:val="35DB2555"/>
    <w:rsid w:val="35E1119D"/>
    <w:rsid w:val="35ED19A9"/>
    <w:rsid w:val="35EF609A"/>
    <w:rsid w:val="35F55D16"/>
    <w:rsid w:val="35FF1F8E"/>
    <w:rsid w:val="360E3D96"/>
    <w:rsid w:val="363506B5"/>
    <w:rsid w:val="36475791"/>
    <w:rsid w:val="366F28DB"/>
    <w:rsid w:val="368178C2"/>
    <w:rsid w:val="36897EB8"/>
    <w:rsid w:val="369116D0"/>
    <w:rsid w:val="369301F2"/>
    <w:rsid w:val="369F5F8F"/>
    <w:rsid w:val="36A1205A"/>
    <w:rsid w:val="36A46172"/>
    <w:rsid w:val="36B349A1"/>
    <w:rsid w:val="36CD7058"/>
    <w:rsid w:val="36D22E56"/>
    <w:rsid w:val="36D90673"/>
    <w:rsid w:val="36FA437E"/>
    <w:rsid w:val="370666E5"/>
    <w:rsid w:val="37211C00"/>
    <w:rsid w:val="373511EA"/>
    <w:rsid w:val="373F25CC"/>
    <w:rsid w:val="37411FAD"/>
    <w:rsid w:val="3745767C"/>
    <w:rsid w:val="374E3698"/>
    <w:rsid w:val="375111F8"/>
    <w:rsid w:val="37785578"/>
    <w:rsid w:val="377E35EE"/>
    <w:rsid w:val="379501B2"/>
    <w:rsid w:val="379540A7"/>
    <w:rsid w:val="37AB75F3"/>
    <w:rsid w:val="37C37A26"/>
    <w:rsid w:val="37DD61FF"/>
    <w:rsid w:val="3818637F"/>
    <w:rsid w:val="382B67B9"/>
    <w:rsid w:val="383A3644"/>
    <w:rsid w:val="384F6697"/>
    <w:rsid w:val="385F1A9D"/>
    <w:rsid w:val="38767A34"/>
    <w:rsid w:val="3883540B"/>
    <w:rsid w:val="38910707"/>
    <w:rsid w:val="38934A8A"/>
    <w:rsid w:val="389712F2"/>
    <w:rsid w:val="38B42B1B"/>
    <w:rsid w:val="38BB0C41"/>
    <w:rsid w:val="38DD3307"/>
    <w:rsid w:val="38EC0F5C"/>
    <w:rsid w:val="38F023FD"/>
    <w:rsid w:val="390366E6"/>
    <w:rsid w:val="390447E4"/>
    <w:rsid w:val="390F1C92"/>
    <w:rsid w:val="39293DB0"/>
    <w:rsid w:val="3932357B"/>
    <w:rsid w:val="393542AD"/>
    <w:rsid w:val="396E7062"/>
    <w:rsid w:val="39764653"/>
    <w:rsid w:val="398630C2"/>
    <w:rsid w:val="39945775"/>
    <w:rsid w:val="399D7242"/>
    <w:rsid w:val="39A03524"/>
    <w:rsid w:val="39B13AE1"/>
    <w:rsid w:val="39DD2465"/>
    <w:rsid w:val="39E901AB"/>
    <w:rsid w:val="39F36619"/>
    <w:rsid w:val="39FC2F9F"/>
    <w:rsid w:val="3A080B60"/>
    <w:rsid w:val="3A5503F1"/>
    <w:rsid w:val="3A5E6443"/>
    <w:rsid w:val="3A63048C"/>
    <w:rsid w:val="3A6E01EF"/>
    <w:rsid w:val="3A7206CF"/>
    <w:rsid w:val="3A8D3267"/>
    <w:rsid w:val="3A9A5F88"/>
    <w:rsid w:val="3A9B3EA5"/>
    <w:rsid w:val="3A9E0B45"/>
    <w:rsid w:val="3AB86041"/>
    <w:rsid w:val="3AD30754"/>
    <w:rsid w:val="3AD31A4B"/>
    <w:rsid w:val="3AD63FAA"/>
    <w:rsid w:val="3AD82BC6"/>
    <w:rsid w:val="3AFE2C6B"/>
    <w:rsid w:val="3B1866F7"/>
    <w:rsid w:val="3B376687"/>
    <w:rsid w:val="3B3E6939"/>
    <w:rsid w:val="3B4A1AE9"/>
    <w:rsid w:val="3B4F12B2"/>
    <w:rsid w:val="3B5B6D00"/>
    <w:rsid w:val="3B6343C3"/>
    <w:rsid w:val="3B730A2C"/>
    <w:rsid w:val="3B732300"/>
    <w:rsid w:val="3BAE5839"/>
    <w:rsid w:val="3BC73BD4"/>
    <w:rsid w:val="3BD52EB9"/>
    <w:rsid w:val="3BDB763B"/>
    <w:rsid w:val="3BFB5246"/>
    <w:rsid w:val="3C0A04BB"/>
    <w:rsid w:val="3C0E69E9"/>
    <w:rsid w:val="3C125F73"/>
    <w:rsid w:val="3C1A101E"/>
    <w:rsid w:val="3C1F45B2"/>
    <w:rsid w:val="3C3360EC"/>
    <w:rsid w:val="3C3643F9"/>
    <w:rsid w:val="3C452831"/>
    <w:rsid w:val="3C5D17C0"/>
    <w:rsid w:val="3C5D5748"/>
    <w:rsid w:val="3C7057AE"/>
    <w:rsid w:val="3C7265BA"/>
    <w:rsid w:val="3C9C7362"/>
    <w:rsid w:val="3CA53C3A"/>
    <w:rsid w:val="3CA74A0B"/>
    <w:rsid w:val="3CA97F92"/>
    <w:rsid w:val="3CC1259B"/>
    <w:rsid w:val="3CEA1C78"/>
    <w:rsid w:val="3CF0119C"/>
    <w:rsid w:val="3CFE2FEB"/>
    <w:rsid w:val="3D1D0DC6"/>
    <w:rsid w:val="3D37642D"/>
    <w:rsid w:val="3D4B442E"/>
    <w:rsid w:val="3D672756"/>
    <w:rsid w:val="3D687B67"/>
    <w:rsid w:val="3D6D69CE"/>
    <w:rsid w:val="3D8D5B29"/>
    <w:rsid w:val="3D945377"/>
    <w:rsid w:val="3DB13B3B"/>
    <w:rsid w:val="3DC065C6"/>
    <w:rsid w:val="3DC70F93"/>
    <w:rsid w:val="3DD0505D"/>
    <w:rsid w:val="3DDC0B07"/>
    <w:rsid w:val="3DDD5F6E"/>
    <w:rsid w:val="3DEC38A8"/>
    <w:rsid w:val="3E0169BD"/>
    <w:rsid w:val="3E153786"/>
    <w:rsid w:val="3E301DCE"/>
    <w:rsid w:val="3E3D3FF6"/>
    <w:rsid w:val="3E526AD0"/>
    <w:rsid w:val="3E5700F6"/>
    <w:rsid w:val="3E5D317C"/>
    <w:rsid w:val="3E7B17BF"/>
    <w:rsid w:val="3EB05C6A"/>
    <w:rsid w:val="3EB721C8"/>
    <w:rsid w:val="3EC24055"/>
    <w:rsid w:val="3EC7628C"/>
    <w:rsid w:val="3EF4037B"/>
    <w:rsid w:val="3F197280"/>
    <w:rsid w:val="3F454604"/>
    <w:rsid w:val="3F4B496B"/>
    <w:rsid w:val="3F4B6BB2"/>
    <w:rsid w:val="3F4F5483"/>
    <w:rsid w:val="3F91658F"/>
    <w:rsid w:val="3F9966FE"/>
    <w:rsid w:val="3FA46EF8"/>
    <w:rsid w:val="3FEC6BE3"/>
    <w:rsid w:val="402203F5"/>
    <w:rsid w:val="402657A8"/>
    <w:rsid w:val="4028158A"/>
    <w:rsid w:val="40574F8A"/>
    <w:rsid w:val="405A40DF"/>
    <w:rsid w:val="40610FCA"/>
    <w:rsid w:val="40672358"/>
    <w:rsid w:val="406E1939"/>
    <w:rsid w:val="40953369"/>
    <w:rsid w:val="409A4580"/>
    <w:rsid w:val="40AE5034"/>
    <w:rsid w:val="40B35057"/>
    <w:rsid w:val="4105229D"/>
    <w:rsid w:val="41303C39"/>
    <w:rsid w:val="41364AA2"/>
    <w:rsid w:val="414F74CB"/>
    <w:rsid w:val="415B6654"/>
    <w:rsid w:val="41636FFF"/>
    <w:rsid w:val="41662EBF"/>
    <w:rsid w:val="416745BC"/>
    <w:rsid w:val="417C2EE6"/>
    <w:rsid w:val="41A80755"/>
    <w:rsid w:val="41AC7C60"/>
    <w:rsid w:val="41C46BAD"/>
    <w:rsid w:val="41D12A32"/>
    <w:rsid w:val="41D301C3"/>
    <w:rsid w:val="41D623AF"/>
    <w:rsid w:val="41F6377C"/>
    <w:rsid w:val="420B66EE"/>
    <w:rsid w:val="422F49B3"/>
    <w:rsid w:val="423767ED"/>
    <w:rsid w:val="425213C3"/>
    <w:rsid w:val="425968DE"/>
    <w:rsid w:val="426E68C9"/>
    <w:rsid w:val="42802614"/>
    <w:rsid w:val="42B01704"/>
    <w:rsid w:val="42CA3C47"/>
    <w:rsid w:val="42CC4106"/>
    <w:rsid w:val="42D22B67"/>
    <w:rsid w:val="42DC0E76"/>
    <w:rsid w:val="42E92879"/>
    <w:rsid w:val="42EC69CA"/>
    <w:rsid w:val="42FA277B"/>
    <w:rsid w:val="42FB4A28"/>
    <w:rsid w:val="431F1AE3"/>
    <w:rsid w:val="43325FEA"/>
    <w:rsid w:val="433858A5"/>
    <w:rsid w:val="434626F9"/>
    <w:rsid w:val="43527105"/>
    <w:rsid w:val="436C03B1"/>
    <w:rsid w:val="436D4954"/>
    <w:rsid w:val="438753A5"/>
    <w:rsid w:val="43891048"/>
    <w:rsid w:val="438D0328"/>
    <w:rsid w:val="43920E07"/>
    <w:rsid w:val="43951B04"/>
    <w:rsid w:val="439F33FF"/>
    <w:rsid w:val="43A24887"/>
    <w:rsid w:val="43B26B9C"/>
    <w:rsid w:val="43F715ED"/>
    <w:rsid w:val="44000E21"/>
    <w:rsid w:val="440D15A1"/>
    <w:rsid w:val="444B4C5F"/>
    <w:rsid w:val="445702E4"/>
    <w:rsid w:val="44655A6C"/>
    <w:rsid w:val="4467168F"/>
    <w:rsid w:val="44737AF8"/>
    <w:rsid w:val="44766B6D"/>
    <w:rsid w:val="44864A89"/>
    <w:rsid w:val="448F50C0"/>
    <w:rsid w:val="44983838"/>
    <w:rsid w:val="44984355"/>
    <w:rsid w:val="449A0F4E"/>
    <w:rsid w:val="44A8226D"/>
    <w:rsid w:val="44A8366B"/>
    <w:rsid w:val="44AA08C6"/>
    <w:rsid w:val="44B32010"/>
    <w:rsid w:val="44C91BE7"/>
    <w:rsid w:val="44E677D0"/>
    <w:rsid w:val="44EF4A70"/>
    <w:rsid w:val="452364C9"/>
    <w:rsid w:val="45342FB5"/>
    <w:rsid w:val="454C0370"/>
    <w:rsid w:val="4550153F"/>
    <w:rsid w:val="45631ACD"/>
    <w:rsid w:val="45660998"/>
    <w:rsid w:val="458000C7"/>
    <w:rsid w:val="4585213C"/>
    <w:rsid w:val="458B3F95"/>
    <w:rsid w:val="45967A06"/>
    <w:rsid w:val="45AA2F38"/>
    <w:rsid w:val="45B63B66"/>
    <w:rsid w:val="45C41CBE"/>
    <w:rsid w:val="45CD0190"/>
    <w:rsid w:val="45CF1BC3"/>
    <w:rsid w:val="4601483F"/>
    <w:rsid w:val="46025A85"/>
    <w:rsid w:val="461A266E"/>
    <w:rsid w:val="463B406B"/>
    <w:rsid w:val="465239D4"/>
    <w:rsid w:val="465530CB"/>
    <w:rsid w:val="46760020"/>
    <w:rsid w:val="46982676"/>
    <w:rsid w:val="46A7659A"/>
    <w:rsid w:val="46AF7138"/>
    <w:rsid w:val="46D66D51"/>
    <w:rsid w:val="46DF280C"/>
    <w:rsid w:val="46FE3A16"/>
    <w:rsid w:val="47630D4C"/>
    <w:rsid w:val="476A14DB"/>
    <w:rsid w:val="476A5FE9"/>
    <w:rsid w:val="478A52AA"/>
    <w:rsid w:val="4790205D"/>
    <w:rsid w:val="479804CC"/>
    <w:rsid w:val="47A10846"/>
    <w:rsid w:val="47A735E5"/>
    <w:rsid w:val="47B75E90"/>
    <w:rsid w:val="47BE4F54"/>
    <w:rsid w:val="47CF0F0F"/>
    <w:rsid w:val="48082BD4"/>
    <w:rsid w:val="483319A6"/>
    <w:rsid w:val="483413B6"/>
    <w:rsid w:val="48383932"/>
    <w:rsid w:val="48490A61"/>
    <w:rsid w:val="48580F04"/>
    <w:rsid w:val="487657D6"/>
    <w:rsid w:val="48D664FA"/>
    <w:rsid w:val="49001E86"/>
    <w:rsid w:val="49081412"/>
    <w:rsid w:val="49184B37"/>
    <w:rsid w:val="492A223F"/>
    <w:rsid w:val="493C6BB3"/>
    <w:rsid w:val="49500C1A"/>
    <w:rsid w:val="495B1646"/>
    <w:rsid w:val="496D50BB"/>
    <w:rsid w:val="49881085"/>
    <w:rsid w:val="4989196F"/>
    <w:rsid w:val="498E1308"/>
    <w:rsid w:val="498E392B"/>
    <w:rsid w:val="49953FD2"/>
    <w:rsid w:val="49A67FEA"/>
    <w:rsid w:val="49B42357"/>
    <w:rsid w:val="49CC282C"/>
    <w:rsid w:val="49D14C7B"/>
    <w:rsid w:val="49DF3484"/>
    <w:rsid w:val="49EE2E55"/>
    <w:rsid w:val="49F033BE"/>
    <w:rsid w:val="49F64E88"/>
    <w:rsid w:val="4A0B5680"/>
    <w:rsid w:val="4A442DE8"/>
    <w:rsid w:val="4A4C3C76"/>
    <w:rsid w:val="4A582F08"/>
    <w:rsid w:val="4A5C19ED"/>
    <w:rsid w:val="4A713EF7"/>
    <w:rsid w:val="4A71669A"/>
    <w:rsid w:val="4A8E2CDD"/>
    <w:rsid w:val="4A990DB8"/>
    <w:rsid w:val="4AAD7B65"/>
    <w:rsid w:val="4AB03279"/>
    <w:rsid w:val="4AB30EDE"/>
    <w:rsid w:val="4AB35D91"/>
    <w:rsid w:val="4AD50ED2"/>
    <w:rsid w:val="4AE25FEA"/>
    <w:rsid w:val="4AE87797"/>
    <w:rsid w:val="4B140282"/>
    <w:rsid w:val="4B1B7449"/>
    <w:rsid w:val="4B341F77"/>
    <w:rsid w:val="4B536B77"/>
    <w:rsid w:val="4B7B039D"/>
    <w:rsid w:val="4B7D0C82"/>
    <w:rsid w:val="4B7D207A"/>
    <w:rsid w:val="4B875EB6"/>
    <w:rsid w:val="4B8D42B7"/>
    <w:rsid w:val="4BAC5677"/>
    <w:rsid w:val="4BBC3115"/>
    <w:rsid w:val="4BD4666D"/>
    <w:rsid w:val="4BD71FC2"/>
    <w:rsid w:val="4BE34F89"/>
    <w:rsid w:val="4C3D761E"/>
    <w:rsid w:val="4C3F21A1"/>
    <w:rsid w:val="4C473333"/>
    <w:rsid w:val="4C657AAE"/>
    <w:rsid w:val="4C7D1FFD"/>
    <w:rsid w:val="4C8A275C"/>
    <w:rsid w:val="4C8C446E"/>
    <w:rsid w:val="4CCF19B1"/>
    <w:rsid w:val="4CCF4510"/>
    <w:rsid w:val="4CD86AB8"/>
    <w:rsid w:val="4CF316EE"/>
    <w:rsid w:val="4CF5763E"/>
    <w:rsid w:val="4D1400D2"/>
    <w:rsid w:val="4D1E7969"/>
    <w:rsid w:val="4D2A0882"/>
    <w:rsid w:val="4D3F7CBF"/>
    <w:rsid w:val="4D64659D"/>
    <w:rsid w:val="4D6D4C62"/>
    <w:rsid w:val="4D7F6F33"/>
    <w:rsid w:val="4DA65831"/>
    <w:rsid w:val="4DA93FB0"/>
    <w:rsid w:val="4DBD3383"/>
    <w:rsid w:val="4DC46301"/>
    <w:rsid w:val="4DCD6596"/>
    <w:rsid w:val="4DF71CA3"/>
    <w:rsid w:val="4DF807D9"/>
    <w:rsid w:val="4DFE3CC8"/>
    <w:rsid w:val="4E037B64"/>
    <w:rsid w:val="4E1230AB"/>
    <w:rsid w:val="4E200716"/>
    <w:rsid w:val="4E3F7ECE"/>
    <w:rsid w:val="4E4E418E"/>
    <w:rsid w:val="4E785D7B"/>
    <w:rsid w:val="4E8167AD"/>
    <w:rsid w:val="4E8B2268"/>
    <w:rsid w:val="4EA902EC"/>
    <w:rsid w:val="4EAA7DA0"/>
    <w:rsid w:val="4ECF3EC9"/>
    <w:rsid w:val="4ED17C62"/>
    <w:rsid w:val="4EE058CB"/>
    <w:rsid w:val="4EF30992"/>
    <w:rsid w:val="4EFF706A"/>
    <w:rsid w:val="4F0A7123"/>
    <w:rsid w:val="4F2A3762"/>
    <w:rsid w:val="4F2B4700"/>
    <w:rsid w:val="4F2E0DB1"/>
    <w:rsid w:val="4F5A7C58"/>
    <w:rsid w:val="4F7F2F0C"/>
    <w:rsid w:val="4F802128"/>
    <w:rsid w:val="4F9042E4"/>
    <w:rsid w:val="4FBF6DE2"/>
    <w:rsid w:val="4FD41C1D"/>
    <w:rsid w:val="4FD64C5B"/>
    <w:rsid w:val="4FE0641D"/>
    <w:rsid w:val="4FE30C63"/>
    <w:rsid w:val="4FED2322"/>
    <w:rsid w:val="4FED4628"/>
    <w:rsid w:val="4FFD53C6"/>
    <w:rsid w:val="501040B3"/>
    <w:rsid w:val="50113FD1"/>
    <w:rsid w:val="501A73E7"/>
    <w:rsid w:val="50321789"/>
    <w:rsid w:val="50353485"/>
    <w:rsid w:val="503D1B16"/>
    <w:rsid w:val="50456141"/>
    <w:rsid w:val="50493828"/>
    <w:rsid w:val="508E47DC"/>
    <w:rsid w:val="50A81D9E"/>
    <w:rsid w:val="50A849F3"/>
    <w:rsid w:val="50AE3F83"/>
    <w:rsid w:val="50CF7A4B"/>
    <w:rsid w:val="50E92709"/>
    <w:rsid w:val="51354115"/>
    <w:rsid w:val="5137564E"/>
    <w:rsid w:val="514E0A72"/>
    <w:rsid w:val="51576FE4"/>
    <w:rsid w:val="519F488C"/>
    <w:rsid w:val="51B03B5F"/>
    <w:rsid w:val="51C5493F"/>
    <w:rsid w:val="51C94C21"/>
    <w:rsid w:val="520713EF"/>
    <w:rsid w:val="520923F4"/>
    <w:rsid w:val="5222282D"/>
    <w:rsid w:val="52302A27"/>
    <w:rsid w:val="52450012"/>
    <w:rsid w:val="5253098E"/>
    <w:rsid w:val="52547F54"/>
    <w:rsid w:val="527F07B8"/>
    <w:rsid w:val="528033A6"/>
    <w:rsid w:val="5291537E"/>
    <w:rsid w:val="529320FE"/>
    <w:rsid w:val="52992845"/>
    <w:rsid w:val="529A6D62"/>
    <w:rsid w:val="529D4EC7"/>
    <w:rsid w:val="529E7DC9"/>
    <w:rsid w:val="52A1157D"/>
    <w:rsid w:val="52B940B1"/>
    <w:rsid w:val="52FE4D9E"/>
    <w:rsid w:val="530B2D71"/>
    <w:rsid w:val="530F6FAB"/>
    <w:rsid w:val="53117559"/>
    <w:rsid w:val="532452B2"/>
    <w:rsid w:val="533237C4"/>
    <w:rsid w:val="53331AF6"/>
    <w:rsid w:val="53403A04"/>
    <w:rsid w:val="53513120"/>
    <w:rsid w:val="535B4CF0"/>
    <w:rsid w:val="53693CDD"/>
    <w:rsid w:val="538006C3"/>
    <w:rsid w:val="539C576C"/>
    <w:rsid w:val="53BA08AE"/>
    <w:rsid w:val="53BC278B"/>
    <w:rsid w:val="53D53162"/>
    <w:rsid w:val="53F938E0"/>
    <w:rsid w:val="5400093A"/>
    <w:rsid w:val="541A1B62"/>
    <w:rsid w:val="54210D44"/>
    <w:rsid w:val="543B6670"/>
    <w:rsid w:val="543E150A"/>
    <w:rsid w:val="545A24A8"/>
    <w:rsid w:val="54760CFA"/>
    <w:rsid w:val="547747B8"/>
    <w:rsid w:val="547F24EC"/>
    <w:rsid w:val="54B972CF"/>
    <w:rsid w:val="54C3004D"/>
    <w:rsid w:val="54E164AC"/>
    <w:rsid w:val="54E57B65"/>
    <w:rsid w:val="54F759FC"/>
    <w:rsid w:val="550348EE"/>
    <w:rsid w:val="55115528"/>
    <w:rsid w:val="551B6B41"/>
    <w:rsid w:val="55230827"/>
    <w:rsid w:val="55376345"/>
    <w:rsid w:val="55411377"/>
    <w:rsid w:val="558477DD"/>
    <w:rsid w:val="55992746"/>
    <w:rsid w:val="55A15285"/>
    <w:rsid w:val="55A96275"/>
    <w:rsid w:val="55AE7D4E"/>
    <w:rsid w:val="55C9649C"/>
    <w:rsid w:val="55DA41BD"/>
    <w:rsid w:val="55DD766C"/>
    <w:rsid w:val="55EE0C0B"/>
    <w:rsid w:val="56063D5E"/>
    <w:rsid w:val="5625421C"/>
    <w:rsid w:val="56290384"/>
    <w:rsid w:val="564306A0"/>
    <w:rsid w:val="564E3912"/>
    <w:rsid w:val="56530F5D"/>
    <w:rsid w:val="56546941"/>
    <w:rsid w:val="565B2641"/>
    <w:rsid w:val="566C201F"/>
    <w:rsid w:val="569B59A6"/>
    <w:rsid w:val="56A30136"/>
    <w:rsid w:val="56BA15D9"/>
    <w:rsid w:val="56C8194B"/>
    <w:rsid w:val="56F65BBA"/>
    <w:rsid w:val="57132F95"/>
    <w:rsid w:val="572664EB"/>
    <w:rsid w:val="572D4E3F"/>
    <w:rsid w:val="572D56F6"/>
    <w:rsid w:val="5732287F"/>
    <w:rsid w:val="57326ADE"/>
    <w:rsid w:val="573C5E95"/>
    <w:rsid w:val="57606393"/>
    <w:rsid w:val="57733E7E"/>
    <w:rsid w:val="57746AA3"/>
    <w:rsid w:val="577E64AD"/>
    <w:rsid w:val="57894A0E"/>
    <w:rsid w:val="57C02302"/>
    <w:rsid w:val="57C63600"/>
    <w:rsid w:val="57D91936"/>
    <w:rsid w:val="57DA7B88"/>
    <w:rsid w:val="57E8417C"/>
    <w:rsid w:val="5812180A"/>
    <w:rsid w:val="581D479D"/>
    <w:rsid w:val="583059FA"/>
    <w:rsid w:val="58315DB1"/>
    <w:rsid w:val="58430210"/>
    <w:rsid w:val="585838C1"/>
    <w:rsid w:val="58606A21"/>
    <w:rsid w:val="5863214C"/>
    <w:rsid w:val="58717162"/>
    <w:rsid w:val="58857496"/>
    <w:rsid w:val="589A7317"/>
    <w:rsid w:val="58B96227"/>
    <w:rsid w:val="58ED44C3"/>
    <w:rsid w:val="59647B33"/>
    <w:rsid w:val="596C14D3"/>
    <w:rsid w:val="596C7E01"/>
    <w:rsid w:val="597F1615"/>
    <w:rsid w:val="59801346"/>
    <w:rsid w:val="598B0635"/>
    <w:rsid w:val="59A47948"/>
    <w:rsid w:val="59DC43D8"/>
    <w:rsid w:val="59F91E1B"/>
    <w:rsid w:val="5A270225"/>
    <w:rsid w:val="5A400973"/>
    <w:rsid w:val="5A4B3A12"/>
    <w:rsid w:val="5A737DB0"/>
    <w:rsid w:val="5A7747D4"/>
    <w:rsid w:val="5A7C4202"/>
    <w:rsid w:val="5A7F451A"/>
    <w:rsid w:val="5AA549B2"/>
    <w:rsid w:val="5AAE3BCD"/>
    <w:rsid w:val="5ADC7386"/>
    <w:rsid w:val="5B0608E3"/>
    <w:rsid w:val="5B3461B1"/>
    <w:rsid w:val="5B5104F9"/>
    <w:rsid w:val="5B5D0855"/>
    <w:rsid w:val="5B654DE1"/>
    <w:rsid w:val="5B736D19"/>
    <w:rsid w:val="5B741EE3"/>
    <w:rsid w:val="5B7B407E"/>
    <w:rsid w:val="5B817F90"/>
    <w:rsid w:val="5BAC4E3A"/>
    <w:rsid w:val="5BB22BCA"/>
    <w:rsid w:val="5BBD471D"/>
    <w:rsid w:val="5BC87CA3"/>
    <w:rsid w:val="5C012B8C"/>
    <w:rsid w:val="5C362AF4"/>
    <w:rsid w:val="5C3D6C81"/>
    <w:rsid w:val="5C3E4720"/>
    <w:rsid w:val="5C526BB4"/>
    <w:rsid w:val="5C615D0C"/>
    <w:rsid w:val="5C694A3B"/>
    <w:rsid w:val="5C9B09C7"/>
    <w:rsid w:val="5CC85BD5"/>
    <w:rsid w:val="5CDC5954"/>
    <w:rsid w:val="5CE018DD"/>
    <w:rsid w:val="5CE648D9"/>
    <w:rsid w:val="5D082632"/>
    <w:rsid w:val="5D1B01A7"/>
    <w:rsid w:val="5D5B7D4A"/>
    <w:rsid w:val="5D602734"/>
    <w:rsid w:val="5DA12EF6"/>
    <w:rsid w:val="5DB554E1"/>
    <w:rsid w:val="5E074110"/>
    <w:rsid w:val="5E0854EE"/>
    <w:rsid w:val="5E214762"/>
    <w:rsid w:val="5E263CC0"/>
    <w:rsid w:val="5E284390"/>
    <w:rsid w:val="5E6200F2"/>
    <w:rsid w:val="5E7D301B"/>
    <w:rsid w:val="5E8E1E7B"/>
    <w:rsid w:val="5E933865"/>
    <w:rsid w:val="5E9D308B"/>
    <w:rsid w:val="5EB1181D"/>
    <w:rsid w:val="5EBC03E1"/>
    <w:rsid w:val="5EC33BF1"/>
    <w:rsid w:val="5EC52109"/>
    <w:rsid w:val="5EDC6635"/>
    <w:rsid w:val="5EDF242A"/>
    <w:rsid w:val="5EEC4CC9"/>
    <w:rsid w:val="5EF03EB9"/>
    <w:rsid w:val="5EF85E29"/>
    <w:rsid w:val="5EFC424F"/>
    <w:rsid w:val="5F21609C"/>
    <w:rsid w:val="5F387DD8"/>
    <w:rsid w:val="5F610F9A"/>
    <w:rsid w:val="5F6601DC"/>
    <w:rsid w:val="5F665EC3"/>
    <w:rsid w:val="5F69434A"/>
    <w:rsid w:val="5F700DD2"/>
    <w:rsid w:val="5F712D16"/>
    <w:rsid w:val="5F925D02"/>
    <w:rsid w:val="5FA6205D"/>
    <w:rsid w:val="5FBD7E8C"/>
    <w:rsid w:val="5FC72CEE"/>
    <w:rsid w:val="5FE17054"/>
    <w:rsid w:val="5FF04AF3"/>
    <w:rsid w:val="60234096"/>
    <w:rsid w:val="602B5EDC"/>
    <w:rsid w:val="602C20DD"/>
    <w:rsid w:val="60433DF0"/>
    <w:rsid w:val="60442474"/>
    <w:rsid w:val="60452D1D"/>
    <w:rsid w:val="60B12374"/>
    <w:rsid w:val="60B12B22"/>
    <w:rsid w:val="60C70A54"/>
    <w:rsid w:val="60CB5CDD"/>
    <w:rsid w:val="60D45B6B"/>
    <w:rsid w:val="61073070"/>
    <w:rsid w:val="61177267"/>
    <w:rsid w:val="611C7D9F"/>
    <w:rsid w:val="6135490B"/>
    <w:rsid w:val="61623A9A"/>
    <w:rsid w:val="617519E8"/>
    <w:rsid w:val="618A7FBC"/>
    <w:rsid w:val="619D7EDB"/>
    <w:rsid w:val="61B42655"/>
    <w:rsid w:val="61C55F03"/>
    <w:rsid w:val="61EB04E9"/>
    <w:rsid w:val="62296F68"/>
    <w:rsid w:val="622F4266"/>
    <w:rsid w:val="623A6737"/>
    <w:rsid w:val="62462A72"/>
    <w:rsid w:val="6259166C"/>
    <w:rsid w:val="62846CDE"/>
    <w:rsid w:val="629F40C2"/>
    <w:rsid w:val="62A42D3A"/>
    <w:rsid w:val="62B95A2A"/>
    <w:rsid w:val="62EA6460"/>
    <w:rsid w:val="63030F14"/>
    <w:rsid w:val="634B5349"/>
    <w:rsid w:val="634C71AA"/>
    <w:rsid w:val="63607EDD"/>
    <w:rsid w:val="63725792"/>
    <w:rsid w:val="637C0957"/>
    <w:rsid w:val="63806113"/>
    <w:rsid w:val="63942F1D"/>
    <w:rsid w:val="63D26110"/>
    <w:rsid w:val="63D57637"/>
    <w:rsid w:val="63E477B4"/>
    <w:rsid w:val="63ED6827"/>
    <w:rsid w:val="640E2967"/>
    <w:rsid w:val="6453132F"/>
    <w:rsid w:val="64546739"/>
    <w:rsid w:val="645965B8"/>
    <w:rsid w:val="6470710A"/>
    <w:rsid w:val="649B6252"/>
    <w:rsid w:val="64A036C7"/>
    <w:rsid w:val="64C22BED"/>
    <w:rsid w:val="64D82908"/>
    <w:rsid w:val="64D91523"/>
    <w:rsid w:val="64DB2E27"/>
    <w:rsid w:val="64EC5F80"/>
    <w:rsid w:val="65244480"/>
    <w:rsid w:val="65313EA1"/>
    <w:rsid w:val="654A64C0"/>
    <w:rsid w:val="654B1ECF"/>
    <w:rsid w:val="65585BAA"/>
    <w:rsid w:val="65622439"/>
    <w:rsid w:val="656E52FB"/>
    <w:rsid w:val="658D680B"/>
    <w:rsid w:val="659D4F99"/>
    <w:rsid w:val="65A12770"/>
    <w:rsid w:val="66035B03"/>
    <w:rsid w:val="661462F7"/>
    <w:rsid w:val="66150AEC"/>
    <w:rsid w:val="662A132F"/>
    <w:rsid w:val="66495ED8"/>
    <w:rsid w:val="6650158D"/>
    <w:rsid w:val="665A22F4"/>
    <w:rsid w:val="666A0329"/>
    <w:rsid w:val="666B7416"/>
    <w:rsid w:val="66707909"/>
    <w:rsid w:val="6672542F"/>
    <w:rsid w:val="667C4500"/>
    <w:rsid w:val="66876490"/>
    <w:rsid w:val="668B5CC3"/>
    <w:rsid w:val="66901A75"/>
    <w:rsid w:val="669A3DF5"/>
    <w:rsid w:val="66B27F22"/>
    <w:rsid w:val="66D238E8"/>
    <w:rsid w:val="66E30E48"/>
    <w:rsid w:val="67010AE3"/>
    <w:rsid w:val="670F1CAF"/>
    <w:rsid w:val="67251571"/>
    <w:rsid w:val="67322B5A"/>
    <w:rsid w:val="67555158"/>
    <w:rsid w:val="675608AD"/>
    <w:rsid w:val="6783286B"/>
    <w:rsid w:val="678A5539"/>
    <w:rsid w:val="6794124F"/>
    <w:rsid w:val="67A4791B"/>
    <w:rsid w:val="67C373D8"/>
    <w:rsid w:val="67C63C85"/>
    <w:rsid w:val="67DD4F5A"/>
    <w:rsid w:val="67EE40CD"/>
    <w:rsid w:val="67F035BE"/>
    <w:rsid w:val="68002120"/>
    <w:rsid w:val="680726BA"/>
    <w:rsid w:val="68075EEC"/>
    <w:rsid w:val="68183231"/>
    <w:rsid w:val="68307350"/>
    <w:rsid w:val="687112E4"/>
    <w:rsid w:val="68811569"/>
    <w:rsid w:val="688D5AAB"/>
    <w:rsid w:val="689F47D3"/>
    <w:rsid w:val="68B51551"/>
    <w:rsid w:val="68C83A2C"/>
    <w:rsid w:val="68E814B4"/>
    <w:rsid w:val="68F91EAB"/>
    <w:rsid w:val="69121E3A"/>
    <w:rsid w:val="69154D60"/>
    <w:rsid w:val="691F4D9F"/>
    <w:rsid w:val="69206401"/>
    <w:rsid w:val="69310EA3"/>
    <w:rsid w:val="694A6DBA"/>
    <w:rsid w:val="69723EB6"/>
    <w:rsid w:val="699954C4"/>
    <w:rsid w:val="699D36D6"/>
    <w:rsid w:val="69A7578F"/>
    <w:rsid w:val="69B02560"/>
    <w:rsid w:val="69B779BF"/>
    <w:rsid w:val="69C21B11"/>
    <w:rsid w:val="69CD7FDE"/>
    <w:rsid w:val="69DC6DBD"/>
    <w:rsid w:val="6A07214F"/>
    <w:rsid w:val="6A097C8B"/>
    <w:rsid w:val="6A2E2210"/>
    <w:rsid w:val="6A2F7723"/>
    <w:rsid w:val="6A6674DD"/>
    <w:rsid w:val="6A7E510F"/>
    <w:rsid w:val="6A9F44B9"/>
    <w:rsid w:val="6ABB21A6"/>
    <w:rsid w:val="6ACE0CEA"/>
    <w:rsid w:val="6ADB2F03"/>
    <w:rsid w:val="6AE2354A"/>
    <w:rsid w:val="6AEB5722"/>
    <w:rsid w:val="6AF8649D"/>
    <w:rsid w:val="6AFA7A77"/>
    <w:rsid w:val="6AFB24CA"/>
    <w:rsid w:val="6AFF2463"/>
    <w:rsid w:val="6B064398"/>
    <w:rsid w:val="6B0874EA"/>
    <w:rsid w:val="6B1F10AD"/>
    <w:rsid w:val="6B22477C"/>
    <w:rsid w:val="6B320A31"/>
    <w:rsid w:val="6B3555BC"/>
    <w:rsid w:val="6B423B68"/>
    <w:rsid w:val="6B43739A"/>
    <w:rsid w:val="6B491DA4"/>
    <w:rsid w:val="6B594672"/>
    <w:rsid w:val="6B594E10"/>
    <w:rsid w:val="6B5D28FD"/>
    <w:rsid w:val="6B5E4D2E"/>
    <w:rsid w:val="6BB05F5F"/>
    <w:rsid w:val="6BB640C5"/>
    <w:rsid w:val="6BBF2EC5"/>
    <w:rsid w:val="6BD9385B"/>
    <w:rsid w:val="6BE116D3"/>
    <w:rsid w:val="6C0A5026"/>
    <w:rsid w:val="6C172E65"/>
    <w:rsid w:val="6C2A7865"/>
    <w:rsid w:val="6C523F43"/>
    <w:rsid w:val="6C620EF9"/>
    <w:rsid w:val="6C635F46"/>
    <w:rsid w:val="6C6A54FD"/>
    <w:rsid w:val="6C950FE9"/>
    <w:rsid w:val="6CAD26D2"/>
    <w:rsid w:val="6CBD35F3"/>
    <w:rsid w:val="6CC12C6C"/>
    <w:rsid w:val="6CC60283"/>
    <w:rsid w:val="6CF6746A"/>
    <w:rsid w:val="6D127D3D"/>
    <w:rsid w:val="6D1D60F5"/>
    <w:rsid w:val="6D2D03F9"/>
    <w:rsid w:val="6D3F3B91"/>
    <w:rsid w:val="6D9E588E"/>
    <w:rsid w:val="6DA94262"/>
    <w:rsid w:val="6DB70CB4"/>
    <w:rsid w:val="6DE63DAE"/>
    <w:rsid w:val="6DF97515"/>
    <w:rsid w:val="6DFA6436"/>
    <w:rsid w:val="6E094352"/>
    <w:rsid w:val="6E0A2C2C"/>
    <w:rsid w:val="6E135B2D"/>
    <w:rsid w:val="6E3C1122"/>
    <w:rsid w:val="6E5864AC"/>
    <w:rsid w:val="6E7579F1"/>
    <w:rsid w:val="6E92195E"/>
    <w:rsid w:val="6E9D66DB"/>
    <w:rsid w:val="6EAB13DD"/>
    <w:rsid w:val="6EB97BB5"/>
    <w:rsid w:val="6F19182E"/>
    <w:rsid w:val="6F1E7F02"/>
    <w:rsid w:val="6F3626B6"/>
    <w:rsid w:val="6F3F40AE"/>
    <w:rsid w:val="6F815117"/>
    <w:rsid w:val="6F9A3937"/>
    <w:rsid w:val="6FAD7EFC"/>
    <w:rsid w:val="6FC413E7"/>
    <w:rsid w:val="6FD16974"/>
    <w:rsid w:val="70234308"/>
    <w:rsid w:val="702A2DF0"/>
    <w:rsid w:val="704A4E48"/>
    <w:rsid w:val="708020B9"/>
    <w:rsid w:val="708F3F4F"/>
    <w:rsid w:val="709771CD"/>
    <w:rsid w:val="70B269EA"/>
    <w:rsid w:val="70DA275C"/>
    <w:rsid w:val="70ED0603"/>
    <w:rsid w:val="70F40DF1"/>
    <w:rsid w:val="70F84783"/>
    <w:rsid w:val="70FA71EB"/>
    <w:rsid w:val="71105F71"/>
    <w:rsid w:val="71155E1B"/>
    <w:rsid w:val="71393588"/>
    <w:rsid w:val="714D6812"/>
    <w:rsid w:val="716C28D0"/>
    <w:rsid w:val="7170308B"/>
    <w:rsid w:val="718E21F2"/>
    <w:rsid w:val="719E503F"/>
    <w:rsid w:val="71A14E1B"/>
    <w:rsid w:val="71A5799C"/>
    <w:rsid w:val="71AC3D91"/>
    <w:rsid w:val="71B67EE4"/>
    <w:rsid w:val="71CC455D"/>
    <w:rsid w:val="71E65261"/>
    <w:rsid w:val="71F96A05"/>
    <w:rsid w:val="71FB0F8C"/>
    <w:rsid w:val="71FF0740"/>
    <w:rsid w:val="71FF0BB1"/>
    <w:rsid w:val="720B1226"/>
    <w:rsid w:val="7238693B"/>
    <w:rsid w:val="723D27EE"/>
    <w:rsid w:val="72563C24"/>
    <w:rsid w:val="725A3947"/>
    <w:rsid w:val="72856C67"/>
    <w:rsid w:val="72896FE0"/>
    <w:rsid w:val="728E5F19"/>
    <w:rsid w:val="7293150A"/>
    <w:rsid w:val="72A31F40"/>
    <w:rsid w:val="72C07522"/>
    <w:rsid w:val="72DB607B"/>
    <w:rsid w:val="72F36FA5"/>
    <w:rsid w:val="73013FCC"/>
    <w:rsid w:val="73094C52"/>
    <w:rsid w:val="73245D0B"/>
    <w:rsid w:val="732F1389"/>
    <w:rsid w:val="733866F9"/>
    <w:rsid w:val="73547991"/>
    <w:rsid w:val="736938A6"/>
    <w:rsid w:val="736D75D5"/>
    <w:rsid w:val="73796EEC"/>
    <w:rsid w:val="738E6C88"/>
    <w:rsid w:val="739169F9"/>
    <w:rsid w:val="739D39C9"/>
    <w:rsid w:val="73A52AED"/>
    <w:rsid w:val="73CD33BB"/>
    <w:rsid w:val="73F44C19"/>
    <w:rsid w:val="74031DA5"/>
    <w:rsid w:val="740C6947"/>
    <w:rsid w:val="742D4234"/>
    <w:rsid w:val="74326F65"/>
    <w:rsid w:val="743F4CBA"/>
    <w:rsid w:val="74570DEB"/>
    <w:rsid w:val="748A000B"/>
    <w:rsid w:val="749330FE"/>
    <w:rsid w:val="74942EB6"/>
    <w:rsid w:val="749E119A"/>
    <w:rsid w:val="74A356E3"/>
    <w:rsid w:val="74D33EF6"/>
    <w:rsid w:val="74D6713B"/>
    <w:rsid w:val="74D81279"/>
    <w:rsid w:val="74DD4D68"/>
    <w:rsid w:val="752A2448"/>
    <w:rsid w:val="753A11C8"/>
    <w:rsid w:val="757356C1"/>
    <w:rsid w:val="7585337A"/>
    <w:rsid w:val="758C45A7"/>
    <w:rsid w:val="75A41F9F"/>
    <w:rsid w:val="75A924F0"/>
    <w:rsid w:val="75B456A9"/>
    <w:rsid w:val="75C404DC"/>
    <w:rsid w:val="75C50AA6"/>
    <w:rsid w:val="75CF09D8"/>
    <w:rsid w:val="75D94171"/>
    <w:rsid w:val="75EA51DF"/>
    <w:rsid w:val="75EB4A8F"/>
    <w:rsid w:val="75F95F98"/>
    <w:rsid w:val="76051776"/>
    <w:rsid w:val="760B6FB5"/>
    <w:rsid w:val="765468FF"/>
    <w:rsid w:val="76735C7C"/>
    <w:rsid w:val="769D4442"/>
    <w:rsid w:val="76AF515A"/>
    <w:rsid w:val="76B61F68"/>
    <w:rsid w:val="76CC1292"/>
    <w:rsid w:val="7706409E"/>
    <w:rsid w:val="77210231"/>
    <w:rsid w:val="77255706"/>
    <w:rsid w:val="773D64AD"/>
    <w:rsid w:val="77437CF9"/>
    <w:rsid w:val="77723A3F"/>
    <w:rsid w:val="777703EE"/>
    <w:rsid w:val="778D2698"/>
    <w:rsid w:val="77A33763"/>
    <w:rsid w:val="77B77A99"/>
    <w:rsid w:val="77D01510"/>
    <w:rsid w:val="77E2543A"/>
    <w:rsid w:val="78203AD8"/>
    <w:rsid w:val="78437924"/>
    <w:rsid w:val="78447F3E"/>
    <w:rsid w:val="78531D63"/>
    <w:rsid w:val="78615D56"/>
    <w:rsid w:val="789E5895"/>
    <w:rsid w:val="789F7B10"/>
    <w:rsid w:val="78A15077"/>
    <w:rsid w:val="78B54873"/>
    <w:rsid w:val="78C445BB"/>
    <w:rsid w:val="78C83AD2"/>
    <w:rsid w:val="790106AE"/>
    <w:rsid w:val="79200D1B"/>
    <w:rsid w:val="79306213"/>
    <w:rsid w:val="79424A2B"/>
    <w:rsid w:val="79516F63"/>
    <w:rsid w:val="79565544"/>
    <w:rsid w:val="795855B3"/>
    <w:rsid w:val="79614697"/>
    <w:rsid w:val="796660A9"/>
    <w:rsid w:val="796946E1"/>
    <w:rsid w:val="796E1666"/>
    <w:rsid w:val="798A5C60"/>
    <w:rsid w:val="79A07515"/>
    <w:rsid w:val="79A9103A"/>
    <w:rsid w:val="79AB36F9"/>
    <w:rsid w:val="79BA4CCB"/>
    <w:rsid w:val="79C51CFD"/>
    <w:rsid w:val="79DD1D32"/>
    <w:rsid w:val="79EF06E6"/>
    <w:rsid w:val="79F06745"/>
    <w:rsid w:val="79F93A46"/>
    <w:rsid w:val="7A00729F"/>
    <w:rsid w:val="7A402138"/>
    <w:rsid w:val="7A4A4C3A"/>
    <w:rsid w:val="7A51551F"/>
    <w:rsid w:val="7A5C78B1"/>
    <w:rsid w:val="7AAA2726"/>
    <w:rsid w:val="7AC94B34"/>
    <w:rsid w:val="7ACA5466"/>
    <w:rsid w:val="7AD45C10"/>
    <w:rsid w:val="7AD522D5"/>
    <w:rsid w:val="7AE318EE"/>
    <w:rsid w:val="7B07175A"/>
    <w:rsid w:val="7B0A6A9B"/>
    <w:rsid w:val="7B0D2818"/>
    <w:rsid w:val="7B1228E5"/>
    <w:rsid w:val="7B370754"/>
    <w:rsid w:val="7B373907"/>
    <w:rsid w:val="7B3D676B"/>
    <w:rsid w:val="7B512E8E"/>
    <w:rsid w:val="7B5D35F7"/>
    <w:rsid w:val="7B6E054A"/>
    <w:rsid w:val="7B92467D"/>
    <w:rsid w:val="7B994E29"/>
    <w:rsid w:val="7B9D745B"/>
    <w:rsid w:val="7BAD3F83"/>
    <w:rsid w:val="7BB12C0A"/>
    <w:rsid w:val="7BC96E50"/>
    <w:rsid w:val="7BD6383B"/>
    <w:rsid w:val="7BDA36FA"/>
    <w:rsid w:val="7C005CAF"/>
    <w:rsid w:val="7C1D1542"/>
    <w:rsid w:val="7C254F1C"/>
    <w:rsid w:val="7C424F97"/>
    <w:rsid w:val="7C425CF3"/>
    <w:rsid w:val="7C4C2BF6"/>
    <w:rsid w:val="7C57415F"/>
    <w:rsid w:val="7C60651C"/>
    <w:rsid w:val="7C640CBC"/>
    <w:rsid w:val="7C71680F"/>
    <w:rsid w:val="7C796B8F"/>
    <w:rsid w:val="7C812178"/>
    <w:rsid w:val="7CA532B1"/>
    <w:rsid w:val="7CAB0750"/>
    <w:rsid w:val="7CB82DCD"/>
    <w:rsid w:val="7CBA4FE2"/>
    <w:rsid w:val="7CBC3199"/>
    <w:rsid w:val="7CD66DE6"/>
    <w:rsid w:val="7CE17085"/>
    <w:rsid w:val="7CE57657"/>
    <w:rsid w:val="7CF624BE"/>
    <w:rsid w:val="7D224E25"/>
    <w:rsid w:val="7D3A42B0"/>
    <w:rsid w:val="7D3F20B7"/>
    <w:rsid w:val="7D6F1CD1"/>
    <w:rsid w:val="7D723F16"/>
    <w:rsid w:val="7D8E3A4A"/>
    <w:rsid w:val="7D9A2209"/>
    <w:rsid w:val="7DA9460F"/>
    <w:rsid w:val="7DC80B9A"/>
    <w:rsid w:val="7DD47EE4"/>
    <w:rsid w:val="7DE03DE0"/>
    <w:rsid w:val="7DE40569"/>
    <w:rsid w:val="7DE5055D"/>
    <w:rsid w:val="7DE65FBE"/>
    <w:rsid w:val="7DFF6F70"/>
    <w:rsid w:val="7E1A21DD"/>
    <w:rsid w:val="7E2461C2"/>
    <w:rsid w:val="7E252460"/>
    <w:rsid w:val="7E397349"/>
    <w:rsid w:val="7E3B2283"/>
    <w:rsid w:val="7E8133F5"/>
    <w:rsid w:val="7E826950"/>
    <w:rsid w:val="7E89682B"/>
    <w:rsid w:val="7E904003"/>
    <w:rsid w:val="7E9064E4"/>
    <w:rsid w:val="7EA66AB7"/>
    <w:rsid w:val="7EB76F44"/>
    <w:rsid w:val="7EBB18A6"/>
    <w:rsid w:val="7ED20D09"/>
    <w:rsid w:val="7EDC56E4"/>
    <w:rsid w:val="7EF95DA4"/>
    <w:rsid w:val="7EFF5CB3"/>
    <w:rsid w:val="7F113622"/>
    <w:rsid w:val="7F314CA2"/>
    <w:rsid w:val="7F34107C"/>
    <w:rsid w:val="7F4339B5"/>
    <w:rsid w:val="7F4C1035"/>
    <w:rsid w:val="7F4D4BFE"/>
    <w:rsid w:val="7F7057E9"/>
    <w:rsid w:val="7F7405C7"/>
    <w:rsid w:val="7F7F75D9"/>
    <w:rsid w:val="7F9D45ED"/>
    <w:rsid w:val="7FAF6BB9"/>
    <w:rsid w:val="7FC00B62"/>
    <w:rsid w:val="7FCB21B9"/>
    <w:rsid w:val="7FDF55E5"/>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7"/>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48"/>
    <w:autoRedefine/>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49"/>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0"/>
    <w:autoRedefine/>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qFormat/>
    <w:uiPriority w:val="0"/>
    <w:pPr>
      <w:tabs>
        <w:tab w:val="left" w:pos="1440"/>
      </w:tabs>
      <w:spacing w:before="260" w:after="260" w:line="360" w:lineRule="auto"/>
      <w:outlineLvl w:val="5"/>
    </w:pPr>
    <w:rPr>
      <w:sz w:val="30"/>
      <w:szCs w:val="18"/>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annotation text"/>
    <w:basedOn w:val="1"/>
    <w:link w:val="51"/>
    <w:autoRedefine/>
    <w:qFormat/>
    <w:uiPriority w:val="0"/>
    <w:pPr>
      <w:jc w:val="left"/>
    </w:pPr>
    <w:rPr>
      <w:rFonts w:ascii="宋体" w:cs="宋体"/>
      <w:kern w:val="0"/>
      <w:sz w:val="34"/>
      <w:szCs w:val="34"/>
    </w:rPr>
  </w:style>
  <w:style w:type="paragraph" w:styleId="11">
    <w:name w:val="Body Text"/>
    <w:basedOn w:val="1"/>
    <w:next w:val="1"/>
    <w:link w:val="52"/>
    <w:autoRedefine/>
    <w:unhideWhenUsed/>
    <w:qFormat/>
    <w:uiPriority w:val="99"/>
  </w:style>
  <w:style w:type="paragraph" w:styleId="12">
    <w:name w:val="Body Text Indent"/>
    <w:basedOn w:val="1"/>
    <w:link w:val="53"/>
    <w:autoRedefine/>
    <w:qFormat/>
    <w:uiPriority w:val="0"/>
    <w:pPr>
      <w:spacing w:after="120"/>
      <w:ind w:left="420" w:leftChars="200"/>
    </w:pPr>
  </w:style>
  <w:style w:type="paragraph" w:styleId="13">
    <w:name w:val="toc 5"/>
    <w:basedOn w:val="1"/>
    <w:next w:val="1"/>
    <w:autoRedefine/>
    <w:qFormat/>
    <w:uiPriority w:val="0"/>
    <w:pPr>
      <w:ind w:left="840"/>
      <w:jc w:val="left"/>
    </w:pPr>
    <w:rPr>
      <w:rFonts w:asciiTheme="minorHAnsi" w:hAnsiTheme="minorHAnsi"/>
      <w:sz w:val="18"/>
      <w:szCs w:val="18"/>
    </w:rPr>
  </w:style>
  <w:style w:type="paragraph" w:styleId="14">
    <w:name w:val="toc 3"/>
    <w:basedOn w:val="1"/>
    <w:next w:val="1"/>
    <w:autoRedefine/>
    <w:qFormat/>
    <w:uiPriority w:val="0"/>
    <w:pPr>
      <w:ind w:left="420"/>
      <w:jc w:val="left"/>
    </w:pPr>
    <w:rPr>
      <w:rFonts w:asciiTheme="minorHAnsi" w:hAnsiTheme="minorHAnsi"/>
      <w:i/>
      <w:iCs/>
      <w:sz w:val="20"/>
      <w:szCs w:val="20"/>
    </w:rPr>
  </w:style>
  <w:style w:type="paragraph" w:styleId="15">
    <w:name w:val="Plain Text"/>
    <w:basedOn w:val="1"/>
    <w:link w:val="54"/>
    <w:autoRedefine/>
    <w:qFormat/>
    <w:uiPriority w:val="0"/>
    <w:pPr>
      <w:spacing w:line="324" w:lineRule="auto"/>
    </w:pPr>
    <w:rPr>
      <w:rFonts w:ascii="宋体" w:hAnsi="Courier New" w:cs="宋体"/>
    </w:rPr>
  </w:style>
  <w:style w:type="paragraph" w:styleId="16">
    <w:name w:val="toc 8"/>
    <w:basedOn w:val="1"/>
    <w:next w:val="1"/>
    <w:autoRedefine/>
    <w:qFormat/>
    <w:uiPriority w:val="0"/>
    <w:pPr>
      <w:ind w:left="1470"/>
      <w:jc w:val="left"/>
    </w:pPr>
    <w:rPr>
      <w:rFonts w:asciiTheme="minorHAnsi" w:hAnsiTheme="minorHAnsi"/>
      <w:sz w:val="18"/>
      <w:szCs w:val="18"/>
    </w:rPr>
  </w:style>
  <w:style w:type="paragraph" w:styleId="17">
    <w:name w:val="Date"/>
    <w:basedOn w:val="1"/>
    <w:next w:val="1"/>
    <w:link w:val="78"/>
    <w:autoRedefine/>
    <w:qFormat/>
    <w:uiPriority w:val="0"/>
    <w:pPr>
      <w:ind w:left="100" w:leftChars="2500"/>
    </w:pPr>
  </w:style>
  <w:style w:type="paragraph" w:styleId="18">
    <w:name w:val="Body Text Indent 2"/>
    <w:basedOn w:val="1"/>
    <w:link w:val="55"/>
    <w:autoRedefine/>
    <w:qFormat/>
    <w:uiPriority w:val="0"/>
    <w:pPr>
      <w:spacing w:after="120" w:line="480" w:lineRule="auto"/>
      <w:ind w:left="420" w:leftChars="200"/>
    </w:pPr>
  </w:style>
  <w:style w:type="paragraph" w:styleId="19">
    <w:name w:val="Balloon Text"/>
    <w:basedOn w:val="1"/>
    <w:link w:val="56"/>
    <w:autoRedefine/>
    <w:qFormat/>
    <w:uiPriority w:val="0"/>
    <w:rPr>
      <w:sz w:val="18"/>
      <w:szCs w:val="18"/>
    </w:rPr>
  </w:style>
  <w:style w:type="paragraph" w:styleId="20">
    <w:name w:val="footer"/>
    <w:basedOn w:val="1"/>
    <w:link w:val="57"/>
    <w:autoRedefine/>
    <w:unhideWhenUsed/>
    <w:qFormat/>
    <w:uiPriority w:val="99"/>
    <w:pPr>
      <w:tabs>
        <w:tab w:val="center" w:pos="4153"/>
        <w:tab w:val="right" w:pos="8306"/>
      </w:tabs>
      <w:snapToGrid w:val="0"/>
      <w:jc w:val="left"/>
    </w:pPr>
    <w:rPr>
      <w:sz w:val="18"/>
      <w:szCs w:val="18"/>
    </w:rPr>
  </w:style>
  <w:style w:type="paragraph" w:styleId="21">
    <w:name w:val="header"/>
    <w:basedOn w:val="1"/>
    <w:link w:val="58"/>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39"/>
    <w:pPr>
      <w:spacing w:before="120" w:after="120"/>
      <w:jc w:val="left"/>
    </w:pPr>
    <w:rPr>
      <w:rFonts w:asciiTheme="minorHAnsi" w:hAnsiTheme="minorHAnsi"/>
      <w:b/>
      <w:bCs/>
      <w:caps/>
      <w:sz w:val="20"/>
      <w:szCs w:val="20"/>
    </w:rPr>
  </w:style>
  <w:style w:type="paragraph" w:styleId="23">
    <w:name w:val="toc 4"/>
    <w:basedOn w:val="1"/>
    <w:next w:val="1"/>
    <w:autoRedefine/>
    <w:qFormat/>
    <w:uiPriority w:val="0"/>
    <w:pPr>
      <w:ind w:left="630"/>
      <w:jc w:val="left"/>
    </w:pPr>
    <w:rPr>
      <w:rFonts w:asciiTheme="minorHAnsi" w:hAnsiTheme="minorHAnsi"/>
      <w:sz w:val="18"/>
      <w:szCs w:val="18"/>
    </w:rPr>
  </w:style>
  <w:style w:type="paragraph" w:styleId="24">
    <w:name w:val="footnote text"/>
    <w:basedOn w:val="1"/>
    <w:autoRedefine/>
    <w:qFormat/>
    <w:uiPriority w:val="0"/>
    <w:pPr>
      <w:snapToGrid w:val="0"/>
      <w:jc w:val="left"/>
    </w:pPr>
    <w:rPr>
      <w:sz w:val="18"/>
    </w:rPr>
  </w:style>
  <w:style w:type="paragraph" w:styleId="25">
    <w:name w:val="toc 6"/>
    <w:basedOn w:val="1"/>
    <w:next w:val="1"/>
    <w:autoRedefine/>
    <w:qFormat/>
    <w:uiPriority w:val="0"/>
    <w:pPr>
      <w:ind w:left="1050"/>
      <w:jc w:val="left"/>
    </w:pPr>
    <w:rPr>
      <w:rFonts w:asciiTheme="minorHAnsi" w:hAnsiTheme="minorHAnsi"/>
      <w:sz w:val="18"/>
      <w:szCs w:val="18"/>
    </w:rPr>
  </w:style>
  <w:style w:type="paragraph" w:styleId="26">
    <w:name w:val="toc 2"/>
    <w:basedOn w:val="1"/>
    <w:next w:val="1"/>
    <w:autoRedefine/>
    <w:qFormat/>
    <w:uiPriority w:val="0"/>
    <w:pPr>
      <w:ind w:left="210"/>
      <w:jc w:val="left"/>
    </w:pPr>
    <w:rPr>
      <w:rFonts w:asciiTheme="minorHAnsi" w:hAnsiTheme="minorHAnsi"/>
      <w:smallCaps/>
      <w:sz w:val="20"/>
      <w:szCs w:val="20"/>
    </w:rPr>
  </w:style>
  <w:style w:type="paragraph" w:styleId="27">
    <w:name w:val="toc 9"/>
    <w:basedOn w:val="1"/>
    <w:next w:val="1"/>
    <w:autoRedefine/>
    <w:qFormat/>
    <w:uiPriority w:val="0"/>
    <w:pPr>
      <w:ind w:left="1680"/>
      <w:jc w:val="left"/>
    </w:pPr>
    <w:rPr>
      <w:rFonts w:asciiTheme="minorHAnsi" w:hAnsiTheme="minorHAnsi"/>
      <w:sz w:val="18"/>
      <w:szCs w:val="18"/>
    </w:rPr>
  </w:style>
  <w:style w:type="paragraph" w:styleId="28">
    <w:name w:val="Body Text 2"/>
    <w:basedOn w:val="1"/>
    <w:link w:val="59"/>
    <w:autoRedefine/>
    <w:qFormat/>
    <w:uiPriority w:val="0"/>
    <w:pPr>
      <w:jc w:val="center"/>
    </w:pPr>
    <w:rPr>
      <w:b/>
      <w:bCs/>
      <w:spacing w:val="-20"/>
      <w:w w:val="130"/>
      <w:sz w:val="48"/>
      <w:szCs w:val="48"/>
    </w:rPr>
  </w:style>
  <w:style w:type="paragraph" w:styleId="29">
    <w:name w:val="HTML Preformatted"/>
    <w:basedOn w:val="1"/>
    <w:autoRedefine/>
    <w:qFormat/>
    <w:uiPriority w:val="0"/>
    <w:rPr>
      <w:rFonts w:ascii="Courier New" w:hAnsi="Courier New" w:cs="Courier New"/>
      <w:sz w:val="20"/>
      <w:szCs w:val="20"/>
    </w:rPr>
  </w:style>
  <w:style w:type="paragraph" w:styleId="30">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1">
    <w:name w:val="annotation subject"/>
    <w:basedOn w:val="10"/>
    <w:next w:val="1"/>
    <w:link w:val="88"/>
    <w:autoRedefine/>
    <w:qFormat/>
    <w:uiPriority w:val="0"/>
    <w:rPr>
      <w:rFonts w:ascii="Calibri" w:cs="Calibri"/>
      <w:b/>
      <w:bCs/>
      <w:kern w:val="2"/>
      <w:sz w:val="21"/>
      <w:szCs w:val="21"/>
    </w:rPr>
  </w:style>
  <w:style w:type="paragraph" w:styleId="32">
    <w:name w:val="Body Text First Indent"/>
    <w:basedOn w:val="11"/>
    <w:next w:val="33"/>
    <w:autoRedefine/>
    <w:qFormat/>
    <w:uiPriority w:val="0"/>
    <w:pPr>
      <w:ind w:firstLine="420" w:firstLineChars="100"/>
    </w:pPr>
    <w:rPr>
      <w:sz w:val="34"/>
    </w:rPr>
  </w:style>
  <w:style w:type="paragraph" w:styleId="33">
    <w:name w:val="Body Text First Indent 2"/>
    <w:basedOn w:val="12"/>
    <w:autoRedefine/>
    <w:qFormat/>
    <w:uiPriority w:val="99"/>
    <w:pPr>
      <w:tabs>
        <w:tab w:val="left" w:pos="4900"/>
      </w:tabs>
      <w:ind w:firstLine="420" w:firstLineChars="200"/>
    </w:pPr>
  </w:style>
  <w:style w:type="table" w:styleId="35">
    <w:name w:val="Table Grid"/>
    <w:basedOn w:val="3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autoRedefine/>
    <w:qFormat/>
    <w:uiPriority w:val="0"/>
    <w:rPr>
      <w:b/>
      <w:bCs/>
      <w:sz w:val="24"/>
      <w:szCs w:val="24"/>
    </w:rPr>
  </w:style>
  <w:style w:type="character" w:styleId="38">
    <w:name w:val="page number"/>
    <w:basedOn w:val="36"/>
    <w:autoRedefine/>
    <w:qFormat/>
    <w:uiPriority w:val="0"/>
  </w:style>
  <w:style w:type="character" w:styleId="39">
    <w:name w:val="Emphasis"/>
    <w:autoRedefine/>
    <w:qFormat/>
    <w:uiPriority w:val="0"/>
    <w:rPr>
      <w:i/>
      <w:iCs/>
    </w:rPr>
  </w:style>
  <w:style w:type="character" w:styleId="40">
    <w:name w:val="Hyperlink"/>
    <w:autoRedefine/>
    <w:qFormat/>
    <w:uiPriority w:val="99"/>
    <w:rPr>
      <w:color w:val="0000FF"/>
      <w:u w:val="single"/>
    </w:rPr>
  </w:style>
  <w:style w:type="character" w:styleId="41">
    <w:name w:val="annotation reference"/>
    <w:autoRedefine/>
    <w:qFormat/>
    <w:uiPriority w:val="0"/>
    <w:rPr>
      <w:sz w:val="21"/>
      <w:szCs w:val="21"/>
    </w:rPr>
  </w:style>
  <w:style w:type="character" w:styleId="42">
    <w:name w:val="HTML Cite"/>
    <w:autoRedefine/>
    <w:qFormat/>
    <w:uiPriority w:val="0"/>
    <w:rPr>
      <w:sz w:val="24"/>
      <w:szCs w:val="24"/>
    </w:rPr>
  </w:style>
  <w:style w:type="character" w:styleId="43">
    <w:name w:val="footnote reference"/>
    <w:basedOn w:val="36"/>
    <w:autoRedefine/>
    <w:qFormat/>
    <w:uiPriority w:val="0"/>
    <w:rPr>
      <w:vertAlign w:val="superscript"/>
    </w:rPr>
  </w:style>
  <w:style w:type="paragraph" w:customStyle="1" w:styleId="44">
    <w:name w:val="列出段落1"/>
    <w:basedOn w:val="1"/>
    <w:autoRedefine/>
    <w:qFormat/>
    <w:uiPriority w:val="99"/>
    <w:pPr>
      <w:ind w:firstLine="420" w:firstLineChars="200"/>
    </w:pPr>
  </w:style>
  <w:style w:type="paragraph" w:customStyle="1" w:styleId="45">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6">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7">
    <w:name w:val="标题 1 Char"/>
    <w:basedOn w:val="36"/>
    <w:link w:val="2"/>
    <w:autoRedefine/>
    <w:qFormat/>
    <w:locked/>
    <w:uiPriority w:val="99"/>
    <w:rPr>
      <w:rFonts w:ascii="Calibri" w:hAnsi="Calibri" w:cs="Calibri"/>
      <w:b/>
      <w:bCs/>
      <w:kern w:val="44"/>
      <w:sz w:val="44"/>
      <w:szCs w:val="44"/>
    </w:rPr>
  </w:style>
  <w:style w:type="character" w:customStyle="1" w:styleId="48">
    <w:name w:val="标题 2 Char"/>
    <w:link w:val="3"/>
    <w:autoRedefine/>
    <w:qFormat/>
    <w:locked/>
    <w:uiPriority w:val="99"/>
    <w:rPr>
      <w:rFonts w:ascii="Cambria" w:hAnsi="Cambria" w:eastAsia="宋体" w:cs="Cambria"/>
      <w:b/>
      <w:bCs/>
      <w:sz w:val="32"/>
      <w:szCs w:val="32"/>
    </w:rPr>
  </w:style>
  <w:style w:type="character" w:customStyle="1" w:styleId="49">
    <w:name w:val="标题 3 Char"/>
    <w:link w:val="4"/>
    <w:autoRedefine/>
    <w:semiHidden/>
    <w:qFormat/>
    <w:locked/>
    <w:uiPriority w:val="99"/>
    <w:rPr>
      <w:rFonts w:ascii="Calibri" w:hAnsi="Calibri" w:cs="Calibri"/>
      <w:b/>
      <w:bCs/>
      <w:sz w:val="32"/>
      <w:szCs w:val="32"/>
    </w:rPr>
  </w:style>
  <w:style w:type="character" w:customStyle="1" w:styleId="50">
    <w:name w:val="标题 4 Char"/>
    <w:link w:val="5"/>
    <w:autoRedefine/>
    <w:semiHidden/>
    <w:qFormat/>
    <w:uiPriority w:val="9"/>
    <w:rPr>
      <w:rFonts w:ascii="Cambria" w:hAnsi="Cambria" w:eastAsia="宋体" w:cs="Times New Roman"/>
      <w:b/>
      <w:bCs/>
      <w:sz w:val="28"/>
      <w:szCs w:val="28"/>
    </w:rPr>
  </w:style>
  <w:style w:type="character" w:customStyle="1" w:styleId="51">
    <w:name w:val="批注文字 Char"/>
    <w:link w:val="10"/>
    <w:autoRedefine/>
    <w:qFormat/>
    <w:locked/>
    <w:uiPriority w:val="99"/>
    <w:rPr>
      <w:rFonts w:ascii="宋体" w:hAnsi="Calibri" w:eastAsia="宋体" w:cs="宋体"/>
      <w:sz w:val="22"/>
      <w:szCs w:val="22"/>
    </w:rPr>
  </w:style>
  <w:style w:type="character" w:customStyle="1" w:styleId="52">
    <w:name w:val="正文文本 Char"/>
    <w:link w:val="11"/>
    <w:autoRedefine/>
    <w:semiHidden/>
    <w:qFormat/>
    <w:locked/>
    <w:uiPriority w:val="99"/>
    <w:rPr>
      <w:rFonts w:ascii="Calibri" w:hAnsi="Calibri" w:cs="Calibri"/>
    </w:rPr>
  </w:style>
  <w:style w:type="character" w:customStyle="1" w:styleId="53">
    <w:name w:val="正文文本缩进 Char"/>
    <w:link w:val="12"/>
    <w:autoRedefine/>
    <w:semiHidden/>
    <w:qFormat/>
    <w:uiPriority w:val="99"/>
    <w:rPr>
      <w:rFonts w:ascii="Calibri" w:hAnsi="Calibri" w:cs="Calibri"/>
      <w:szCs w:val="21"/>
    </w:rPr>
  </w:style>
  <w:style w:type="character" w:customStyle="1" w:styleId="54">
    <w:name w:val="纯文本 Char"/>
    <w:link w:val="15"/>
    <w:autoRedefine/>
    <w:qFormat/>
    <w:locked/>
    <w:uiPriority w:val="0"/>
    <w:rPr>
      <w:rFonts w:ascii="宋体" w:hAnsi="Courier New" w:cs="宋体"/>
      <w:sz w:val="21"/>
      <w:szCs w:val="21"/>
    </w:rPr>
  </w:style>
  <w:style w:type="character" w:customStyle="1" w:styleId="55">
    <w:name w:val="正文文本缩进 2 Char"/>
    <w:link w:val="18"/>
    <w:autoRedefine/>
    <w:semiHidden/>
    <w:qFormat/>
    <w:locked/>
    <w:uiPriority w:val="99"/>
    <w:rPr>
      <w:rFonts w:ascii="Calibri" w:hAnsi="Calibri" w:cs="Calibri"/>
    </w:rPr>
  </w:style>
  <w:style w:type="character" w:customStyle="1" w:styleId="56">
    <w:name w:val="批注框文本 Char"/>
    <w:link w:val="19"/>
    <w:autoRedefine/>
    <w:qFormat/>
    <w:locked/>
    <w:uiPriority w:val="99"/>
    <w:rPr>
      <w:rFonts w:ascii="Calibri" w:hAnsi="Calibri" w:eastAsia="宋体" w:cs="Calibri"/>
      <w:kern w:val="2"/>
      <w:sz w:val="18"/>
      <w:szCs w:val="18"/>
    </w:rPr>
  </w:style>
  <w:style w:type="character" w:customStyle="1" w:styleId="57">
    <w:name w:val="页脚 Char"/>
    <w:basedOn w:val="36"/>
    <w:link w:val="20"/>
    <w:autoRedefine/>
    <w:qFormat/>
    <w:locked/>
    <w:uiPriority w:val="99"/>
    <w:rPr>
      <w:rFonts w:ascii="Calibri" w:hAnsi="Calibri" w:cs="Calibri"/>
      <w:sz w:val="18"/>
      <w:szCs w:val="18"/>
    </w:rPr>
  </w:style>
  <w:style w:type="character" w:customStyle="1" w:styleId="58">
    <w:name w:val="页眉 Char"/>
    <w:basedOn w:val="36"/>
    <w:link w:val="21"/>
    <w:autoRedefine/>
    <w:qFormat/>
    <w:locked/>
    <w:uiPriority w:val="99"/>
    <w:rPr>
      <w:rFonts w:ascii="Calibri" w:hAnsi="Calibri" w:cs="Calibri"/>
      <w:sz w:val="18"/>
      <w:szCs w:val="18"/>
    </w:rPr>
  </w:style>
  <w:style w:type="character" w:customStyle="1" w:styleId="59">
    <w:name w:val="正文文本 2 Char"/>
    <w:link w:val="28"/>
    <w:autoRedefine/>
    <w:semiHidden/>
    <w:qFormat/>
    <w:locked/>
    <w:uiPriority w:val="99"/>
    <w:rPr>
      <w:rFonts w:ascii="Calibri" w:hAnsi="Calibri" w:cs="Calibri"/>
    </w:rPr>
  </w:style>
  <w:style w:type="paragraph" w:customStyle="1" w:styleId="60">
    <w:name w:val="Char2 Char Char Char"/>
    <w:basedOn w:val="1"/>
    <w:autoRedefine/>
    <w:qFormat/>
    <w:uiPriority w:val="99"/>
    <w:rPr>
      <w:rFonts w:ascii="Tahoma" w:hAnsi="Tahoma" w:cs="Tahoma"/>
      <w:sz w:val="24"/>
      <w:szCs w:val="24"/>
    </w:rPr>
  </w:style>
  <w:style w:type="character" w:customStyle="1" w:styleId="61">
    <w:name w:val="10"/>
    <w:autoRedefine/>
    <w:qFormat/>
    <w:uiPriority w:val="99"/>
    <w:rPr>
      <w:rFonts w:ascii="Calibri" w:hAnsi="Calibri" w:cs="Calibri"/>
    </w:rPr>
  </w:style>
  <w:style w:type="character" w:customStyle="1" w:styleId="62">
    <w:name w:val="15"/>
    <w:autoRedefine/>
    <w:qFormat/>
    <w:uiPriority w:val="99"/>
    <w:rPr>
      <w:rFonts w:ascii="Calibri" w:hAnsi="Calibri" w:cs="Calibri"/>
      <w:i/>
      <w:iCs/>
    </w:rPr>
  </w:style>
  <w:style w:type="paragraph" w:customStyle="1" w:styleId="63">
    <w:name w:val="_Style 2"/>
    <w:basedOn w:val="1"/>
    <w:autoRedefine/>
    <w:qFormat/>
    <w:uiPriority w:val="99"/>
    <w:pPr>
      <w:ind w:firstLine="420" w:firstLineChars="200"/>
    </w:pPr>
  </w:style>
  <w:style w:type="character" w:customStyle="1" w:styleId="64">
    <w:name w:val="apple-style-span"/>
    <w:basedOn w:val="36"/>
    <w:autoRedefine/>
    <w:qFormat/>
    <w:uiPriority w:val="99"/>
  </w:style>
  <w:style w:type="character" w:customStyle="1" w:styleId="65">
    <w:name w:val="del"/>
    <w:basedOn w:val="36"/>
    <w:autoRedefine/>
    <w:qFormat/>
    <w:uiPriority w:val="99"/>
  </w:style>
  <w:style w:type="character" w:customStyle="1" w:styleId="66">
    <w:name w:val="del1"/>
    <w:autoRedefine/>
    <w:qFormat/>
    <w:uiPriority w:val="99"/>
    <w:rPr>
      <w:vanish/>
      <w:color w:val="auto"/>
      <w:sz w:val="18"/>
      <w:szCs w:val="18"/>
      <w:u w:val="single"/>
    </w:rPr>
  </w:style>
  <w:style w:type="character" w:customStyle="1" w:styleId="67">
    <w:name w:val="del2"/>
    <w:autoRedefine/>
    <w:qFormat/>
    <w:uiPriority w:val="99"/>
    <w:rPr>
      <w:vanish/>
    </w:rPr>
  </w:style>
  <w:style w:type="character" w:customStyle="1" w:styleId="68">
    <w:name w:val="del3"/>
    <w:autoRedefine/>
    <w:qFormat/>
    <w:uiPriority w:val="99"/>
    <w:rPr>
      <w:vanish/>
    </w:rPr>
  </w:style>
  <w:style w:type="paragraph" w:customStyle="1" w:styleId="69">
    <w:name w:val="_Style 4"/>
    <w:basedOn w:val="1"/>
    <w:autoRedefine/>
    <w:qFormat/>
    <w:uiPriority w:val="99"/>
    <w:pPr>
      <w:ind w:firstLine="420" w:firstLineChars="200"/>
    </w:pPr>
  </w:style>
  <w:style w:type="paragraph" w:customStyle="1" w:styleId="70">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1">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2">
    <w:name w:val="font101"/>
    <w:basedOn w:val="36"/>
    <w:autoRedefine/>
    <w:qFormat/>
    <w:uiPriority w:val="0"/>
    <w:rPr>
      <w:rFonts w:hint="eastAsia" w:ascii="宋体" w:hAnsi="宋体" w:eastAsia="宋体" w:cs="宋体"/>
      <w:color w:val="000000"/>
      <w:sz w:val="24"/>
      <w:szCs w:val="24"/>
      <w:u w:val="none"/>
    </w:rPr>
  </w:style>
  <w:style w:type="character" w:customStyle="1" w:styleId="73">
    <w:name w:val="font91"/>
    <w:basedOn w:val="36"/>
    <w:autoRedefine/>
    <w:qFormat/>
    <w:uiPriority w:val="0"/>
    <w:rPr>
      <w:rFonts w:hint="eastAsia" w:ascii="宋体" w:hAnsi="宋体" w:eastAsia="宋体" w:cs="宋体"/>
      <w:color w:val="000000"/>
      <w:sz w:val="24"/>
      <w:szCs w:val="24"/>
      <w:u w:val="none"/>
    </w:rPr>
  </w:style>
  <w:style w:type="character" w:customStyle="1" w:styleId="74">
    <w:name w:val="font41"/>
    <w:basedOn w:val="36"/>
    <w:autoRedefine/>
    <w:qFormat/>
    <w:uiPriority w:val="0"/>
    <w:rPr>
      <w:rFonts w:hint="eastAsia" w:ascii="宋体" w:hAnsi="宋体" w:eastAsia="宋体" w:cs="宋体"/>
      <w:color w:val="000000"/>
      <w:sz w:val="24"/>
      <w:szCs w:val="24"/>
      <w:u w:val="none"/>
    </w:rPr>
  </w:style>
  <w:style w:type="character" w:customStyle="1" w:styleId="75">
    <w:name w:val="font21"/>
    <w:basedOn w:val="36"/>
    <w:autoRedefine/>
    <w:qFormat/>
    <w:uiPriority w:val="0"/>
    <w:rPr>
      <w:rFonts w:hint="eastAsia" w:ascii="宋体" w:hAnsi="宋体" w:eastAsia="宋体" w:cs="宋体"/>
      <w:color w:val="000000"/>
      <w:sz w:val="24"/>
      <w:szCs w:val="24"/>
      <w:u w:val="none"/>
    </w:rPr>
  </w:style>
  <w:style w:type="paragraph" w:styleId="76">
    <w:name w:val="List Paragraph"/>
    <w:basedOn w:val="1"/>
    <w:autoRedefine/>
    <w:qFormat/>
    <w:uiPriority w:val="99"/>
    <w:pPr>
      <w:ind w:firstLine="420" w:firstLineChars="200"/>
    </w:pPr>
  </w:style>
  <w:style w:type="table" w:customStyle="1" w:styleId="77">
    <w:name w:val="TableGrid"/>
    <w:autoRedefine/>
    <w:qFormat/>
    <w:uiPriority w:val="0"/>
    <w:rPr>
      <w:kern w:val="2"/>
      <w:sz w:val="21"/>
      <w:szCs w:val="22"/>
    </w:rPr>
    <w:tblPr>
      <w:tblCellMar>
        <w:top w:w="0" w:type="dxa"/>
        <w:left w:w="0" w:type="dxa"/>
        <w:bottom w:w="0" w:type="dxa"/>
        <w:right w:w="0" w:type="dxa"/>
      </w:tblCellMar>
    </w:tblPr>
  </w:style>
  <w:style w:type="character" w:customStyle="1" w:styleId="78">
    <w:name w:val="日期 Char"/>
    <w:basedOn w:val="36"/>
    <w:link w:val="17"/>
    <w:autoRedefine/>
    <w:qFormat/>
    <w:uiPriority w:val="0"/>
    <w:rPr>
      <w:rFonts w:ascii="Calibri" w:hAnsi="Calibri" w:cs="Calibri"/>
      <w:kern w:val="2"/>
      <w:sz w:val="21"/>
      <w:szCs w:val="21"/>
    </w:rPr>
  </w:style>
  <w:style w:type="character" w:customStyle="1" w:styleId="79">
    <w:name w:val="List Paragraph Char1"/>
    <w:link w:val="80"/>
    <w:autoRedefine/>
    <w:qFormat/>
    <w:locked/>
    <w:uiPriority w:val="0"/>
    <w:rPr>
      <w:sz w:val="24"/>
    </w:rPr>
  </w:style>
  <w:style w:type="paragraph" w:customStyle="1" w:styleId="80">
    <w:name w:val="列出段落2"/>
    <w:basedOn w:val="1"/>
    <w:link w:val="79"/>
    <w:autoRedefine/>
    <w:qFormat/>
    <w:uiPriority w:val="0"/>
    <w:pPr>
      <w:ind w:firstLine="420" w:firstLineChars="200"/>
    </w:pPr>
    <w:rPr>
      <w:rFonts w:ascii="Times New Roman" w:hAnsi="Times New Roman" w:cs="Times New Roman"/>
      <w:kern w:val="0"/>
      <w:sz w:val="24"/>
      <w:szCs w:val="20"/>
    </w:rPr>
  </w:style>
  <w:style w:type="table" w:customStyle="1" w:styleId="81">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2">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3">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88">
    <w:name w:val="批注主题 Char"/>
    <w:basedOn w:val="51"/>
    <w:link w:val="31"/>
    <w:autoRedefine/>
    <w:semiHidden/>
    <w:qFormat/>
    <w:uiPriority w:val="99"/>
    <w:rPr>
      <w:rFonts w:ascii="Calibri" w:hAnsi="Calibri" w:eastAsia="宋体" w:cs="Calibri"/>
      <w:b/>
      <w:bCs/>
      <w:kern w:val="2"/>
      <w:sz w:val="21"/>
      <w:szCs w:val="21"/>
    </w:rPr>
  </w:style>
  <w:style w:type="paragraph" w:customStyle="1" w:styleId="89">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0">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1">
    <w:name w:val="TableGrid9"/>
    <w:autoRedefine/>
    <w:qFormat/>
    <w:uiPriority w:val="0"/>
    <w:rPr>
      <w:kern w:val="2"/>
      <w:sz w:val="21"/>
      <w:szCs w:val="22"/>
    </w:rPr>
    <w:tblPr>
      <w:tblCellMar>
        <w:top w:w="0" w:type="dxa"/>
        <w:left w:w="0" w:type="dxa"/>
        <w:bottom w:w="0" w:type="dxa"/>
        <w:right w:w="0" w:type="dxa"/>
      </w:tblCellMar>
    </w:tblPr>
  </w:style>
  <w:style w:type="table" w:customStyle="1" w:styleId="92">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3">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12"/>
    <w:autoRedefine/>
    <w:qFormat/>
    <w:uiPriority w:val="0"/>
    <w:rPr>
      <w:kern w:val="2"/>
      <w:sz w:val="21"/>
      <w:szCs w:val="22"/>
    </w:rPr>
    <w:tblPr>
      <w:tblCellMar>
        <w:top w:w="0" w:type="dxa"/>
        <w:left w:w="0" w:type="dxa"/>
        <w:bottom w:w="0" w:type="dxa"/>
        <w:right w:w="0" w:type="dxa"/>
      </w:tblCellMar>
    </w:tblPr>
  </w:style>
  <w:style w:type="table" w:customStyle="1" w:styleId="95">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网格型1"/>
    <w:basedOn w:val="3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9">
    <w:name w:val="high-light-bg4"/>
    <w:basedOn w:val="36"/>
    <w:autoRedefine/>
    <w:qFormat/>
    <w:uiPriority w:val="0"/>
  </w:style>
  <w:style w:type="paragraph" w:customStyle="1" w:styleId="100">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1">
    <w:name w:val="p16"/>
    <w:basedOn w:val="1"/>
    <w:autoRedefine/>
    <w:qFormat/>
    <w:uiPriority w:val="0"/>
    <w:pPr>
      <w:adjustRightInd/>
      <w:spacing w:after="0"/>
    </w:pPr>
    <w:rPr>
      <w:rFonts w:ascii="宋体" w:hAnsi="宋体" w:eastAsia="宋体" w:cs="宋体"/>
      <w:sz w:val="28"/>
      <w:szCs w:val="28"/>
    </w:rPr>
  </w:style>
  <w:style w:type="paragraph" w:customStyle="1" w:styleId="102">
    <w:name w:val="+正文"/>
    <w:basedOn w:val="1"/>
    <w:autoRedefine/>
    <w:qFormat/>
    <w:uiPriority w:val="99"/>
    <w:pPr>
      <w:spacing w:line="360" w:lineRule="auto"/>
      <w:ind w:firstLine="200" w:firstLineChars="200"/>
    </w:pPr>
  </w:style>
  <w:style w:type="paragraph" w:customStyle="1" w:styleId="103">
    <w:name w:val="正文格式"/>
    <w:basedOn w:val="1"/>
    <w:autoRedefine/>
    <w:qFormat/>
    <w:uiPriority w:val="0"/>
    <w:pPr>
      <w:adjustRightInd w:val="0"/>
      <w:snapToGrid w:val="0"/>
      <w:spacing w:line="400" w:lineRule="atLeast"/>
      <w:ind w:firstLine="482"/>
      <w:textAlignment w:val="baseline"/>
    </w:pPr>
  </w:style>
  <w:style w:type="character" w:customStyle="1" w:styleId="104">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5">
    <w:name w:val="1正文"/>
    <w:basedOn w:val="30"/>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06">
    <w:name w:val="Table Paragraph"/>
    <w:basedOn w:val="1"/>
    <w:autoRedefine/>
    <w:unhideWhenUsed/>
    <w:qFormat/>
    <w:uiPriority w:val="0"/>
    <w:pPr>
      <w:spacing w:beforeLines="0" w:afterLines="0"/>
      <w:jc w:val="left"/>
    </w:pPr>
    <w:rPr>
      <w:rFonts w:hint="default" w:eastAsia="Calibri"/>
      <w:kern w:val="0"/>
      <w:sz w:val="22"/>
      <w:lang w:eastAsia="en-US"/>
    </w:rPr>
  </w:style>
  <w:style w:type="paragraph" w:customStyle="1" w:styleId="107">
    <w:name w:val="正文 New"/>
    <w:autoRedefine/>
    <w:qFormat/>
    <w:uiPriority w:val="99"/>
    <w:pPr>
      <w:widowControl w:val="0"/>
      <w:jc w:val="both"/>
    </w:pPr>
    <w:rPr>
      <w:rFonts w:ascii="Calibri" w:hAnsi="Calibri" w:eastAsia="宋体" w:cs="Times New Roman"/>
      <w:lang w:val="en-US" w:eastAsia="zh-CN" w:bidi="ar-SA"/>
    </w:rPr>
  </w:style>
  <w:style w:type="paragraph" w:customStyle="1" w:styleId="108">
    <w:name w:val="Table Text"/>
    <w:basedOn w:val="1"/>
    <w:autoRedefine/>
    <w:semiHidden/>
    <w:qFormat/>
    <w:uiPriority w:val="0"/>
    <w:rPr>
      <w:rFonts w:ascii="宋体" w:hAnsi="宋体" w:eastAsia="宋体" w:cs="宋体"/>
      <w:sz w:val="24"/>
      <w:szCs w:val="24"/>
      <w:lang w:val="en-US" w:eastAsia="en-US" w:bidi="ar-SA"/>
    </w:rPr>
  </w:style>
  <w:style w:type="table" w:customStyle="1" w:styleId="109">
    <w:name w:val="Table Normal"/>
    <w:autoRedefine/>
    <w:semiHidden/>
    <w:unhideWhenUsed/>
    <w:qFormat/>
    <w:uiPriority w:val="0"/>
    <w:tblPr>
      <w:tblCellMar>
        <w:top w:w="0" w:type="dxa"/>
        <w:left w:w="0" w:type="dxa"/>
        <w:bottom w:w="0" w:type="dxa"/>
        <w:right w:w="0" w:type="dxa"/>
      </w:tblCellMar>
    </w:tblPr>
  </w:style>
  <w:style w:type="paragraph" w:customStyle="1" w:styleId="110">
    <w:name w:val="p0"/>
    <w:basedOn w:val="1"/>
    <w:qFormat/>
    <w:uiPriority w:val="0"/>
    <w:pPr>
      <w:widowControl/>
    </w:pPr>
    <w:rPr>
      <w:kern w:val="0"/>
    </w:rPr>
  </w:style>
  <w:style w:type="paragraph" w:customStyle="1" w:styleId="111">
    <w:name w:val="BodyTextIndent2"/>
    <w:basedOn w:val="1"/>
    <w:qFormat/>
    <w:uiPriority w:val="0"/>
    <w:pPr>
      <w:tabs>
        <w:tab w:val="left" w:pos="420"/>
      </w:tabs>
      <w:spacing w:line="480" w:lineRule="auto"/>
      <w:ind w:left="420" w:leftChars="200"/>
      <w:jc w:val="both"/>
    </w:pPr>
    <w:rPr>
      <w:rFonts w:ascii="Calibri" w:hAnsi="Calibri" w:eastAsia="宋体"/>
      <w:kern w:val="2"/>
      <w:szCs w:val="24"/>
      <w:lang w:eastAsia="zh-CN"/>
    </w:rPr>
  </w:style>
  <w:style w:type="paragraph" w:customStyle="1" w:styleId="11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65</Pages>
  <Words>1171</Words>
  <Characters>1283</Characters>
  <Lines>198</Lines>
  <Paragraphs>55</Paragraphs>
  <TotalTime>7</TotalTime>
  <ScaleCrop>false</ScaleCrop>
  <LinksUpToDate>false</LinksUpToDate>
  <CharactersWithSpaces>1371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2020-08-06T01:08:00Z</dcterms:created>
  <dc:creator>Administrator</dc:creator>
  <cp:lastModifiedBy>WPS_1528011989</cp:lastModifiedBy>
  <cp:lastPrinted>2022-09-26T01:05:00Z</cp:lastPrinted>
  <dcterms:modified xsi:type="dcterms:W3CDTF">2026-05-21T09:09:54Z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E98A82F3B2224E20BB08403F26D5E5CD_13</vt:lpwstr>
  </property>
  <property fmtid="{D5CDD505-2E9C-101B-9397-08002B2CF9AE}" pid="4" name="KSOTemplateDocerSaveRecord">
    <vt:lpwstr>eyJoZGlkIjoiMDg1OGE3YTllNWRkNjgwY2M5ZDEwMmY0ODQzZDFhY2IiLCJ1c2VySWQiOiIzNzU3MTM1MjkifQ==</vt:lpwstr>
  </property>
</Properties>
</file>