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版本号：SZT2026-SN-QC-ZC-FW-007020260417001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规划技术审查服务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SZT2026-SN-QC-ZC-FW-0070</w:t>
      </w:r>
      <w:r>
        <w:br/>
      </w:r>
      <w:r>
        <w:br/>
      </w:r>
      <w:r>
        <w:br/>
      </w:r>
    </w:p>
    <w:p>
      <w:pPr>
        <w:pStyle w:val="null3"/>
        <w:jc w:val="center"/>
        <w:outlineLvl w:val="2"/>
      </w:pPr>
      <w:r>
        <w:rPr>
          <w:rFonts w:ascii="仿宋_GB2312" w:hAnsi="仿宋_GB2312" w:cs="仿宋_GB2312" w:eastAsia="仿宋_GB2312"/>
          <w:sz w:val="28"/>
          <w:b/>
        </w:rPr>
        <w:t>西安市自然资源和规划局长安分局</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西安市自然资源和规划局长安分局</w:t>
      </w:r>
      <w:r>
        <w:rPr>
          <w:rFonts w:ascii="仿宋_GB2312" w:hAnsi="仿宋_GB2312" w:cs="仿宋_GB2312" w:eastAsia="仿宋_GB2312"/>
        </w:rPr>
        <w:t>委托，拟对</w:t>
      </w:r>
      <w:r>
        <w:rPr>
          <w:rFonts w:ascii="仿宋_GB2312" w:hAnsi="仿宋_GB2312" w:cs="仿宋_GB2312" w:eastAsia="仿宋_GB2312"/>
        </w:rPr>
        <w:t>规划技术审查服务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SZT2026-SN-QC-ZC-FW-0070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规划技术审查服务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设工程规划审批是城市规划实施的核心工作，具有公共政策性强和专业技术性强的特点，实行技术审查和行政审批分离，开展智能审查，有利于规范工程建设项目审批工作，进一步提高行政审批效能，优化营商环境。根据《国务院关于加快推进政务服务标准化规范化便利化的指导意见》、《转发市资源规划局关于进一步规范资源规划“一书三证”管理实施办法的通知》（市政办发〔2020〕13号）、《“一书三证”管理实施细则》、《西安市自然资源和规划局关于建设工程设计方案审查相关事项的指导意见》，拟在西安市长安区（不含航天基地）范围内采购建设工程设计方案第三方智能审查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1、供应商要求：具备城乡规划编制资质乙级及以上（含乙级）资质。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西安市自然资源和规划局长安分局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西安市长安区西长安街79号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029-85286485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承担，招标代理服务费的收取参照国家计委颁布的《招标代理服务收费管理暂行办法》（计价格[2002]1980号）和（发改办价格[2003]857号）按照采购预算计算收取。 开户名称：陕西中技招标有限公司 开户行名称：招商银行西安分行营业部 账 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西安市自然资源和规划局长安分局</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西安市自然资源和规划局长安分局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西安市自然资源和规划局长安分局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工程规划审批是城市规划实施的核心工作，具有公共政策性强和专业技术性强的特点，实行技术审查和行政审批分离，开展智能审查，有利于规范工程建设项目审批工作，进一步提高行政审批效能，优化营商环境。根据《国务院关于加快推进政务服务标准化规范化便利化的指导意见》、《转发市资源规划局关于进一步规范资源规划“一书三证”管理实施办法的通知》（市政办发〔2020〕13号）、《“一书三证”管理实施细则》、《西安市自然资源和规划局关于建设工程设计方案审查相关事项的指导意见》，拟在西安市长安区（不含航天基地）范围内采购建设工程设计方案第三方智能审查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规划技术审查服务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标的名称：规划技术审查服务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项目概况说明：建设工程规划审批是城市规划实施的核心工作，具有公共政策性强和专业技术性强的特点，实行技术审查和行政审批分离，开展智能审查，有利于规范工程建设项目审批工作，进一步提高行政审批效能，优化营商环境。根据《国务院关于加快推进政务服务标准化规范化便利化的指导意见》、《转发市资源规划局关于进一步规范资源规划“一书三证”管理实施办法的通知》（市政办发〔2020〕13号）、《“一书三证”管理实施细则》、《西安市自然资源和规划局关于建设工程设计方案审查相关事项的指导意见》，拟在西安市长安区（不含航天基地）范围内采购建设工程设计方案第三方智能审查服务。</w:t>
            </w:r>
          </w:p>
          <w:p>
            <w:pPr>
              <w:pStyle w:val="null3"/>
            </w:pPr>
            <w:r>
              <w:rPr>
                <w:rFonts w:ascii="仿宋_GB2312" w:hAnsi="仿宋_GB2312" w:cs="仿宋_GB2312" w:eastAsia="仿宋_GB2312"/>
              </w:rPr>
              <w:t>二、采购目标</w:t>
            </w:r>
          </w:p>
          <w:p>
            <w:pPr>
              <w:pStyle w:val="null3"/>
            </w:pPr>
            <w:r>
              <w:rPr>
                <w:rFonts w:ascii="仿宋_GB2312" w:hAnsi="仿宋_GB2312" w:cs="仿宋_GB2312" w:eastAsia="仿宋_GB2312"/>
              </w:rPr>
              <w:t>采购标的需实现的功能或者目标：严格遵守国家、行业及地方现行的相关规范，且满足甲方服务要求。</w:t>
            </w:r>
          </w:p>
          <w:p>
            <w:pPr>
              <w:pStyle w:val="null3"/>
            </w:pPr>
            <w:r>
              <w:rPr>
                <w:rFonts w:ascii="仿宋_GB2312" w:hAnsi="仿宋_GB2312" w:cs="仿宋_GB2312" w:eastAsia="仿宋_GB2312"/>
              </w:rPr>
              <w:t>为落实政府采购政策需满足的要求：严格执行国家相关政策。</w:t>
            </w:r>
          </w:p>
          <w:p>
            <w:pPr>
              <w:pStyle w:val="null3"/>
            </w:pPr>
            <w:r>
              <w:rPr>
                <w:rFonts w:ascii="仿宋_GB2312" w:hAnsi="仿宋_GB2312" w:cs="仿宋_GB2312" w:eastAsia="仿宋_GB2312"/>
              </w:rPr>
              <w:t>三、采购预算</w:t>
            </w:r>
          </w:p>
          <w:p>
            <w:pPr>
              <w:pStyle w:val="null3"/>
            </w:pPr>
            <w:r>
              <w:rPr>
                <w:rFonts w:ascii="仿宋_GB2312" w:hAnsi="仿宋_GB2312" w:cs="仿宋_GB2312" w:eastAsia="仿宋_GB2312"/>
              </w:rPr>
              <w:t>本项目预算金额为：¥3000000.00元；建设工程方案技术审查服务采购单价上限价为：0.42元/平方米。最终在采购预算300万元内据实结算。投标报价超过最高上限单价投标无效。</w:t>
            </w:r>
          </w:p>
          <w:p>
            <w:pPr>
              <w:pStyle w:val="null3"/>
            </w:pPr>
            <w:r>
              <w:rPr>
                <w:rFonts w:ascii="仿宋_GB2312" w:hAnsi="仿宋_GB2312" w:cs="仿宋_GB2312" w:eastAsia="仿宋_GB2312"/>
              </w:rPr>
              <w:t>四、服务内容</w:t>
            </w:r>
          </w:p>
          <w:p>
            <w:pPr>
              <w:pStyle w:val="null3"/>
            </w:pPr>
            <w:r>
              <w:rPr>
                <w:rFonts w:ascii="仿宋_GB2312" w:hAnsi="仿宋_GB2312" w:cs="仿宋_GB2312" w:eastAsia="仿宋_GB2312"/>
              </w:rPr>
              <w:t>（一）数据检测</w:t>
            </w:r>
          </w:p>
          <w:p>
            <w:pPr>
              <w:pStyle w:val="null3"/>
            </w:pPr>
            <w:r>
              <w:rPr>
                <w:rFonts w:ascii="仿宋_GB2312" w:hAnsi="仿宋_GB2312" w:cs="仿宋_GB2312" w:eastAsia="仿宋_GB2312"/>
              </w:rPr>
              <w:t>对设计方案进行数据标准化检测，满足智能审查要求。</w:t>
            </w:r>
          </w:p>
          <w:p>
            <w:pPr>
              <w:pStyle w:val="null3"/>
            </w:pPr>
            <w:r>
              <w:rPr>
                <w:rFonts w:ascii="仿宋_GB2312" w:hAnsi="仿宋_GB2312" w:cs="仿宋_GB2312" w:eastAsia="仿宋_GB2312"/>
              </w:rPr>
              <w:t>（二）建设用地合规性审查</w:t>
            </w:r>
          </w:p>
          <w:p>
            <w:pPr>
              <w:pStyle w:val="null3"/>
            </w:pPr>
            <w:r>
              <w:rPr>
                <w:rFonts w:ascii="仿宋_GB2312" w:hAnsi="仿宋_GB2312" w:cs="仿宋_GB2312" w:eastAsia="仿宋_GB2312"/>
              </w:rPr>
              <w:t>对于在土地供应阶段或在企业原有用地上建设，未做过合规性审查的项目进行建设用地合规性审查。</w:t>
            </w:r>
          </w:p>
          <w:p>
            <w:pPr>
              <w:pStyle w:val="null3"/>
            </w:pPr>
            <w:r>
              <w:rPr>
                <w:rFonts w:ascii="仿宋_GB2312" w:hAnsi="仿宋_GB2312" w:cs="仿宋_GB2312" w:eastAsia="仿宋_GB2312"/>
              </w:rPr>
              <w:t>（三）现状建筑审查</w:t>
            </w:r>
          </w:p>
          <w:p>
            <w:pPr>
              <w:pStyle w:val="null3"/>
            </w:pPr>
            <w:r>
              <w:rPr>
                <w:rFonts w:ascii="仿宋_GB2312" w:hAnsi="仿宋_GB2312" w:cs="仿宋_GB2312" w:eastAsia="仿宋_GB2312"/>
              </w:rPr>
              <w:t>对和设计方案相关的周边现状建筑的建筑性质、建筑楼位、建筑层数、建筑高度等进行数据准确性审查。</w:t>
            </w:r>
          </w:p>
          <w:p>
            <w:pPr>
              <w:pStyle w:val="null3"/>
            </w:pPr>
            <w:r>
              <w:rPr>
                <w:rFonts w:ascii="仿宋_GB2312" w:hAnsi="仿宋_GB2312" w:cs="仿宋_GB2312" w:eastAsia="仿宋_GB2312"/>
              </w:rPr>
              <w:t>（四）建设工程设计方案技术审查（含遗留项目建设工程方案技术审查）</w:t>
            </w:r>
          </w:p>
          <w:p>
            <w:pPr>
              <w:pStyle w:val="null3"/>
            </w:pPr>
            <w:r>
              <w:rPr>
                <w:rFonts w:ascii="仿宋_GB2312" w:hAnsi="仿宋_GB2312" w:cs="仿宋_GB2312" w:eastAsia="仿宋_GB2312"/>
              </w:rPr>
              <w:t>1、总图审查。</w:t>
            </w:r>
          </w:p>
          <w:p>
            <w:pPr>
              <w:pStyle w:val="null3"/>
            </w:pPr>
            <w:r>
              <w:rPr>
                <w:rFonts w:ascii="仿宋_GB2312" w:hAnsi="仿宋_GB2312" w:cs="仿宋_GB2312" w:eastAsia="仿宋_GB2312"/>
              </w:rPr>
              <w:t>核查建设工程设计方案各项主要技术指标是否满足规划条件要求。主要经济技术指标是指各类建（构）物建筑面积、容积率、建筑密度（建筑系数）、绿地率、停车位、建筑高度、建筑间距、建筑退线以及《西安市居住区规划设计指导意见》相关内容。</w:t>
            </w:r>
          </w:p>
          <w:p>
            <w:pPr>
              <w:pStyle w:val="null3"/>
            </w:pPr>
            <w:r>
              <w:rPr>
                <w:rFonts w:ascii="仿宋_GB2312" w:hAnsi="仿宋_GB2312" w:cs="仿宋_GB2312" w:eastAsia="仿宋_GB2312"/>
              </w:rPr>
              <w:t>2、建筑单体审查</w:t>
            </w:r>
          </w:p>
          <w:p>
            <w:pPr>
              <w:pStyle w:val="null3"/>
            </w:pPr>
            <w:r>
              <w:rPr>
                <w:rFonts w:ascii="仿宋_GB2312" w:hAnsi="仿宋_GB2312" w:cs="仿宋_GB2312" w:eastAsia="仿宋_GB2312"/>
              </w:rPr>
              <w:t>对各栋建（构）筑物建筑性质、基底面积、建筑面积、建筑高度进行总图符合性、技术标准符合性审查。</w:t>
            </w:r>
          </w:p>
          <w:p>
            <w:pPr>
              <w:pStyle w:val="null3"/>
            </w:pPr>
            <w:r>
              <w:rPr>
                <w:rFonts w:ascii="仿宋_GB2312" w:hAnsi="仿宋_GB2312" w:cs="仿宋_GB2312" w:eastAsia="仿宋_GB2312"/>
              </w:rPr>
              <w:t>3、日照分析报告审查。</w:t>
            </w:r>
          </w:p>
          <w:p>
            <w:pPr>
              <w:pStyle w:val="null3"/>
            </w:pPr>
            <w:r>
              <w:rPr>
                <w:rFonts w:ascii="仿宋_GB2312" w:hAnsi="仿宋_GB2312" w:cs="仿宋_GB2312" w:eastAsia="仿宋_GB2312"/>
              </w:rPr>
              <w:t>按照国家、地方行业技术标准、管理规定，在现场踏勘基础上，对日照分析报告进行技术审查，审查内容包括日照分析标准、日照分析软件、日照分析参数、日照分析方法、日照分析主客体范围、日照分析周边资料、日照分析结论、日照分析成果格式。</w:t>
            </w:r>
          </w:p>
          <w:p>
            <w:pPr>
              <w:pStyle w:val="null3"/>
            </w:pPr>
            <w:r>
              <w:rPr>
                <w:rFonts w:ascii="仿宋_GB2312" w:hAnsi="仿宋_GB2312" w:cs="仿宋_GB2312" w:eastAsia="仿宋_GB2312"/>
              </w:rPr>
              <w:t>（五）公示牌小样制作</w:t>
            </w:r>
          </w:p>
          <w:p>
            <w:pPr>
              <w:pStyle w:val="null3"/>
            </w:pPr>
            <w:r>
              <w:rPr>
                <w:rFonts w:ascii="仿宋_GB2312" w:hAnsi="仿宋_GB2312" w:cs="仿宋_GB2312" w:eastAsia="仿宋_GB2312"/>
              </w:rPr>
              <w:t>按照指定格式制作规划、用地、工程许可阶段各类公示牌电子小样。</w:t>
            </w:r>
          </w:p>
          <w:p>
            <w:pPr>
              <w:pStyle w:val="null3"/>
            </w:pPr>
            <w:r>
              <w:rPr>
                <w:rFonts w:ascii="仿宋_GB2312" w:hAnsi="仿宋_GB2312" w:cs="仿宋_GB2312" w:eastAsia="仿宋_GB2312"/>
              </w:rPr>
              <w:t>五、技术要求</w:t>
            </w:r>
          </w:p>
          <w:p>
            <w:pPr>
              <w:pStyle w:val="null3"/>
            </w:pPr>
            <w:r>
              <w:rPr>
                <w:rFonts w:ascii="仿宋_GB2312" w:hAnsi="仿宋_GB2312" w:cs="仿宋_GB2312" w:eastAsia="仿宋_GB2312"/>
              </w:rPr>
              <w:t>（一）智能审查要求。采用智能机审辅以人工审查的方式开展建设工程设计方案技术审查，并具有根据政策变化，能对智能审查软件进行实时调整编辑的开发能力。</w:t>
            </w:r>
          </w:p>
          <w:p>
            <w:pPr>
              <w:pStyle w:val="null3"/>
            </w:pPr>
            <w:r>
              <w:rPr>
                <w:rFonts w:ascii="仿宋_GB2312" w:hAnsi="仿宋_GB2312" w:cs="仿宋_GB2312" w:eastAsia="仿宋_GB2312"/>
              </w:rPr>
              <w:t>（二）全程网办要求。在“西安市建设工程设计方案技术审查系统”平台上开展全过程建设工程设计方案技术审查工作，包括资料受理、审查资料流转、审查成果出具，满足不见面、无纸化审查工作要求。</w:t>
            </w:r>
          </w:p>
          <w:p>
            <w:pPr>
              <w:pStyle w:val="null3"/>
            </w:pPr>
            <w:r>
              <w:rPr>
                <w:rFonts w:ascii="仿宋_GB2312" w:hAnsi="仿宋_GB2312" w:cs="仿宋_GB2312" w:eastAsia="仿宋_GB2312"/>
              </w:rPr>
              <w:t>（三）成果加密要求。按指定格式，对审查完成的建设工程设计方案（包括总图、单体图、日照分析报告）进行加密。</w:t>
            </w:r>
          </w:p>
          <w:p>
            <w:pPr>
              <w:pStyle w:val="null3"/>
            </w:pPr>
            <w:r>
              <w:rPr>
                <w:rFonts w:ascii="仿宋_GB2312" w:hAnsi="仿宋_GB2312" w:cs="仿宋_GB2312" w:eastAsia="仿宋_GB2312"/>
              </w:rPr>
              <w:t>（四）成果交付要求。用地合规性审查完成出具用地合规性审查意见；建设工程设计方案技术审查完成出具《建设工程设计方案技术审查意见书》、《日照分析报告复核意见书》；公示牌小样制作完成出具公示牌电子小样。</w:t>
            </w:r>
          </w:p>
          <w:p>
            <w:pPr>
              <w:pStyle w:val="null3"/>
            </w:pPr>
            <w:r>
              <w:rPr>
                <w:rFonts w:ascii="仿宋_GB2312" w:hAnsi="仿宋_GB2312" w:cs="仿宋_GB2312" w:eastAsia="仿宋_GB2312"/>
              </w:rPr>
              <w:t>（五）审查时效要求。用地合规性审查意见1日内出具；建设工程设计方案技术审查意见3日内出具，特殊事项当日出具；公示牌小样1日内出具。</w:t>
            </w:r>
          </w:p>
          <w:p>
            <w:pPr>
              <w:pStyle w:val="null3"/>
            </w:pPr>
            <w:r>
              <w:rPr>
                <w:rFonts w:ascii="仿宋_GB2312" w:hAnsi="仿宋_GB2312" w:cs="仿宋_GB2312" w:eastAsia="仿宋_GB2312"/>
              </w:rPr>
              <w:t>六、服务要求</w:t>
            </w:r>
          </w:p>
          <w:p>
            <w:pPr>
              <w:pStyle w:val="null3"/>
            </w:pPr>
            <w:r>
              <w:rPr>
                <w:rFonts w:ascii="仿宋_GB2312" w:hAnsi="仿宋_GB2312" w:cs="仿宋_GB2312" w:eastAsia="仿宋_GB2312"/>
              </w:rPr>
              <w:t>1、配置具有规划、建筑、地理信息、开发（系统、软件）专业背景技术团队，分别承担用地合规性审查、总图审查（规划专业）、建筑单体审查（建筑学专业）、数据质检（地理信息专业数据处理工程师）、软件（系统）服务（软件工程、计算机专业）；</w:t>
            </w:r>
          </w:p>
          <w:p>
            <w:pPr>
              <w:pStyle w:val="null3"/>
            </w:pPr>
            <w:r>
              <w:rPr>
                <w:rFonts w:ascii="仿宋_GB2312" w:hAnsi="仿宋_GB2312" w:cs="仿宋_GB2312" w:eastAsia="仿宋_GB2312"/>
              </w:rPr>
              <w:t>2、配置3人以上（含3人）在资源规划长安分局开展驻场协助工作。</w:t>
            </w:r>
          </w:p>
          <w:p>
            <w:pPr>
              <w:pStyle w:val="null3"/>
            </w:pPr>
            <w:r>
              <w:rPr>
                <w:rFonts w:ascii="仿宋_GB2312" w:hAnsi="仿宋_GB2312" w:cs="仿宋_GB2312" w:eastAsia="仿宋_GB2312"/>
              </w:rPr>
              <w:t>3、向建设单位、设计单位提供技术审查软件及使用期间的解答。</w:t>
            </w:r>
          </w:p>
          <w:p>
            <w:pPr>
              <w:pStyle w:val="null3"/>
            </w:pPr>
            <w:r>
              <w:rPr>
                <w:rFonts w:ascii="仿宋_GB2312" w:hAnsi="仿宋_GB2312" w:cs="仿宋_GB2312" w:eastAsia="仿宋_GB2312"/>
              </w:rPr>
              <w:t>4、根据资源规划局的要求增加、修改软件功能。</w:t>
            </w:r>
          </w:p>
          <w:p>
            <w:pPr>
              <w:pStyle w:val="null3"/>
            </w:pPr>
            <w:r>
              <w:rPr>
                <w:rFonts w:ascii="仿宋_GB2312" w:hAnsi="仿宋_GB2312" w:cs="仿宋_GB2312" w:eastAsia="仿宋_GB2312"/>
              </w:rPr>
              <w:t>5、服务单位具有软件开发及本地化服务能力。</w:t>
            </w:r>
          </w:p>
          <w:p>
            <w:pPr>
              <w:pStyle w:val="null3"/>
            </w:pPr>
            <w:r>
              <w:rPr>
                <w:rFonts w:ascii="仿宋_GB2312" w:hAnsi="仿宋_GB2312" w:cs="仿宋_GB2312" w:eastAsia="仿宋_GB2312"/>
              </w:rPr>
              <w:t>6、组织对重点区域和重要节点项目进行专家评审等技术服务。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合同截止日期为2026年年底或预算使用完(以先到者为准) 说明：合同结算价按实际发生量及中标单价据实结算，合同结算价不超过300万元。</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服务期过半据实进行结算</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服务期过半据实进行结算</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根据《陕西省中小企业政府采购信用融资办法》（陕财办采（2018）23号）、《陕西省财政厅关于加快推进我省中小企业政府采购信用融资工作的通知》《陕财办采（2020）15号》、《西安市长安区财政局关于进一步做好政采贷工作的通知》（长财字〔2021〕223号）的有关规定，有融资需求的供应商可根据自身情况，在陕西省政府采购信用融资平台（含各市分平台）自主选择金融机构及其融资产品，凭政府采购中标（成交）通知书或政府采购合同向金融机构提出融资申请。 融资政策链接：http://www.ccgp-shanxi.gov.cn/zcdservice/zcd/shanxi/) 二、报价异常低价处理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三、落实政府采购政策《国务院办公厅关于在政府采购中实施本国产品标准及相关政策的通知国办发〔2025〕34号》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四、本项目中标供应商须在中标结果发布后提供纸质投标文件一套正本及一套副本交由采购代理机构备案，该文件须与线上电子投标文件完全一致。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4、具有依法缴纳税收和社会保障资金的良好记录（提供开标前6个月内任意月份的社保和缴纳税收的证明，依法不需要缴纳社会保障资金、免税或无须缴纳税款的供应商，应提供相关证明文件)；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具备城乡规划编制资质乙级及以上（含乙级）资质。</w:t>
            </w:r>
          </w:p>
        </w:tc>
        <w:tc>
          <w:tcPr>
            <w:tcW w:type="dxa" w:w="1661"/>
          </w:tcPr>
          <w:p>
            <w:pPr>
              <w:pStyle w:val="null3"/>
            </w:pPr>
            <w:r>
              <w:rPr>
                <w:rFonts w:ascii="仿宋_GB2312" w:hAnsi="仿宋_GB2312" w:cs="仿宋_GB2312" w:eastAsia="仿宋_GB2312"/>
              </w:rPr>
              <w:t>格式文本.docx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报价唯一，且报价不超过单价限价</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项目理解与分析</w:t>
            </w:r>
          </w:p>
        </w:tc>
        <w:tc>
          <w:tcPr>
            <w:tcW w:type="dxa" w:w="2492"/>
          </w:tcPr>
          <w:p>
            <w:pPr>
              <w:pStyle w:val="null3"/>
            </w:pPr>
            <w:r>
              <w:rPr>
                <w:rFonts w:ascii="仿宋_GB2312" w:hAnsi="仿宋_GB2312" w:cs="仿宋_GB2312" w:eastAsia="仿宋_GB2312"/>
              </w:rPr>
              <w:t>评审内容包括：①项目理解②需求分析③项目重难点分析 每一项内容全面详细、阐述条理清晰得3分，满分9分，每项存在一处缺陷，扣1分，扣完为止。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评审内容包括：①总体工作方案②项目实施计划③组织实施方案。 每一项内容全面详细、阐述条理清晰得4分，满分12分，每项存在一处缺陷，扣1分，扣完为止。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项目关键性技术、重点难点的解决方案</w:t>
            </w:r>
          </w:p>
        </w:tc>
        <w:tc>
          <w:tcPr>
            <w:tcW w:type="dxa" w:w="2492"/>
          </w:tcPr>
          <w:p>
            <w:pPr>
              <w:pStyle w:val="null3"/>
            </w:pPr>
            <w:r>
              <w:rPr>
                <w:rFonts w:ascii="仿宋_GB2312" w:hAnsi="仿宋_GB2312" w:cs="仿宋_GB2312" w:eastAsia="仿宋_GB2312"/>
              </w:rPr>
              <w:t>评审内容包括：①对规划报建技术审查实施重、难点的认识、理解及分析；②针对规划报建技术审查实施重、难点拟定的解决方案；③智能化审查服务技术突破方案。 每一项内容全面详细、阐述条理清晰得3分，满分9分，每项存在一处缺陷，扣1分，扣完为止。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评审内容包括：①各项质量保障措施②服务承诺③针对本项目的特色服务说明 每一项内容全面详细、阐述条理清晰得2分，满分6分，每项存在一处缺陷，扣1分，扣完为止。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现状数据基础</w:t>
            </w:r>
          </w:p>
        </w:tc>
        <w:tc>
          <w:tcPr>
            <w:tcW w:type="dxa" w:w="2492"/>
          </w:tcPr>
          <w:p>
            <w:pPr>
              <w:pStyle w:val="null3"/>
            </w:pPr>
            <w:r>
              <w:rPr>
                <w:rFonts w:ascii="仿宋_GB2312" w:hAnsi="仿宋_GB2312" w:cs="仿宋_GB2312" w:eastAsia="仿宋_GB2312"/>
              </w:rPr>
              <w:t>供应商提供现状空间数据工作基础(包括不限于影像、建筑、公服等)。 1、供应商提供的内容全面，涵盖的种类丰富，证明材料齐全得8分； 2、供应商提供的内容较全面，涵盖的种类较丰富，证明材料交齐全得6分； 3、供应商提供的内容较全面，涵盖的种类较丰富得4分； 3、供应商提供的内容简单，涵盖的种类单一，得2分； 4、未提供得0分。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智能化审查实施方案</w:t>
            </w:r>
          </w:p>
        </w:tc>
        <w:tc>
          <w:tcPr>
            <w:tcW w:type="dxa" w:w="2492"/>
          </w:tcPr>
          <w:p>
            <w:pPr>
              <w:pStyle w:val="null3"/>
            </w:pPr>
            <w:r>
              <w:rPr>
                <w:rFonts w:ascii="仿宋_GB2312" w:hAnsi="仿宋_GB2312" w:cs="仿宋_GB2312" w:eastAsia="仿宋_GB2312"/>
              </w:rPr>
              <w:t>评审内容包括：①目标明确，思路清晰②机审流程规范③人机分工明确④相关系统、平台、软件互联互通 每一项内容全面详细、阐述条理清晰得3分，满分12分，每项存在一处缺陷，扣1分，扣完为止。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后续技术服务方案及措施</w:t>
            </w:r>
          </w:p>
        </w:tc>
        <w:tc>
          <w:tcPr>
            <w:tcW w:type="dxa" w:w="2492"/>
          </w:tcPr>
          <w:p>
            <w:pPr>
              <w:pStyle w:val="null3"/>
            </w:pPr>
            <w:r>
              <w:rPr>
                <w:rFonts w:ascii="仿宋_GB2312" w:hAnsi="仿宋_GB2312" w:cs="仿宋_GB2312" w:eastAsia="仿宋_GB2312"/>
              </w:rPr>
              <w:t>评审内容包括：①售后服务内容②保障措施③后续承诺： 每一项内容全面详细、阐述条理清晰得3分，满分9分，每项存在一处缺陷，扣1分，扣完为止。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投标人具有自然资源或国土空间等相关领域计算机软件著作权登记证书(注:提供计算机软件著作权登记证书的权利取得方式须为原始取得,否则视为无效证书)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投标人具有 ISO9001 质量管理体系认证证书(覆盖的产品和服务须包含计算机软件开发、信息技术服务等)、ISO14001 环境管理体系认证证书(须适用于计算机软件开发、信息技术服务及相关管理活动等)ISO45001 职业健康安全管理体系认证证书(须适用于计算机软件开发、信息技术服务及相关管理活动等)，具有任意一个得1分。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项目总负责人</w:t>
            </w:r>
          </w:p>
        </w:tc>
        <w:tc>
          <w:tcPr>
            <w:tcW w:type="dxa" w:w="2492"/>
          </w:tcPr>
          <w:p>
            <w:pPr>
              <w:pStyle w:val="null3"/>
            </w:pPr>
            <w:r>
              <w:rPr>
                <w:rFonts w:ascii="仿宋_GB2312" w:hAnsi="仿宋_GB2312" w:cs="仿宋_GB2312" w:eastAsia="仿宋_GB2312"/>
              </w:rPr>
              <w:t>1.拟定项目总负责人具备规划类中级职称的得1分，高级职称的得2分；2.有国家注册城乡规划师职业资格的，得1分；满分3分（项目总负责人与数据负责人不为同一人）。 （提供项目人员职称证书复印件加盖公章、相关证书复印件加盖公章或中国城市规划协会官方网站截图为评分依据，无提供不得分；提供的人员须在本单位工作，以提供开标前连续6个月社保证明为准，否则此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数据专项负责人</w:t>
            </w:r>
          </w:p>
        </w:tc>
        <w:tc>
          <w:tcPr>
            <w:tcW w:type="dxa" w:w="2492"/>
          </w:tcPr>
          <w:p>
            <w:pPr>
              <w:pStyle w:val="null3"/>
            </w:pPr>
            <w:r>
              <w:rPr>
                <w:rFonts w:ascii="仿宋_GB2312" w:hAnsi="仿宋_GB2312" w:cs="仿宋_GB2312" w:eastAsia="仿宋_GB2312"/>
              </w:rPr>
              <w:t>1.数据负责人为地理信息专业（包括地理信息、测绘）高级职称得2分，中级职称得1分，未提供不得分（项目总负责人与数据负责人不为同一人）。 2.数据负责人具备注册测绘师职业资格得2分，未提供不得分。 （注：提供项目人员职称证书复印件加盖公章，无提供不得分；提供的人员须在本单位工作，以提供开标前连续6个月社保证明为准，否则此项不得分。）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项目常驻服务人员</w:t>
            </w:r>
          </w:p>
        </w:tc>
        <w:tc>
          <w:tcPr>
            <w:tcW w:type="dxa" w:w="2492"/>
          </w:tcPr>
          <w:p>
            <w:pPr>
              <w:pStyle w:val="null3"/>
            </w:pPr>
            <w:r>
              <w:rPr>
                <w:rFonts w:ascii="仿宋_GB2312" w:hAnsi="仿宋_GB2312" w:cs="仿宋_GB2312" w:eastAsia="仿宋_GB2312"/>
              </w:rPr>
              <w:t>常驻服务人员 3 人以上(含 3 人)(不含项目总负责人,数据负责人以及项目团队人员),每一人有国家注册城乡规划师或国家注册一级建筑师职业资格的,得1分,不足3人不得分,本项满分3分。 (注:提供项目人员职称证书复印件加盖公章,无提供不得分;提供的人员须在本单位工作,以提供开标前连续 6 个月社保证明为准,否则此项不得分。)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项目组整体人员配备</w:t>
            </w:r>
          </w:p>
        </w:tc>
        <w:tc>
          <w:tcPr>
            <w:tcW w:type="dxa" w:w="2492"/>
          </w:tcPr>
          <w:p>
            <w:pPr>
              <w:pStyle w:val="null3"/>
            </w:pPr>
            <w:r>
              <w:rPr>
                <w:rFonts w:ascii="仿宋_GB2312" w:hAnsi="仿宋_GB2312" w:cs="仿宋_GB2312" w:eastAsia="仿宋_GB2312"/>
              </w:rPr>
              <w:t>考核投标人拟投入项目团队人员（不含项目总负责人，数据负责人）知识构架全面，专业性强，满足项目需求，分工明确、配置合理，科学合理，总体实力较强，有丰富的设计方案技术审查工作经验。 1.项目组成员每提供一名具有注册城乡规划师或一级注册建筑师职业资格的得0.5分，最高得4分。 2.项目组成员专业（以毕业证为准）涵盖城市（乡）规划、建筑学、人文地理、土地资源管理、地理信息系统、风景园林、计算机科学与技术等相关专业，每涵盖上述一个专业得0.5分，最高得4分； （注：提供项目人员职称证书复印件加盖公章，无提供不得分；提供的人员须在本单位工作，以提供开标前连续6个月社保证明为准，否则此项不得分。）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技术履约能力</w:t>
            </w:r>
          </w:p>
        </w:tc>
        <w:tc>
          <w:tcPr>
            <w:tcW w:type="dxa" w:w="2492"/>
          </w:tcPr>
          <w:p>
            <w:pPr>
              <w:pStyle w:val="null3"/>
            </w:pPr>
            <w:r>
              <w:rPr>
                <w:rFonts w:ascii="仿宋_GB2312" w:hAnsi="仿宋_GB2312" w:cs="仿宋_GB2312" w:eastAsia="仿宋_GB2312"/>
              </w:rPr>
              <w:t>投标人提供2023年1月1日至今承担过规划技术审查、建设项目方案技术审查 (非咨询) 类相关业绩（需同时提供合同及中标通知书加盖公章的复印件），每提供1项有效业绩得1分，最高得5分。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满足招标文件内容及技术要求且最低的投标单价为评标基准价，其价格分为满分。 报价得分=（评标基准价／投标单价）×10。 符合招标文件规定的小微企业、监狱企业、残疾人福利性单位优惠条件的投标人，价格给予10%的扣除，用扣除后的价格参与评审。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