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版本号：LZBB2026-65120260709001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云安全服务项目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LZBB2026-651</w:t>
      </w:r>
      <w:r>
        <w:br/>
      </w:r>
      <w:r>
        <w:br/>
      </w:r>
      <w:r>
        <w:br/>
      </w:r>
    </w:p>
    <w:p>
      <w:pPr>
        <w:pStyle w:val="null3"/>
        <w:jc w:val="center"/>
        <w:outlineLvl w:val="2"/>
      </w:pPr>
      <w:r>
        <w:rPr>
          <w:rFonts w:ascii="仿宋_GB2312" w:hAnsi="仿宋_GB2312" w:cs="仿宋_GB2312" w:eastAsia="仿宋_GB2312"/>
          <w:sz w:val="28"/>
          <w:b/>
        </w:rPr>
        <w:t>西安市第一医院</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西安市第一医院</w:t>
      </w:r>
      <w:r>
        <w:rPr>
          <w:rFonts w:ascii="仿宋_GB2312" w:hAnsi="仿宋_GB2312" w:cs="仿宋_GB2312" w:eastAsia="仿宋_GB2312"/>
        </w:rPr>
        <w:t>委托，拟对</w:t>
      </w:r>
      <w:r>
        <w:rPr>
          <w:rFonts w:ascii="仿宋_GB2312" w:hAnsi="仿宋_GB2312" w:cs="仿宋_GB2312" w:eastAsia="仿宋_GB2312"/>
        </w:rPr>
        <w:t>云安全服务项目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LZBB2026-651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云安全服务项目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本项目拟对西安市第一医院云安全服务项目进行采购，具体详见采购文件。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供应商在本项目磋商响应文件递交截止时间前六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3、财务状况：供应商提供2024年度或2025年度经审计的财务审计报告（事业法人可提供部门决算报告）；或磋商响应文件递交截止时间前六个月内其基本账户银行出具的资信证明（附《基本存款账户信息》或《银行开户许可证》）；或提供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4、参加政府采购活动前3年内在经营活动中没有重大违法记录的书面声明； 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6、法定代表人授权委托书：法定代表人授权委托书：法定代表人参加磋商的，须提供法定代表人身份证明；法定代表人授权他人参加磋商的，须提供法定代表人授权委托书，被授权代表本单位证明：响应文件递交截止时间前三个月内任意一个月（不含开标当月）供应商为其缴纳的养老保险缴纳证明。（法定代表人参加只需提供法定代表人身份证明）。供应商需在项目电子化交易系统中按要求上传相应证明文件并进行电子签章</w:t>
      </w:r>
    </w:p>
    <w:p>
      <w:pPr>
        <w:pStyle w:val="null3"/>
      </w:pPr>
      <w:r>
        <w:rPr>
          <w:rFonts w:ascii="仿宋_GB2312" w:hAnsi="仿宋_GB2312" w:cs="仿宋_GB2312" w:eastAsia="仿宋_GB2312"/>
        </w:rPr>
        <w:t>7、承诺要求：（1）本项目不接受由西安市第一医院职工及其亲属投资开办的企业参加本次政府采购活动；（2）供应商与其他供应商无交叉控股股东、无交叉兼任高级管理人员及涉嫌联合围标、串标行为，无采购单位和采购代理机构职工在该单位兼职的情况，不向采购单位和代理机构相关人员输送利益等行贿行为，供应商需在项目电子化交易系统中按要求上传相应承诺函并进行电子签章</w:t>
      </w:r>
    </w:p>
    <w:p>
      <w:pPr>
        <w:pStyle w:val="null3"/>
      </w:pPr>
      <w:r>
        <w:rPr>
          <w:rFonts w:ascii="仿宋_GB2312" w:hAnsi="仿宋_GB2312" w:cs="仿宋_GB2312" w:eastAsia="仿宋_GB2312"/>
        </w:rPr>
        <w:t>8、供应商信用状况：供应商不得为“信用中国”网站（www.creditchina.gov.cn）中列入重大税收违法失信主体和“中国执行信息公开网”（https://zxgk.court.gov.cn/）失信被执行人的供应商，不得为中国政府采购网（www.ccgp.gov.cn）政府采购严重违法失信行为记录名单中被财政部门禁止参加政府采购活动的供应商。以响应文件递交截止时间后网站查询结果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西安市第一医院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南大街粉巷30号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029-87630967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陕西省西安市市本级陕西省西安市高新区太白南路181号A座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王万里、王飞、张波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029-88228899-626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以中标金额做为计算基数，参照国家计委颁发的《招标代理服务收费管理暂行办法》（计价格[2002]1980号）和发改委办公厅颁发的《关于招标代理服务收费有关问题的通知》（发改办价格[2003]857号）的服务类标准计取。2、成交单位在领取成交通知书之前，须向代理机构支付招标代理服务费。3、招标代理服务费以转账或现金形式缴纳至以下账户： 开户名称：龙寰项目管理咨询有限公司，开户银行：平安银行西安高新路支行，账 号：30201278018802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西安市第一医院</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西安市第一医院</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西安市第一医院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依据磋商文件、投标文件、合同及相关需求文档等方面全面组织验收。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联系人：王万里</w:t>
      </w:r>
    </w:p>
    <w:p>
      <w:pPr>
        <w:pStyle w:val="null3"/>
      </w:pPr>
      <w:r>
        <w:rPr>
          <w:rFonts w:ascii="仿宋_GB2312" w:hAnsi="仿宋_GB2312" w:cs="仿宋_GB2312" w:eastAsia="仿宋_GB2312"/>
        </w:rPr>
        <w:t>联系电话：029-88228899-626</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本项目拟对西安市第一医院云安全服务项目进行采购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云安全服务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标的名称：云安全服务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330" w:after="165"/>
              <w:jc w:val="both"/>
              <w:outlineLvl w:val="1"/>
            </w:pPr>
            <w:r>
              <w:rPr>
                <w:rFonts w:ascii="仿宋_GB2312" w:hAnsi="仿宋_GB2312" w:cs="仿宋_GB2312" w:eastAsia="仿宋_GB2312"/>
                <w:sz w:val="20"/>
                <w:b/>
              </w:rPr>
              <w:t>一、</w:t>
            </w:r>
            <w:r>
              <w:rPr>
                <w:rFonts w:ascii="仿宋_GB2312" w:hAnsi="仿宋_GB2312" w:cs="仿宋_GB2312" w:eastAsia="仿宋_GB2312"/>
                <w:sz w:val="20"/>
                <w:b/>
              </w:rPr>
              <w:t>项目概况</w:t>
            </w:r>
          </w:p>
          <w:p>
            <w:pPr>
              <w:pStyle w:val="null3"/>
              <w:ind w:firstLine="400"/>
              <w:jc w:val="both"/>
            </w:pPr>
            <w:r>
              <w:rPr>
                <w:rFonts w:ascii="仿宋_GB2312" w:hAnsi="仿宋_GB2312" w:cs="仿宋_GB2312" w:eastAsia="仿宋_GB2312"/>
                <w:sz w:val="20"/>
              </w:rPr>
              <w:t>为全面提升我院网络安全防御能力、夯实等级保护合规体系、强化医疗信息化资产风险管控、保障医院</w:t>
            </w:r>
            <w:r>
              <w:rPr>
                <w:rFonts w:ascii="仿宋_GB2312" w:hAnsi="仿宋_GB2312" w:cs="仿宋_GB2312" w:eastAsia="仿宋_GB2312"/>
                <w:sz w:val="20"/>
              </w:rPr>
              <w:t>HIS、LIS、PACS、电子病历、医保结算等核心业务系统持续、稳定、安全运行，规避网络攻击、漏洞风险、病毒入侵、数据泄露、异常外联等网络安全隐患，结合医院现有网络安全设备架构及常态化安全运营需求，本次采购医院网络安全设备特征库升级及两年期线上安全托管运营服务项目。</w:t>
            </w:r>
          </w:p>
          <w:p>
            <w:pPr>
              <w:pStyle w:val="null3"/>
              <w:ind w:firstLine="400"/>
              <w:jc w:val="both"/>
            </w:pPr>
            <w:r>
              <w:rPr>
                <w:rFonts w:ascii="仿宋_GB2312" w:hAnsi="仿宋_GB2312" w:cs="仿宋_GB2312" w:eastAsia="仿宋_GB2312"/>
                <w:sz w:val="20"/>
              </w:rPr>
              <w:t>本次项目服务范围涵盖我院现有的出口防火墙、服务器端点安全软件、安全运营</w:t>
            </w:r>
            <w:r>
              <w:rPr>
                <w:rFonts w:ascii="仿宋_GB2312" w:hAnsi="仿宋_GB2312" w:cs="仿宋_GB2312" w:eastAsia="仿宋_GB2312"/>
                <w:sz w:val="20"/>
              </w:rPr>
              <w:t>XDR平台（品牌为：深信服）的持续升级运维，同步引入标准化、7×24小时云端安全托管服务，整体延续现有安全体系架构，采用SAAS化云端交付模式，实现业务无中断、安全能力无缝衔接。</w:t>
            </w:r>
          </w:p>
          <w:p>
            <w:pPr>
              <w:pStyle w:val="null3"/>
              <w:jc w:val="both"/>
              <w:outlineLvl w:val="0"/>
            </w:pPr>
            <w:r>
              <w:rPr>
                <w:rFonts w:ascii="仿宋_GB2312" w:hAnsi="仿宋_GB2312" w:cs="仿宋_GB2312" w:eastAsia="仿宋_GB2312"/>
                <w:sz w:val="20"/>
                <w:b/>
                <w:color w:val="2E75B5"/>
              </w:rPr>
              <w:t>二</w:t>
            </w:r>
            <w:r>
              <w:rPr>
                <w:rFonts w:ascii="仿宋_GB2312" w:hAnsi="仿宋_GB2312" w:cs="仿宋_GB2312" w:eastAsia="仿宋_GB2312"/>
                <w:sz w:val="20"/>
                <w:b/>
                <w:color w:val="2E75B5"/>
              </w:rPr>
              <w:t>、采购内容及配置要求</w:t>
            </w:r>
          </w:p>
          <w:tbl>
            <w:tblPr>
              <w:tblInd w:type="dxa" w:w="120"/>
              <w:tblBorders>
                <w:top w:val="none" w:color="000000" w:sz="4"/>
                <w:left w:val="none" w:color="000000" w:sz="4"/>
                <w:bottom w:val="none" w:color="000000" w:sz="4"/>
                <w:right w:val="none" w:color="000000" w:sz="4"/>
                <w:insideH w:val="none"/>
                <w:insideV w:val="none"/>
              </w:tblBorders>
            </w:tblPr>
            <w:tblGrid>
              <w:gridCol w:w="256"/>
              <w:gridCol w:w="517"/>
              <w:gridCol w:w="852"/>
              <w:gridCol w:w="440"/>
              <w:gridCol w:w="481"/>
            </w:tblGrid>
            <w:tr>
              <w:tc>
                <w:tcPr>
                  <w:tcW w:type="dxa" w:w="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5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建设内容</w:t>
                  </w:r>
                </w:p>
              </w:tc>
              <w:tc>
                <w:tcPr>
                  <w:tcW w:type="dxa" w:w="8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产品名称</w:t>
                  </w:r>
                </w:p>
              </w:tc>
              <w:tc>
                <w:tcPr>
                  <w:tcW w:type="dxa" w:w="4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4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规则库续费</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出口防火墙</w:t>
                  </w:r>
                  <w:r>
                    <w:rPr>
                      <w:rFonts w:ascii="仿宋_GB2312" w:hAnsi="仿宋_GB2312" w:cs="仿宋_GB2312" w:eastAsia="仿宋_GB2312"/>
                      <w:sz w:val="20"/>
                    </w:rPr>
                    <w:t>规则库</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17"/>
                  <w:vMerge/>
                  <w:tcBorders>
                    <w:top w:val="none" w:color="000000" w:sz="4"/>
                    <w:left w:val="none" w:color="000000" w:sz="4"/>
                    <w:bottom w:val="none" w:color="000000" w:sz="4"/>
                    <w:right w:val="single" w:color="000000" w:sz="4"/>
                  </w:tcBorders>
                </w:tc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服务器端点安全软件</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安全运营平台续费</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安全运营平台</w:t>
                  </w:r>
                  <w:r>
                    <w:rPr>
                      <w:rFonts w:ascii="仿宋_GB2312" w:hAnsi="仿宋_GB2312" w:cs="仿宋_GB2312" w:eastAsia="仿宋_GB2312"/>
                      <w:sz w:val="20"/>
                    </w:rPr>
                    <w:t>XDR</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安全服务</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安全托管服务</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bl>
          <w:p>
            <w:pPr>
              <w:pStyle w:val="null3"/>
              <w:jc w:val="both"/>
              <w:outlineLvl w:val="0"/>
            </w:pPr>
            <w:r>
              <w:rPr>
                <w:rFonts w:ascii="仿宋_GB2312" w:hAnsi="仿宋_GB2312" w:cs="仿宋_GB2312" w:eastAsia="仿宋_GB2312"/>
                <w:sz w:val="20"/>
                <w:b/>
                <w:color w:val="2E75B5"/>
              </w:rPr>
              <w:t>三</w:t>
            </w:r>
            <w:r>
              <w:rPr>
                <w:rFonts w:ascii="仿宋_GB2312" w:hAnsi="仿宋_GB2312" w:cs="仿宋_GB2312" w:eastAsia="仿宋_GB2312"/>
                <w:sz w:val="20"/>
                <w:b/>
                <w:color w:val="2E75B5"/>
              </w:rPr>
              <w:t>、技术要求</w:t>
            </w:r>
          </w:p>
          <w:p>
            <w:pPr>
              <w:pStyle w:val="null3"/>
              <w:ind w:left="660"/>
              <w:jc w:val="both"/>
              <w:outlineLvl w:val="1"/>
            </w:pPr>
            <w:r>
              <w:rPr>
                <w:rFonts w:ascii="仿宋_GB2312" w:hAnsi="仿宋_GB2312" w:cs="仿宋_GB2312" w:eastAsia="仿宋_GB2312"/>
                <w:sz w:val="20"/>
                <w:b/>
              </w:rPr>
              <w:t>1.</w:t>
            </w:r>
            <w:r>
              <w:rPr>
                <w:rFonts w:ascii="仿宋_GB2312" w:hAnsi="仿宋_GB2312" w:cs="仿宋_GB2312" w:eastAsia="仿宋_GB2312"/>
                <w:sz w:val="20"/>
                <w:b/>
              </w:rPr>
              <w:t>出口防火墙规则库</w:t>
            </w:r>
          </w:p>
          <w:p>
            <w:pPr>
              <w:pStyle w:val="null3"/>
              <w:ind w:left="435"/>
              <w:jc w:val="both"/>
            </w:pPr>
            <w:r>
              <w:rPr>
                <w:rFonts w:ascii="仿宋_GB2312" w:hAnsi="仿宋_GB2312" w:cs="仿宋_GB2312" w:eastAsia="仿宋_GB2312"/>
                <w:sz w:val="20"/>
              </w:rPr>
              <w:t>1.1</w:t>
            </w:r>
            <w:r>
              <w:rPr>
                <w:rFonts w:ascii="仿宋_GB2312" w:hAnsi="仿宋_GB2312" w:cs="仿宋_GB2312" w:eastAsia="仿宋_GB2312"/>
                <w:sz w:val="20"/>
              </w:rPr>
              <w:t>提供出口防火墙</w:t>
            </w:r>
            <w:r>
              <w:rPr>
                <w:rFonts w:ascii="仿宋_GB2312" w:hAnsi="仿宋_GB2312" w:cs="仿宋_GB2312" w:eastAsia="仿宋_GB2312"/>
                <w:sz w:val="20"/>
              </w:rPr>
              <w:t>深信服</w:t>
            </w:r>
            <w:r>
              <w:rPr>
                <w:rFonts w:ascii="仿宋_GB2312" w:hAnsi="仿宋_GB2312" w:cs="仿宋_GB2312" w:eastAsia="仿宋_GB2312"/>
                <w:sz w:val="20"/>
              </w:rPr>
              <w:t>AF-2000-FH2130B规则库2年升级</w:t>
            </w:r>
            <w:r>
              <w:rPr>
                <w:rFonts w:ascii="仿宋_GB2312" w:hAnsi="仿宋_GB2312" w:cs="仿宋_GB2312" w:eastAsia="仿宋_GB2312"/>
                <w:sz w:val="20"/>
              </w:rPr>
              <w:t>及服务</w:t>
            </w:r>
            <w:r>
              <w:rPr>
                <w:rFonts w:ascii="仿宋_GB2312" w:hAnsi="仿宋_GB2312" w:cs="仿宋_GB2312" w:eastAsia="仿宋_GB2312"/>
                <w:sz w:val="20"/>
              </w:rPr>
              <w:t>。</w:t>
            </w:r>
          </w:p>
          <w:p>
            <w:pPr>
              <w:pStyle w:val="null3"/>
              <w:ind w:firstLine="200"/>
              <w:jc w:val="both"/>
            </w:pPr>
            <w:r>
              <w:rPr>
                <w:rFonts w:ascii="仿宋_GB2312" w:hAnsi="仿宋_GB2312" w:cs="仿宋_GB2312" w:eastAsia="仿宋_GB2312"/>
                <w:sz w:val="20"/>
              </w:rPr>
              <w:t>1.2</w:t>
            </w:r>
            <w:r>
              <w:rPr>
                <w:rFonts w:ascii="仿宋_GB2312" w:hAnsi="仿宋_GB2312" w:cs="仿宋_GB2312" w:eastAsia="仿宋_GB2312"/>
                <w:sz w:val="20"/>
              </w:rPr>
              <w:t>具备各种安全特征库（包括</w:t>
            </w:r>
            <w:r>
              <w:rPr>
                <w:rFonts w:ascii="仿宋_GB2312" w:hAnsi="仿宋_GB2312" w:cs="仿宋_GB2312" w:eastAsia="仿宋_GB2312"/>
                <w:sz w:val="20"/>
              </w:rPr>
              <w:t>IPS漏洞攻击特征库、WEB应用防护识别库、僵尸网络与病毒防护库和PVS实时漏洞攻击分析库）、应用识别库和URL分类库的定期更新服务，保持防火墙具备监测并防御最新威胁的能力。</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1.3</w:t>
            </w:r>
            <w:r>
              <w:rPr>
                <w:rFonts w:ascii="仿宋_GB2312" w:hAnsi="仿宋_GB2312" w:cs="仿宋_GB2312" w:eastAsia="仿宋_GB2312"/>
                <w:sz w:val="20"/>
              </w:rPr>
              <w:t>部分规则库数量业界领先，</w:t>
            </w:r>
            <w:r>
              <w:rPr>
                <w:rFonts w:ascii="仿宋_GB2312" w:hAnsi="仿宋_GB2312" w:cs="仿宋_GB2312" w:eastAsia="仿宋_GB2312"/>
                <w:sz w:val="20"/>
              </w:rPr>
              <w:t>IPS漏洞攻击特征识别库</w:t>
            </w:r>
            <w:r>
              <w:rPr>
                <w:rFonts w:ascii="仿宋_GB2312" w:hAnsi="仿宋_GB2312" w:cs="仿宋_GB2312" w:eastAsia="仿宋_GB2312"/>
                <w:sz w:val="20"/>
              </w:rPr>
              <w:t>≥</w:t>
            </w:r>
            <w:r>
              <w:rPr>
                <w:rFonts w:ascii="仿宋_GB2312" w:hAnsi="仿宋_GB2312" w:cs="仿宋_GB2312" w:eastAsia="仿宋_GB2312"/>
                <w:sz w:val="20"/>
              </w:rPr>
              <w:t>10000条规则，WEB应用防护识别库</w:t>
            </w:r>
            <w:r>
              <w:rPr>
                <w:rFonts w:ascii="仿宋_GB2312" w:hAnsi="仿宋_GB2312" w:cs="仿宋_GB2312" w:eastAsia="仿宋_GB2312"/>
                <w:sz w:val="20"/>
              </w:rPr>
              <w:t>≥</w:t>
            </w:r>
            <w:r>
              <w:rPr>
                <w:rFonts w:ascii="仿宋_GB2312" w:hAnsi="仿宋_GB2312" w:cs="仿宋_GB2312" w:eastAsia="仿宋_GB2312"/>
                <w:sz w:val="20"/>
              </w:rPr>
              <w:t>4500条规则，应用识别库支持</w:t>
            </w:r>
            <w:r>
              <w:rPr>
                <w:rFonts w:ascii="仿宋_GB2312" w:hAnsi="仿宋_GB2312" w:cs="仿宋_GB2312" w:eastAsia="仿宋_GB2312"/>
                <w:sz w:val="20"/>
              </w:rPr>
              <w:t>≥</w:t>
            </w:r>
            <w:r>
              <w:rPr>
                <w:rFonts w:ascii="仿宋_GB2312" w:hAnsi="仿宋_GB2312" w:cs="仿宋_GB2312" w:eastAsia="仿宋_GB2312"/>
                <w:sz w:val="20"/>
              </w:rPr>
              <w:t>9000种应用规则。（需提供产品功能截图证明</w:t>
            </w:r>
            <w:r>
              <w:rPr>
                <w:rFonts w:ascii="仿宋_GB2312" w:hAnsi="仿宋_GB2312" w:cs="仿宋_GB2312" w:eastAsia="仿宋_GB2312"/>
                <w:sz w:val="20"/>
              </w:rPr>
              <w:t>并加盖供应商公章</w:t>
            </w:r>
            <w:r>
              <w:rPr>
                <w:rFonts w:ascii="仿宋_GB2312" w:hAnsi="仿宋_GB2312" w:cs="仿宋_GB2312" w:eastAsia="仿宋_GB2312"/>
                <w:sz w:val="20"/>
              </w:rPr>
              <w:t>）</w:t>
            </w:r>
          </w:p>
          <w:p>
            <w:pPr>
              <w:pStyle w:val="null3"/>
              <w:ind w:firstLine="200"/>
              <w:jc w:val="both"/>
            </w:pPr>
            <w:r>
              <w:rPr>
                <w:rFonts w:ascii="仿宋_GB2312" w:hAnsi="仿宋_GB2312" w:cs="仿宋_GB2312" w:eastAsia="仿宋_GB2312"/>
                <w:sz w:val="20"/>
              </w:rPr>
              <w:t>1.4</w:t>
            </w:r>
            <w:r>
              <w:rPr>
                <w:rFonts w:ascii="仿宋_GB2312" w:hAnsi="仿宋_GB2312" w:cs="仿宋_GB2312" w:eastAsia="仿宋_GB2312"/>
                <w:sz w:val="20"/>
              </w:rPr>
              <w:t>IPS/WAF特征库具备每天更新能力，7×24小时响应紧急漏洞，及时消除安全风险。</w:t>
            </w:r>
          </w:p>
          <w:p>
            <w:pPr>
              <w:pStyle w:val="null3"/>
              <w:ind w:firstLine="200"/>
              <w:jc w:val="both"/>
            </w:pPr>
            <w:r>
              <w:rPr>
                <w:rFonts w:ascii="仿宋_GB2312" w:hAnsi="仿宋_GB2312" w:cs="仿宋_GB2312" w:eastAsia="仿宋_GB2312"/>
                <w:sz w:val="20"/>
              </w:rPr>
              <w:t>1.5</w:t>
            </w:r>
            <w:r>
              <w:rPr>
                <w:rFonts w:ascii="仿宋_GB2312" w:hAnsi="仿宋_GB2312" w:cs="仿宋_GB2312" w:eastAsia="仿宋_GB2312"/>
                <w:sz w:val="20"/>
              </w:rPr>
              <w:t>提供新型威胁（</w:t>
            </w:r>
            <w:r>
              <w:rPr>
                <w:rFonts w:ascii="仿宋_GB2312" w:hAnsi="仿宋_GB2312" w:cs="仿宋_GB2312" w:eastAsia="仿宋_GB2312"/>
                <w:sz w:val="20"/>
              </w:rPr>
              <w:t>URL、文件、DNS行为等）在云端检测分析功能以及通过全球威胁情报协同防御各类威胁功能，实现对威胁流量就近进行实时检测拦截，实现失陷外联实时阻断。</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1.6</w:t>
            </w:r>
            <w:r>
              <w:rPr>
                <w:rFonts w:ascii="仿宋_GB2312" w:hAnsi="仿宋_GB2312" w:cs="仿宋_GB2312" w:eastAsia="仿宋_GB2312"/>
                <w:sz w:val="20"/>
              </w:rPr>
              <w:t>提供云端未知威胁主动探测技术，实现分钟级未知威胁情报全网设备下发。（需提供产品功能截图证明</w:t>
            </w:r>
            <w:r>
              <w:rPr>
                <w:rFonts w:ascii="仿宋_GB2312" w:hAnsi="仿宋_GB2312" w:cs="仿宋_GB2312" w:eastAsia="仿宋_GB2312"/>
                <w:sz w:val="20"/>
              </w:rPr>
              <w:t>并加盖供应商公章</w:t>
            </w:r>
            <w:r>
              <w:rPr>
                <w:rFonts w:ascii="仿宋_GB2312" w:hAnsi="仿宋_GB2312" w:cs="仿宋_GB2312" w:eastAsia="仿宋_GB2312"/>
                <w:sz w:val="20"/>
              </w:rPr>
              <w:t>）</w:t>
            </w:r>
          </w:p>
          <w:p>
            <w:pPr>
              <w:pStyle w:val="null3"/>
              <w:ind w:left="660"/>
              <w:jc w:val="both"/>
              <w:outlineLvl w:val="1"/>
            </w:pPr>
            <w:r>
              <w:rPr>
                <w:rFonts w:ascii="仿宋_GB2312" w:hAnsi="仿宋_GB2312" w:cs="仿宋_GB2312" w:eastAsia="仿宋_GB2312"/>
                <w:sz w:val="20"/>
                <w:b/>
              </w:rPr>
              <w:t>2.</w:t>
            </w:r>
            <w:r>
              <w:rPr>
                <w:rFonts w:ascii="仿宋_GB2312" w:hAnsi="仿宋_GB2312" w:cs="仿宋_GB2312" w:eastAsia="仿宋_GB2312"/>
                <w:sz w:val="20"/>
                <w:b/>
              </w:rPr>
              <w:t>服务器端点安全软件</w:t>
            </w:r>
          </w:p>
          <w:p>
            <w:pPr>
              <w:pStyle w:val="null3"/>
              <w:ind w:firstLine="200"/>
              <w:jc w:val="both"/>
            </w:pPr>
            <w:r>
              <w:rPr>
                <w:rFonts w:ascii="仿宋_GB2312" w:hAnsi="仿宋_GB2312" w:cs="仿宋_GB2312" w:eastAsia="仿宋_GB2312"/>
                <w:sz w:val="20"/>
              </w:rPr>
              <w:t>2.1</w:t>
            </w:r>
            <w:r>
              <w:rPr>
                <w:rFonts w:ascii="仿宋_GB2312" w:hAnsi="仿宋_GB2312" w:cs="仿宋_GB2312" w:eastAsia="仿宋_GB2312"/>
                <w:sz w:val="20"/>
              </w:rPr>
              <w:t>提供服务器端点安全软件</w:t>
            </w:r>
            <w:r>
              <w:rPr>
                <w:rFonts w:ascii="仿宋_GB2312" w:hAnsi="仿宋_GB2312" w:cs="仿宋_GB2312" w:eastAsia="仿宋_GB2312"/>
                <w:sz w:val="20"/>
              </w:rPr>
              <w:t>A</w:t>
            </w:r>
            <w:r>
              <w:rPr>
                <w:rFonts w:ascii="仿宋_GB2312" w:hAnsi="仿宋_GB2312" w:cs="仿宋_GB2312" w:eastAsia="仿宋_GB2312"/>
                <w:sz w:val="20"/>
              </w:rPr>
              <w:t>ES规则库2年升级及服务。</w:t>
            </w:r>
          </w:p>
          <w:p>
            <w:pPr>
              <w:pStyle w:val="null3"/>
              <w:ind w:firstLine="200"/>
              <w:jc w:val="both"/>
            </w:pPr>
            <w:r>
              <w:rPr>
                <w:rFonts w:ascii="仿宋_GB2312" w:hAnsi="仿宋_GB2312" w:cs="仿宋_GB2312" w:eastAsia="仿宋_GB2312"/>
                <w:sz w:val="20"/>
              </w:rPr>
              <w:t>2.2</w:t>
            </w:r>
            <w:r>
              <w:rPr>
                <w:rFonts w:ascii="仿宋_GB2312" w:hAnsi="仿宋_GB2312" w:cs="仿宋_GB2312" w:eastAsia="仿宋_GB2312"/>
                <w:sz w:val="20"/>
              </w:rPr>
              <w:t>提供安全云脑在线分析，人工智能算法模型更新，病毒库轻补丁库更新，</w:t>
            </w:r>
            <w:r>
              <w:rPr>
                <w:rFonts w:ascii="仿宋_GB2312" w:hAnsi="仿宋_GB2312" w:cs="仿宋_GB2312" w:eastAsia="仿宋_GB2312"/>
                <w:sz w:val="20"/>
              </w:rPr>
              <w:t>IOC、IOA行为引擎特征库升级，终端系统漏洞规则库升级等。</w:t>
            </w:r>
          </w:p>
          <w:p>
            <w:pPr>
              <w:pStyle w:val="null3"/>
              <w:ind w:left="660"/>
              <w:jc w:val="both"/>
              <w:outlineLvl w:val="1"/>
            </w:pPr>
            <w:r>
              <w:rPr>
                <w:rFonts w:ascii="仿宋_GB2312" w:hAnsi="仿宋_GB2312" w:cs="仿宋_GB2312" w:eastAsia="仿宋_GB2312"/>
                <w:sz w:val="20"/>
                <w:b/>
              </w:rPr>
              <w:t>3.</w:t>
            </w:r>
            <w:r>
              <w:rPr>
                <w:rFonts w:ascii="仿宋_GB2312" w:hAnsi="仿宋_GB2312" w:cs="仿宋_GB2312" w:eastAsia="仿宋_GB2312"/>
                <w:sz w:val="20"/>
                <w:b/>
              </w:rPr>
              <w:t>安全运营平台</w:t>
            </w:r>
            <w:r>
              <w:rPr>
                <w:rFonts w:ascii="仿宋_GB2312" w:hAnsi="仿宋_GB2312" w:cs="仿宋_GB2312" w:eastAsia="仿宋_GB2312"/>
                <w:sz w:val="20"/>
                <w:b/>
              </w:rPr>
              <w:t>XDR</w:t>
            </w:r>
          </w:p>
          <w:p>
            <w:pPr>
              <w:pStyle w:val="null3"/>
              <w:ind w:firstLine="200"/>
              <w:jc w:val="both"/>
            </w:pPr>
            <w:r>
              <w:rPr>
                <w:rFonts w:ascii="仿宋_GB2312" w:hAnsi="仿宋_GB2312" w:cs="仿宋_GB2312" w:eastAsia="仿宋_GB2312"/>
                <w:sz w:val="20"/>
              </w:rPr>
              <w:t>3.1</w:t>
            </w:r>
            <w:r>
              <w:rPr>
                <w:rFonts w:ascii="仿宋_GB2312" w:hAnsi="仿宋_GB2312" w:cs="仿宋_GB2312" w:eastAsia="仿宋_GB2312"/>
                <w:sz w:val="20"/>
              </w:rPr>
              <w:t>延续当前平台不中断，平台</w:t>
            </w:r>
            <w:r>
              <w:rPr>
                <w:rFonts w:ascii="仿宋_GB2312" w:hAnsi="仿宋_GB2312" w:cs="仿宋_GB2312" w:eastAsia="仿宋_GB2312"/>
                <w:sz w:val="20"/>
              </w:rPr>
              <w:t>SAAS化交付形态，通过账号密码在云端获取服务，实现开箱即用的平台化服务能力，服务期2年。</w:t>
            </w:r>
          </w:p>
          <w:p>
            <w:pPr>
              <w:pStyle w:val="null3"/>
              <w:ind w:firstLine="200"/>
              <w:jc w:val="both"/>
            </w:pPr>
            <w:r>
              <w:rPr>
                <w:rFonts w:ascii="仿宋_GB2312" w:hAnsi="仿宋_GB2312" w:cs="仿宋_GB2312" w:eastAsia="仿宋_GB2312"/>
                <w:sz w:val="20"/>
              </w:rPr>
              <w:t>3.2</w:t>
            </w:r>
            <w:r>
              <w:rPr>
                <w:rFonts w:ascii="仿宋_GB2312" w:hAnsi="仿宋_GB2312" w:cs="仿宋_GB2312" w:eastAsia="仿宋_GB2312"/>
                <w:sz w:val="20"/>
              </w:rPr>
              <w:t>内置</w:t>
            </w:r>
            <w:r>
              <w:rPr>
                <w:rFonts w:ascii="仿宋_GB2312" w:hAnsi="仿宋_GB2312" w:cs="仿宋_GB2312" w:eastAsia="仿宋_GB2312"/>
                <w:sz w:val="20"/>
              </w:rPr>
              <w:t>URL库、IPS漏洞特征识别库、应用识别库、WEB应用防护识别库、僵尸网络识别库、实时漏洞分析识别库、恶意链接库、白名单库</w:t>
            </w:r>
            <w:r>
              <w:rPr>
                <w:rFonts w:ascii="仿宋_GB2312" w:hAnsi="仿宋_GB2312" w:cs="仿宋_GB2312" w:eastAsia="仿宋_GB2312"/>
                <w:sz w:val="20"/>
              </w:rPr>
              <w:t>、勒索病毒等</w:t>
            </w:r>
            <w:r>
              <w:rPr>
                <w:rFonts w:ascii="仿宋_GB2312" w:hAnsi="仿宋_GB2312" w:cs="仿宋_GB2312" w:eastAsia="仿宋_GB2312"/>
                <w:sz w:val="20"/>
              </w:rPr>
              <w:t>。</w:t>
            </w:r>
          </w:p>
          <w:p>
            <w:pPr>
              <w:pStyle w:val="null3"/>
              <w:ind w:firstLine="200"/>
              <w:jc w:val="both"/>
            </w:pPr>
            <w:r>
              <w:rPr>
                <w:rFonts w:ascii="仿宋_GB2312" w:hAnsi="仿宋_GB2312" w:cs="仿宋_GB2312" w:eastAsia="仿宋_GB2312"/>
                <w:sz w:val="20"/>
              </w:rPr>
              <w:t>3.3</w:t>
            </w:r>
            <w:r>
              <w:rPr>
                <w:rFonts w:ascii="仿宋_GB2312" w:hAnsi="仿宋_GB2312" w:cs="仿宋_GB2312" w:eastAsia="仿宋_GB2312"/>
                <w:sz w:val="20"/>
              </w:rPr>
              <w:t>支持通过安全事件详情查看攻击故事线。安全事件按照攻击入口和进程树的视角进行安全分析。</w:t>
            </w:r>
          </w:p>
          <w:p>
            <w:pPr>
              <w:pStyle w:val="null3"/>
              <w:ind w:firstLine="200"/>
              <w:jc w:val="both"/>
            </w:pPr>
            <w:r>
              <w:rPr>
                <w:rFonts w:ascii="仿宋_GB2312" w:hAnsi="仿宋_GB2312" w:cs="仿宋_GB2312" w:eastAsia="仿宋_GB2312"/>
                <w:sz w:val="20"/>
              </w:rPr>
              <w:t>▲3.4支持对安全事件推送处置和响应建议，可一键封禁IP、隔离主机等。支持在线实时聊天框或离线留言咨询安全服务专家。（需提供产品功能截图证明并加盖供应商公章）</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3.5</w:t>
            </w:r>
            <w:r>
              <w:rPr>
                <w:rFonts w:ascii="仿宋_GB2312" w:hAnsi="仿宋_GB2312" w:cs="仿宋_GB2312" w:eastAsia="仿宋_GB2312"/>
                <w:sz w:val="20"/>
              </w:rPr>
              <w:t>支持针对全量告警进行安全</w:t>
            </w:r>
            <w:r>
              <w:rPr>
                <w:rFonts w:ascii="仿宋_GB2312" w:hAnsi="仿宋_GB2312" w:cs="仿宋_GB2312" w:eastAsia="仿宋_GB2312"/>
                <w:sz w:val="20"/>
              </w:rPr>
              <w:t>AI大模型分析，实现可疑行为、业务误报、有效告警等的研判结论，支持查看告警的详细分析过程。（需提供产品功能截图证明并加盖供应商公章）</w:t>
            </w:r>
          </w:p>
          <w:p>
            <w:pPr>
              <w:pStyle w:val="null3"/>
              <w:ind w:firstLine="200"/>
              <w:jc w:val="both"/>
            </w:pPr>
            <w:r>
              <w:rPr>
                <w:rFonts w:ascii="仿宋_GB2312" w:hAnsi="仿宋_GB2312" w:cs="仿宋_GB2312" w:eastAsia="仿宋_GB2312"/>
                <w:sz w:val="20"/>
              </w:rPr>
              <w:t>3.6</w:t>
            </w:r>
            <w:r>
              <w:rPr>
                <w:rFonts w:ascii="仿宋_GB2312" w:hAnsi="仿宋_GB2312" w:cs="仿宋_GB2312" w:eastAsia="仿宋_GB2312"/>
                <w:sz w:val="20"/>
              </w:rPr>
              <w:t>支持用户通过对话框对特定时间内的告警进行查询，并通过自然语言解读安全告警，给出详细告警举证及对应网络侧或终端侧的行为解读。</w:t>
            </w:r>
          </w:p>
          <w:p>
            <w:pPr>
              <w:pStyle w:val="null3"/>
              <w:ind w:firstLine="200"/>
              <w:jc w:val="both"/>
            </w:pPr>
            <w:r>
              <w:rPr>
                <w:rFonts w:ascii="仿宋_GB2312" w:hAnsi="仿宋_GB2312" w:cs="仿宋_GB2312" w:eastAsia="仿宋_GB2312"/>
                <w:sz w:val="20"/>
              </w:rPr>
              <w:t>3.7</w:t>
            </w:r>
            <w:r>
              <w:rPr>
                <w:rFonts w:ascii="仿宋_GB2312" w:hAnsi="仿宋_GB2312" w:cs="仿宋_GB2312" w:eastAsia="仿宋_GB2312"/>
                <w:sz w:val="20"/>
              </w:rPr>
              <w:t>支持基于安全</w:t>
            </w:r>
            <w:r>
              <w:rPr>
                <w:rFonts w:ascii="仿宋_GB2312" w:hAnsi="仿宋_GB2312" w:cs="仿宋_GB2312" w:eastAsia="仿宋_GB2312"/>
                <w:sz w:val="20"/>
              </w:rPr>
              <w:t>AI大模型分析研判能力，对事件进行全量的解读研判、事件总结分析，查看完整事件智能分析过程。</w:t>
            </w:r>
          </w:p>
          <w:p>
            <w:pPr>
              <w:pStyle w:val="null3"/>
              <w:ind w:left="660"/>
              <w:jc w:val="both"/>
              <w:outlineLvl w:val="1"/>
            </w:pPr>
            <w:r>
              <w:rPr>
                <w:rFonts w:ascii="仿宋_GB2312" w:hAnsi="仿宋_GB2312" w:cs="仿宋_GB2312" w:eastAsia="仿宋_GB2312"/>
                <w:sz w:val="20"/>
                <w:b/>
              </w:rPr>
              <w:t>4.</w:t>
            </w:r>
            <w:r>
              <w:rPr>
                <w:rFonts w:ascii="仿宋_GB2312" w:hAnsi="仿宋_GB2312" w:cs="仿宋_GB2312" w:eastAsia="仿宋_GB2312"/>
                <w:sz w:val="20"/>
                <w:b/>
              </w:rPr>
              <w:t>线上安全托管服务</w:t>
            </w:r>
          </w:p>
          <w:p>
            <w:pPr>
              <w:pStyle w:val="null3"/>
              <w:ind w:firstLine="200"/>
              <w:jc w:val="both"/>
            </w:pPr>
            <w:r>
              <w:rPr>
                <w:rFonts w:ascii="仿宋_GB2312" w:hAnsi="仿宋_GB2312" w:cs="仿宋_GB2312" w:eastAsia="仿宋_GB2312"/>
                <w:sz w:val="20"/>
              </w:rPr>
              <w:t>4.1</w:t>
            </w:r>
            <w:r>
              <w:rPr>
                <w:rFonts w:ascii="仿宋_GB2312" w:hAnsi="仿宋_GB2312" w:cs="仿宋_GB2312" w:eastAsia="仿宋_GB2312"/>
                <w:sz w:val="20"/>
              </w:rPr>
              <w:t>为医院</w:t>
            </w:r>
            <w:r>
              <w:rPr>
                <w:rFonts w:ascii="仿宋_GB2312" w:hAnsi="仿宋_GB2312" w:cs="仿宋_GB2312" w:eastAsia="仿宋_GB2312"/>
                <w:sz w:val="20"/>
              </w:rPr>
              <w:t>≥</w:t>
            </w:r>
            <w:r>
              <w:rPr>
                <w:rFonts w:ascii="仿宋_GB2312" w:hAnsi="仿宋_GB2312" w:cs="仿宋_GB2312" w:eastAsia="仿宋_GB2312"/>
                <w:sz w:val="20"/>
              </w:rPr>
              <w:t>50个核心资产（数据中心资产IP数量）提供7×24小时连续性的安全保障，提供两年服务，与当前安全服务实现无中断或者分钟级中断切换。</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4.2</w:t>
            </w:r>
            <w:r>
              <w:rPr>
                <w:rFonts w:ascii="仿宋_GB2312" w:hAnsi="仿宋_GB2312" w:cs="仿宋_GB2312" w:eastAsia="仿宋_GB2312"/>
                <w:sz w:val="20"/>
              </w:rPr>
              <w:t>供应商</w:t>
            </w:r>
            <w:r>
              <w:rPr>
                <w:rFonts w:ascii="仿宋_GB2312" w:hAnsi="仿宋_GB2312" w:cs="仿宋_GB2312" w:eastAsia="仿宋_GB2312"/>
                <w:sz w:val="20"/>
              </w:rPr>
              <w:t>须提供</w:t>
            </w:r>
            <w:r>
              <w:rPr>
                <w:rFonts w:ascii="仿宋_GB2312" w:hAnsi="仿宋_GB2312" w:cs="仿宋_GB2312" w:eastAsia="仿宋_GB2312"/>
                <w:sz w:val="20"/>
              </w:rPr>
              <w:t>7×24小时在线服务</w:t>
            </w:r>
            <w:r>
              <w:rPr>
                <w:rFonts w:ascii="仿宋_GB2312" w:hAnsi="仿宋_GB2312" w:cs="仿宋_GB2312" w:eastAsia="仿宋_GB2312"/>
                <w:sz w:val="20"/>
              </w:rPr>
              <w:t>，</w:t>
            </w:r>
            <w:r>
              <w:rPr>
                <w:rFonts w:ascii="仿宋_GB2312" w:hAnsi="仿宋_GB2312" w:cs="仿宋_GB2312" w:eastAsia="仿宋_GB2312"/>
                <w:sz w:val="20"/>
              </w:rPr>
              <w:t>配置一名经验丰富的安全专家作为专属服务经理，并组建专属服务群，实时响应医院咨询的网络安全相关问题。</w:t>
            </w:r>
            <w:r>
              <w:rPr>
                <w:rFonts w:ascii="仿宋_GB2312" w:hAnsi="仿宋_GB2312" w:cs="仿宋_GB2312" w:eastAsia="仿宋_GB2312"/>
                <w:sz w:val="20"/>
              </w:rPr>
              <w:t>（并提供承诺函加盖供应商公章）</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4.3</w:t>
            </w:r>
            <w:r>
              <w:rPr>
                <w:rFonts w:ascii="仿宋_GB2312" w:hAnsi="仿宋_GB2312" w:cs="仿宋_GB2312" w:eastAsia="仿宋_GB2312"/>
                <w:sz w:val="20"/>
              </w:rPr>
              <w:t>供应商提供不低于以下服务效果的</w:t>
            </w:r>
            <w:r>
              <w:rPr>
                <w:rFonts w:ascii="仿宋_GB2312" w:hAnsi="仿宋_GB2312" w:cs="仿宋_GB2312" w:eastAsia="仿宋_GB2312"/>
                <w:sz w:val="20"/>
              </w:rPr>
              <w:t>SLA承诺（提供服务承诺函并加盖</w:t>
            </w:r>
            <w:r>
              <w:rPr>
                <w:rFonts w:ascii="仿宋_GB2312" w:hAnsi="仿宋_GB2312" w:cs="仿宋_GB2312" w:eastAsia="仿宋_GB2312"/>
                <w:sz w:val="20"/>
              </w:rPr>
              <w:t>供应商</w:t>
            </w:r>
            <w:r>
              <w:rPr>
                <w:rFonts w:ascii="仿宋_GB2312" w:hAnsi="仿宋_GB2312" w:cs="仿宋_GB2312" w:eastAsia="仿宋_GB2312"/>
                <w:sz w:val="20"/>
              </w:rPr>
              <w:t>公章）：（</w:t>
            </w:r>
            <w:r>
              <w:rPr>
                <w:rFonts w:ascii="仿宋_GB2312" w:hAnsi="仿宋_GB2312" w:cs="仿宋_GB2312" w:eastAsia="仿宋_GB2312"/>
                <w:sz w:val="20"/>
              </w:rPr>
              <w:t>1）一般事件：从安全日志产生到通告&lt;1小时、遏制影响时间&lt;4小时、经供应商确认后，准确率达99%、事件闭环率100%；（2）一般威胁：从安全日志产生到通告&lt;2小时、遏制影响时间&lt;4小时、经供应商确认后，准确率达99%、威胁闭环率100%；（3）重大事件：从安全日志产生到通告(MTTD)&lt;30</w:t>
            </w:r>
            <w:r>
              <w:rPr>
                <w:rFonts w:ascii="仿宋_GB2312" w:hAnsi="仿宋_GB2312" w:cs="仿宋_GB2312" w:eastAsia="仿宋_GB2312"/>
                <w:sz w:val="20"/>
              </w:rPr>
              <w:t>分钟</w:t>
            </w:r>
            <w:r>
              <w:rPr>
                <w:rFonts w:ascii="仿宋_GB2312" w:hAnsi="仿宋_GB2312" w:cs="仿宋_GB2312" w:eastAsia="仿宋_GB2312"/>
                <w:sz w:val="20"/>
              </w:rPr>
              <w:t>、遏制影响时间</w:t>
            </w:r>
            <w:r>
              <w:rPr>
                <w:rFonts w:ascii="仿宋_GB2312" w:hAnsi="仿宋_GB2312" w:cs="仿宋_GB2312" w:eastAsia="仿宋_GB2312"/>
                <w:sz w:val="20"/>
              </w:rPr>
              <w:t>&lt;1小时、经供应商确认后，准确率达99%、事件闭环率100%；（4）重大威胁：从安全日志产生到通告(MTTD )&lt;1小时、响应处置时间(MTTR)&lt;1小时、经供应商确认后，准确率达99%、威胁闭环率100%；（5）应急响应：供应商应当满足重大事故应启动应急响应机制，工作时间15分钟之内云端专家进行响应，非工作时间30分钟之内云端专家进行响应，2小时上门处置。</w:t>
            </w:r>
          </w:p>
          <w:p>
            <w:pPr>
              <w:pStyle w:val="null3"/>
              <w:ind w:firstLine="200"/>
              <w:jc w:val="both"/>
            </w:pPr>
            <w:r>
              <w:rPr>
                <w:rFonts w:ascii="仿宋_GB2312" w:hAnsi="仿宋_GB2312" w:cs="仿宋_GB2312" w:eastAsia="仿宋_GB2312"/>
                <w:sz w:val="20"/>
              </w:rPr>
              <w:t>4.4</w:t>
            </w:r>
            <w:r>
              <w:rPr>
                <w:rFonts w:ascii="仿宋_GB2312" w:hAnsi="仿宋_GB2312" w:cs="仿宋_GB2312" w:eastAsia="仿宋_GB2312"/>
                <w:sz w:val="20"/>
              </w:rPr>
              <w:t>安全现状评估：系统与</w:t>
            </w:r>
            <w:r>
              <w:rPr>
                <w:rFonts w:ascii="仿宋_GB2312" w:hAnsi="仿宋_GB2312" w:cs="仿宋_GB2312" w:eastAsia="仿宋_GB2312"/>
                <w:sz w:val="20"/>
              </w:rPr>
              <w:t>Web漏洞扫描：对操作系统、数据库、常见应用/协议、Web通用漏洞与常规漏洞进行漏洞扫描。弱口令扫描：实现信息化资产不同应用弱口令猜解检测，如：SMB、Mssql、Mysql、Oracle、smtp、VNC、ftp、telnet、ssh、mysql、tomcat等。</w:t>
            </w:r>
          </w:p>
          <w:p>
            <w:pPr>
              <w:pStyle w:val="null3"/>
              <w:ind w:firstLine="200"/>
              <w:jc w:val="both"/>
            </w:pPr>
            <w:r>
              <w:rPr>
                <w:rFonts w:ascii="仿宋_GB2312" w:hAnsi="仿宋_GB2312" w:cs="仿宋_GB2312" w:eastAsia="仿宋_GB2312"/>
                <w:sz w:val="20"/>
              </w:rPr>
              <w:t>4.5</w:t>
            </w:r>
            <w:r>
              <w:rPr>
                <w:rFonts w:ascii="仿宋_GB2312" w:hAnsi="仿宋_GB2312" w:cs="仿宋_GB2312" w:eastAsia="仿宋_GB2312"/>
                <w:sz w:val="20"/>
              </w:rPr>
              <w:t>脆弱性管理：针对服务资产的系统漏洞和</w:t>
            </w:r>
            <w:r>
              <w:rPr>
                <w:rFonts w:ascii="仿宋_GB2312" w:hAnsi="仿宋_GB2312" w:cs="仿宋_GB2312" w:eastAsia="仿宋_GB2312"/>
                <w:sz w:val="20"/>
              </w:rPr>
              <w:t>Web漏洞进行全量扫描，并针对发现的Web漏洞进行验证，验证漏洞的真实性及分析发生后可造成的危害；对漏洞进行分析并输出可落地的修复方案，通过工单系统跟踪修复情况。要求供应商可以对服务范围内发现的每一个高危可利用漏洞提供防护规则，并且承诺防护率达到99%</w:t>
            </w:r>
            <w:r>
              <w:rPr>
                <w:rFonts w:ascii="仿宋_GB2312" w:hAnsi="仿宋_GB2312" w:cs="仿宋_GB2312" w:eastAsia="仿宋_GB2312"/>
                <w:sz w:val="20"/>
              </w:rPr>
              <w:t>。（</w:t>
            </w:r>
            <w:r>
              <w:rPr>
                <w:rFonts w:ascii="仿宋_GB2312" w:hAnsi="仿宋_GB2312" w:cs="仿宋_GB2312" w:eastAsia="仿宋_GB2312"/>
                <w:sz w:val="20"/>
              </w:rPr>
              <w:t>提供承诺函加盖供应商公章</w:t>
            </w:r>
            <w:r>
              <w:rPr>
                <w:rFonts w:ascii="仿宋_GB2312" w:hAnsi="仿宋_GB2312" w:cs="仿宋_GB2312" w:eastAsia="仿宋_GB2312"/>
                <w:sz w:val="20"/>
              </w:rPr>
              <w:t>）</w:t>
            </w:r>
          </w:p>
          <w:p>
            <w:pPr>
              <w:pStyle w:val="null3"/>
              <w:ind w:firstLine="200"/>
              <w:jc w:val="both"/>
            </w:pPr>
            <w:r>
              <w:rPr>
                <w:rFonts w:ascii="仿宋_GB2312" w:hAnsi="仿宋_GB2312" w:cs="仿宋_GB2312" w:eastAsia="仿宋_GB2312"/>
                <w:sz w:val="20"/>
              </w:rPr>
              <w:t>4.6</w:t>
            </w:r>
            <w:r>
              <w:rPr>
                <w:rFonts w:ascii="仿宋_GB2312" w:hAnsi="仿宋_GB2312" w:cs="仿宋_GB2312" w:eastAsia="仿宋_GB2312"/>
                <w:sz w:val="20"/>
              </w:rPr>
              <w:t>安全问题处置：提供</w:t>
            </w:r>
            <w:r>
              <w:rPr>
                <w:rFonts w:ascii="仿宋_GB2312" w:hAnsi="仿宋_GB2312" w:cs="仿宋_GB2312" w:eastAsia="仿宋_GB2312"/>
                <w:sz w:val="20"/>
              </w:rPr>
              <w:t>7×24小时威胁分析和鉴定服务，安全告警上传至服务云端平台依托于平台的大数据分析和威胁检测能力实时监测用户网络安全状态，对平台监测到的安全威胁进行分析鉴定，自动生成服务工单，识别到真正的安全威胁。</w:t>
            </w:r>
          </w:p>
          <w:p>
            <w:pPr>
              <w:pStyle w:val="null3"/>
              <w:ind w:firstLine="200"/>
              <w:jc w:val="both"/>
            </w:pPr>
            <w:r>
              <w:rPr>
                <w:rFonts w:ascii="仿宋_GB2312" w:hAnsi="仿宋_GB2312" w:cs="仿宋_GB2312" w:eastAsia="仿宋_GB2312"/>
                <w:sz w:val="20"/>
              </w:rPr>
              <w:t>4.7</w:t>
            </w:r>
            <w:r>
              <w:rPr>
                <w:rFonts w:ascii="仿宋_GB2312" w:hAnsi="仿宋_GB2312" w:cs="仿宋_GB2312" w:eastAsia="仿宋_GB2312"/>
                <w:sz w:val="20"/>
              </w:rPr>
              <w:t>服务要求：提供的服务成果</w:t>
            </w:r>
            <w:r>
              <w:rPr>
                <w:rFonts w:ascii="仿宋_GB2312" w:hAnsi="仿宋_GB2312" w:cs="仿宋_GB2312" w:eastAsia="仿宋_GB2312"/>
                <w:sz w:val="20"/>
              </w:rPr>
              <w:t>及</w:t>
            </w:r>
            <w:r>
              <w:rPr>
                <w:rFonts w:ascii="仿宋_GB2312" w:hAnsi="仿宋_GB2312" w:cs="仿宋_GB2312" w:eastAsia="仿宋_GB2312"/>
                <w:sz w:val="20"/>
              </w:rPr>
              <w:t>服务质量可视化展示，</w:t>
            </w:r>
            <w:r>
              <w:rPr>
                <w:rFonts w:ascii="仿宋_GB2312" w:hAnsi="仿宋_GB2312" w:cs="仿宋_GB2312" w:eastAsia="仿宋_GB2312"/>
                <w:sz w:val="20"/>
              </w:rPr>
              <w:t>采购人</w:t>
            </w:r>
            <w:r>
              <w:rPr>
                <w:rFonts w:ascii="仿宋_GB2312" w:hAnsi="仿宋_GB2312" w:cs="仿宋_GB2312" w:eastAsia="仿宋_GB2312"/>
                <w:sz w:val="20"/>
              </w:rPr>
              <w:t>能通过可视化的数据，清晰的了解供应商的服务水平，至少包括脆弱性闭环率、脆弱性平均响应时长、脆弱性平均闭环时长、威胁闭环率、威胁平均响应时长、威胁平均闭环时长、事件闭环率、事件平均闭环时长，以验证供应商所承诺的服务指标。</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4.8</w:t>
            </w:r>
            <w:r>
              <w:rPr>
                <w:rFonts w:ascii="仿宋_GB2312" w:hAnsi="仿宋_GB2312" w:cs="仿宋_GB2312" w:eastAsia="仿宋_GB2312"/>
                <w:sz w:val="20"/>
              </w:rPr>
              <w:t>安全设备对接与数据采集：供应商安全托管服务云端平台应当支持对接医院网络中已部署的主要安全设备，包括防火墙、端点安全软件、威胁检测探针等，支持实时接收安全设备检测到的安全事件信息、安全日志数据提供</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24小时的安全托管服务。提供的安全托管服务云端平台支持对接主要安全设备的能力证明承诺函或者第三方兼容性测试报告</w:t>
            </w:r>
            <w:r>
              <w:rPr>
                <w:rFonts w:ascii="仿宋_GB2312" w:hAnsi="仿宋_GB2312" w:cs="仿宋_GB2312" w:eastAsia="仿宋_GB2312"/>
                <w:sz w:val="20"/>
              </w:rPr>
              <w:t>，并加盖供应商公章。</w:t>
            </w:r>
          </w:p>
          <w:p>
            <w:pPr>
              <w:pStyle w:val="null3"/>
              <w:ind w:firstLine="200"/>
              <w:jc w:val="both"/>
            </w:pPr>
            <w:r>
              <w:rPr>
                <w:rFonts w:ascii="仿宋_GB2312" w:hAnsi="仿宋_GB2312" w:cs="仿宋_GB2312" w:eastAsia="仿宋_GB2312"/>
                <w:sz w:val="20"/>
              </w:rPr>
              <w:t>4.9</w:t>
            </w:r>
            <w:r>
              <w:rPr>
                <w:rFonts w:ascii="仿宋_GB2312" w:hAnsi="仿宋_GB2312" w:cs="仿宋_GB2312" w:eastAsia="仿宋_GB2312"/>
                <w:sz w:val="20"/>
              </w:rPr>
              <w:t>安全合规性要求：供应商云端平台应当做好严格的安全防护，并严格按照《信息安全技术</w:t>
            </w:r>
            <w:r>
              <w:rPr>
                <w:rFonts w:ascii="仿宋_GB2312" w:hAnsi="仿宋_GB2312" w:cs="仿宋_GB2312" w:eastAsia="仿宋_GB2312"/>
                <w:sz w:val="20"/>
              </w:rPr>
              <w:t>—网络安全等级保护基本要求》完成等级保护测评工作，服务云端平台至少通过等级保护三级测评</w:t>
            </w:r>
            <w:r>
              <w:rPr>
                <w:rFonts w:ascii="仿宋_GB2312" w:hAnsi="仿宋_GB2312" w:cs="仿宋_GB2312" w:eastAsia="仿宋_GB2312"/>
                <w:sz w:val="20"/>
              </w:rPr>
              <w:t>。（</w:t>
            </w:r>
            <w:r>
              <w:rPr>
                <w:rFonts w:ascii="仿宋_GB2312" w:hAnsi="仿宋_GB2312" w:cs="仿宋_GB2312" w:eastAsia="仿宋_GB2312"/>
                <w:sz w:val="20"/>
              </w:rPr>
              <w:t>提供证明材料</w:t>
            </w:r>
            <w:r>
              <w:rPr>
                <w:rFonts w:ascii="仿宋_GB2312" w:hAnsi="仿宋_GB2312" w:cs="仿宋_GB2312" w:eastAsia="仿宋_GB2312"/>
                <w:sz w:val="20"/>
              </w:rPr>
              <w:t>加盖供应商公章）</w:t>
            </w:r>
          </w:p>
          <w:p>
            <w:pPr>
              <w:pStyle w:val="null3"/>
              <w:ind w:firstLine="200"/>
              <w:jc w:val="both"/>
            </w:pPr>
            <w:r>
              <w:rPr>
                <w:rFonts w:ascii="仿宋_GB2312" w:hAnsi="仿宋_GB2312" w:cs="仿宋_GB2312" w:eastAsia="仿宋_GB2312"/>
                <w:sz w:val="20"/>
              </w:rPr>
              <w:t>4.10</w:t>
            </w:r>
            <w:r>
              <w:rPr>
                <w:rFonts w:ascii="仿宋_GB2312" w:hAnsi="仿宋_GB2312" w:cs="仿宋_GB2312" w:eastAsia="仿宋_GB2312"/>
                <w:sz w:val="20"/>
              </w:rPr>
              <w:t>服务交付物：服务期间内，提供包括但不限于以下汇报材料和内容：《项目启动会</w:t>
            </w:r>
            <w:r>
              <w:rPr>
                <w:rFonts w:ascii="仿宋_GB2312" w:hAnsi="仿宋_GB2312" w:cs="仿宋_GB2312" w:eastAsia="仿宋_GB2312"/>
                <w:sz w:val="20"/>
              </w:rPr>
              <w:t>PPT》、《首次分析与处置报告》、《漏洞管理举证报告》、《漏洞清单》、《服务资产表》、《安全服务运营报告》、《应急响应报告》、《事件分析与处置报告》、《安全运营报告》、《安全通告》、《综合分析报告》、《季度汇报PPT》、《年度汇报PPT》</w:t>
            </w:r>
            <w:r>
              <w:rPr>
                <w:rFonts w:ascii="仿宋_GB2312" w:hAnsi="仿宋_GB2312" w:cs="仿宋_GB2312" w:eastAsia="仿宋_GB2312"/>
                <w:sz w:val="20"/>
              </w:rPr>
              <w:t>等</w:t>
            </w:r>
            <w:r>
              <w:rPr>
                <w:rFonts w:ascii="仿宋_GB2312" w:hAnsi="仿宋_GB2312" w:cs="仿宋_GB2312" w:eastAsia="仿宋_GB2312"/>
                <w:sz w:val="20"/>
              </w:rPr>
              <w:t>。</w:t>
            </w:r>
          </w:p>
          <w:p>
            <w:pPr>
              <w:pStyle w:val="null3"/>
              <w:ind w:firstLine="200"/>
              <w:jc w:val="both"/>
            </w:pPr>
            <w:r>
              <w:rPr>
                <w:rFonts w:ascii="仿宋_GB2312" w:hAnsi="仿宋_GB2312" w:cs="仿宋_GB2312" w:eastAsia="仿宋_GB2312"/>
                <w:sz w:val="20"/>
              </w:rPr>
              <w:t>4.11</w:t>
            </w:r>
            <w:r>
              <w:rPr>
                <w:rFonts w:ascii="仿宋_GB2312" w:hAnsi="仿宋_GB2312" w:cs="仿宋_GB2312" w:eastAsia="仿宋_GB2312"/>
                <w:sz w:val="20"/>
              </w:rPr>
              <w:t>对服务范围内的资产提供网络安全事件损失理赔承诺，即在正常服务过程中因供应商的服务缺陷导致医院服务范围内的资产发生网络安全事件时，医院有权要求供应商赔偿该事件给医院直接造成的网络营</w:t>
            </w:r>
            <w:r>
              <w:rPr>
                <w:rFonts w:ascii="仿宋_GB2312" w:hAnsi="仿宋_GB2312" w:cs="仿宋_GB2312" w:eastAsia="仿宋_GB2312"/>
                <w:sz w:val="20"/>
              </w:rPr>
              <w:t>业中断损失、数据恢复费用、第三者责任、应急响应损失、网络勒索损失，</w:t>
            </w:r>
            <w:r>
              <w:rPr>
                <w:rFonts w:ascii="仿宋_GB2312" w:hAnsi="仿宋_GB2312" w:cs="仿宋_GB2312" w:eastAsia="仿宋_GB2312"/>
                <w:sz w:val="20"/>
              </w:rPr>
              <w:t>承诺购买</w:t>
            </w:r>
            <w:r>
              <w:rPr>
                <w:rFonts w:ascii="仿宋_GB2312" w:hAnsi="仿宋_GB2312" w:cs="仿宋_GB2312" w:eastAsia="仿宋_GB2312"/>
                <w:sz w:val="20"/>
              </w:rPr>
              <w:t>≥</w:t>
            </w:r>
            <w:r>
              <w:rPr>
                <w:rFonts w:ascii="仿宋_GB2312" w:hAnsi="仿宋_GB2312" w:cs="仿宋_GB2312" w:eastAsia="仿宋_GB2312"/>
                <w:sz w:val="20"/>
              </w:rPr>
              <w:t>20万</w:t>
            </w:r>
            <w:r>
              <w:rPr>
                <w:rFonts w:ascii="仿宋_GB2312" w:hAnsi="仿宋_GB2312" w:cs="仿宋_GB2312" w:eastAsia="仿宋_GB2312"/>
                <w:sz w:val="20"/>
              </w:rPr>
              <w:t>元</w:t>
            </w:r>
            <w:r>
              <w:rPr>
                <w:rFonts w:ascii="仿宋_GB2312" w:hAnsi="仿宋_GB2312" w:cs="仿宋_GB2312" w:eastAsia="仿宋_GB2312"/>
                <w:sz w:val="20"/>
              </w:rPr>
              <w:t>人民币</w:t>
            </w:r>
            <w:r>
              <w:rPr>
                <w:rFonts w:ascii="仿宋_GB2312" w:hAnsi="仿宋_GB2312" w:cs="仿宋_GB2312" w:eastAsia="仿宋_GB2312"/>
                <w:sz w:val="20"/>
              </w:rPr>
              <w:t>赔付额度</w:t>
            </w:r>
            <w:r>
              <w:rPr>
                <w:rFonts w:ascii="仿宋_GB2312" w:hAnsi="仿宋_GB2312" w:cs="仿宋_GB2312" w:eastAsia="仿宋_GB2312"/>
                <w:sz w:val="20"/>
              </w:rPr>
              <w:t>的</w:t>
            </w:r>
            <w:r>
              <w:rPr>
                <w:rFonts w:ascii="仿宋_GB2312" w:hAnsi="仿宋_GB2312" w:cs="仿宋_GB2312" w:eastAsia="仿宋_GB2312"/>
                <w:sz w:val="20"/>
              </w:rPr>
              <w:t>网络安全保险</w:t>
            </w:r>
            <w:r>
              <w:rPr>
                <w:rFonts w:ascii="仿宋_GB2312" w:hAnsi="仿宋_GB2312" w:cs="仿宋_GB2312" w:eastAsia="仿宋_GB2312"/>
                <w:sz w:val="20"/>
              </w:rPr>
              <w:t>，提供承诺函并加盖供应商公章。</w:t>
            </w:r>
          </w:p>
          <w:p>
            <w:pPr>
              <w:pStyle w:val="null3"/>
              <w:jc w:val="both"/>
              <w:outlineLvl w:val="1"/>
            </w:pPr>
            <w:r>
              <w:rPr>
                <w:rFonts w:ascii="仿宋_GB2312" w:hAnsi="仿宋_GB2312" w:cs="仿宋_GB2312" w:eastAsia="仿宋_GB2312"/>
                <w:sz w:val="20"/>
                <w:b/>
              </w:rPr>
              <w:t>五、商务要求</w:t>
            </w:r>
          </w:p>
          <w:p>
            <w:pPr>
              <w:pStyle w:val="null3"/>
              <w:ind w:firstLine="402"/>
              <w:jc w:val="both"/>
            </w:pPr>
            <w:r>
              <w:rPr>
                <w:rFonts w:ascii="仿宋_GB2312" w:hAnsi="仿宋_GB2312" w:cs="仿宋_GB2312" w:eastAsia="仿宋_GB2312"/>
                <w:sz w:val="20"/>
                <w:b/>
              </w:rPr>
              <w:t>1.服务期、服务地点及服务质量：</w:t>
            </w:r>
          </w:p>
          <w:p>
            <w:pPr>
              <w:pStyle w:val="null3"/>
              <w:ind w:firstLine="400"/>
              <w:jc w:val="both"/>
            </w:pPr>
            <w:r>
              <w:rPr>
                <w:rFonts w:ascii="仿宋_GB2312" w:hAnsi="仿宋_GB2312" w:cs="仿宋_GB2312" w:eastAsia="仿宋_GB2312"/>
                <w:sz w:val="20"/>
              </w:rPr>
              <w:t xml:space="preserve">    </w:t>
            </w:r>
            <w:r>
              <w:rPr>
                <w:rFonts w:ascii="仿宋_GB2312" w:hAnsi="仿宋_GB2312" w:cs="仿宋_GB2312" w:eastAsia="仿宋_GB2312"/>
                <w:sz w:val="20"/>
              </w:rPr>
              <w:t>1.1 服务期：</w:t>
            </w:r>
            <w:r>
              <w:rPr>
                <w:rFonts w:ascii="仿宋_GB2312" w:hAnsi="仿宋_GB2312" w:cs="仿宋_GB2312" w:eastAsia="仿宋_GB2312"/>
                <w:sz w:val="20"/>
              </w:rPr>
              <w:t>自合同签订之日起两</w:t>
            </w:r>
            <w:r>
              <w:rPr>
                <w:rFonts w:ascii="仿宋_GB2312" w:hAnsi="仿宋_GB2312" w:cs="仿宋_GB2312" w:eastAsia="仿宋_GB2312"/>
                <w:sz w:val="20"/>
              </w:rPr>
              <w:t>年</w:t>
            </w:r>
          </w:p>
          <w:p>
            <w:pPr>
              <w:pStyle w:val="null3"/>
              <w:ind w:firstLine="800"/>
              <w:jc w:val="both"/>
            </w:pPr>
            <w:r>
              <w:rPr>
                <w:rFonts w:ascii="仿宋_GB2312" w:hAnsi="仿宋_GB2312" w:cs="仿宋_GB2312" w:eastAsia="仿宋_GB2312"/>
                <w:sz w:val="20"/>
              </w:rPr>
              <w:t>1.2 服务地点：西安市第一医院（采购人指定地点）</w:t>
            </w:r>
          </w:p>
          <w:p>
            <w:pPr>
              <w:pStyle w:val="null3"/>
              <w:spacing w:after="120"/>
              <w:ind w:firstLine="800"/>
              <w:jc w:val="both"/>
            </w:pPr>
            <w:r>
              <w:rPr>
                <w:rFonts w:ascii="仿宋_GB2312" w:hAnsi="仿宋_GB2312" w:cs="仿宋_GB2312" w:eastAsia="仿宋_GB2312"/>
                <w:sz w:val="20"/>
              </w:rPr>
              <w:t>1.3 服务质量：质量达到现行合格标准，符合国家、行业、地方规定以及采购人</w:t>
            </w:r>
            <w:r>
              <w:rPr>
                <w:rFonts w:ascii="仿宋_GB2312" w:hAnsi="仿宋_GB2312" w:cs="仿宋_GB2312" w:eastAsia="仿宋_GB2312"/>
                <w:sz w:val="20"/>
              </w:rPr>
              <w:t>规定的合格质量及安全标准要求</w:t>
            </w:r>
          </w:p>
          <w:p>
            <w:pPr>
              <w:pStyle w:val="null3"/>
              <w:ind w:firstLine="402"/>
              <w:jc w:val="both"/>
            </w:pPr>
            <w:r>
              <w:rPr>
                <w:rFonts w:ascii="仿宋_GB2312" w:hAnsi="仿宋_GB2312" w:cs="仿宋_GB2312" w:eastAsia="仿宋_GB2312"/>
                <w:sz w:val="20"/>
                <w:b/>
              </w:rPr>
              <w:t>2.付款方式：</w:t>
            </w:r>
          </w:p>
          <w:p>
            <w:pPr>
              <w:pStyle w:val="null3"/>
              <w:ind w:firstLine="400"/>
              <w:jc w:val="both"/>
            </w:pPr>
            <w:r>
              <w:rPr>
                <w:rFonts w:ascii="仿宋_GB2312" w:hAnsi="仿宋_GB2312" w:cs="仿宋_GB2312" w:eastAsia="仿宋_GB2312"/>
                <w:sz w:val="20"/>
                <w:color w:val="000000"/>
              </w:rPr>
              <w:t>2.1第一年付费：合同签订后，20个工作日内，</w:t>
            </w:r>
            <w:r>
              <w:rPr>
                <w:rFonts w:ascii="仿宋_GB2312" w:hAnsi="仿宋_GB2312" w:cs="仿宋_GB2312" w:eastAsia="仿宋_GB2312"/>
                <w:sz w:val="20"/>
              </w:rPr>
              <w:t>采购人</w:t>
            </w:r>
            <w:r>
              <w:rPr>
                <w:rFonts w:ascii="仿宋_GB2312" w:hAnsi="仿宋_GB2312" w:cs="仿宋_GB2312" w:eastAsia="仿宋_GB2312"/>
                <w:sz w:val="20"/>
                <w:color w:val="000000"/>
              </w:rPr>
              <w:t>向供应商支付合同总额的</w:t>
            </w:r>
            <w:r>
              <w:rPr>
                <w:rFonts w:ascii="仿宋_GB2312" w:hAnsi="仿宋_GB2312" w:cs="仿宋_GB2312" w:eastAsia="仿宋_GB2312"/>
                <w:sz w:val="20"/>
                <w:color w:val="000000"/>
              </w:rPr>
              <w:t>25%；第一年服务到期后，如无质量、技术、服务、安全等问题，验收合格后，20个工作日内</w:t>
            </w:r>
            <w:r>
              <w:rPr>
                <w:rFonts w:ascii="仿宋_GB2312" w:hAnsi="仿宋_GB2312" w:cs="仿宋_GB2312" w:eastAsia="仿宋_GB2312"/>
                <w:sz w:val="20"/>
              </w:rPr>
              <w:t>采购人</w:t>
            </w:r>
            <w:r>
              <w:rPr>
                <w:rFonts w:ascii="仿宋_GB2312" w:hAnsi="仿宋_GB2312" w:cs="仿宋_GB2312" w:eastAsia="仿宋_GB2312"/>
                <w:sz w:val="20"/>
                <w:color w:val="000000"/>
              </w:rPr>
              <w:t>向供应商支付合同总额的</w:t>
            </w:r>
            <w:r>
              <w:rPr>
                <w:rFonts w:ascii="仿宋_GB2312" w:hAnsi="仿宋_GB2312" w:cs="仿宋_GB2312" w:eastAsia="仿宋_GB2312"/>
                <w:sz w:val="20"/>
                <w:color w:val="000000"/>
              </w:rPr>
              <w:t>25%。</w:t>
            </w:r>
          </w:p>
          <w:p>
            <w:pPr>
              <w:pStyle w:val="null3"/>
              <w:ind w:firstLine="400"/>
              <w:jc w:val="both"/>
            </w:pPr>
            <w:r>
              <w:rPr>
                <w:rFonts w:ascii="仿宋_GB2312" w:hAnsi="仿宋_GB2312" w:cs="仿宋_GB2312" w:eastAsia="仿宋_GB2312"/>
                <w:sz w:val="20"/>
                <w:color w:val="000000"/>
              </w:rPr>
              <w:t>2.2第二年付费：第一年合同到期后，20个工作日内，</w:t>
            </w:r>
            <w:r>
              <w:rPr>
                <w:rFonts w:ascii="仿宋_GB2312" w:hAnsi="仿宋_GB2312" w:cs="仿宋_GB2312" w:eastAsia="仿宋_GB2312"/>
                <w:sz w:val="20"/>
              </w:rPr>
              <w:t>采购人</w:t>
            </w:r>
            <w:r>
              <w:rPr>
                <w:rFonts w:ascii="仿宋_GB2312" w:hAnsi="仿宋_GB2312" w:cs="仿宋_GB2312" w:eastAsia="仿宋_GB2312"/>
                <w:sz w:val="20"/>
                <w:color w:val="000000"/>
              </w:rPr>
              <w:t>向供应商支付合同总额的</w:t>
            </w:r>
            <w:r>
              <w:rPr>
                <w:rFonts w:ascii="仿宋_GB2312" w:hAnsi="仿宋_GB2312" w:cs="仿宋_GB2312" w:eastAsia="仿宋_GB2312"/>
                <w:sz w:val="20"/>
                <w:color w:val="000000"/>
              </w:rPr>
              <w:t>25%；当年服务到期后，如无质量、技术、服务、安全等问题，验收合格后，20个工作日内</w:t>
            </w:r>
            <w:r>
              <w:rPr>
                <w:rFonts w:ascii="仿宋_GB2312" w:hAnsi="仿宋_GB2312" w:cs="仿宋_GB2312" w:eastAsia="仿宋_GB2312"/>
                <w:sz w:val="20"/>
              </w:rPr>
              <w:t>采购人</w:t>
            </w:r>
            <w:r>
              <w:rPr>
                <w:rFonts w:ascii="仿宋_GB2312" w:hAnsi="仿宋_GB2312" w:cs="仿宋_GB2312" w:eastAsia="仿宋_GB2312"/>
                <w:sz w:val="20"/>
                <w:color w:val="000000"/>
              </w:rPr>
              <w:t>向供应商支付合同总额的</w:t>
            </w:r>
            <w:r>
              <w:rPr>
                <w:rFonts w:ascii="仿宋_GB2312" w:hAnsi="仿宋_GB2312" w:cs="仿宋_GB2312" w:eastAsia="仿宋_GB2312"/>
                <w:sz w:val="20"/>
                <w:color w:val="000000"/>
              </w:rPr>
              <w:t>25%。</w:t>
            </w:r>
          </w:p>
          <w:p>
            <w:pPr>
              <w:pStyle w:val="null3"/>
              <w:ind w:firstLine="400"/>
              <w:jc w:val="both"/>
            </w:pPr>
            <w:r>
              <w:rPr>
                <w:rFonts w:ascii="仿宋_GB2312" w:hAnsi="仿宋_GB2312" w:cs="仿宋_GB2312" w:eastAsia="仿宋_GB2312"/>
                <w:sz w:val="20"/>
                <w:color w:val="000000"/>
              </w:rPr>
              <w:t>2.3每次付款前，供应商必须开具等额的正式税务发票给</w:t>
            </w:r>
            <w:r>
              <w:rPr>
                <w:rFonts w:ascii="仿宋_GB2312" w:hAnsi="仿宋_GB2312" w:cs="仿宋_GB2312" w:eastAsia="仿宋_GB2312"/>
                <w:sz w:val="20"/>
              </w:rPr>
              <w:t>采购人</w:t>
            </w:r>
            <w:r>
              <w:rPr>
                <w:rFonts w:ascii="仿宋_GB2312" w:hAnsi="仿宋_GB2312" w:cs="仿宋_GB2312" w:eastAsia="仿宋_GB2312"/>
                <w:sz w:val="20"/>
                <w:color w:val="000000"/>
              </w:rPr>
              <w:t>，</w:t>
            </w:r>
            <w:r>
              <w:rPr>
                <w:rFonts w:ascii="仿宋_GB2312" w:hAnsi="仿宋_GB2312" w:cs="仿宋_GB2312" w:eastAsia="仿宋_GB2312"/>
                <w:sz w:val="20"/>
              </w:rPr>
              <w:t>采购人</w:t>
            </w:r>
            <w:r>
              <w:rPr>
                <w:rFonts w:ascii="仿宋_GB2312" w:hAnsi="仿宋_GB2312" w:cs="仿宋_GB2312" w:eastAsia="仿宋_GB2312"/>
                <w:sz w:val="20"/>
                <w:color w:val="000000"/>
              </w:rPr>
              <w:t>收到发票后</w:t>
            </w:r>
            <w:r>
              <w:rPr>
                <w:rFonts w:ascii="仿宋_GB2312" w:hAnsi="仿宋_GB2312" w:cs="仿宋_GB2312" w:eastAsia="仿宋_GB2312"/>
                <w:sz w:val="20"/>
                <w:color w:val="000000"/>
              </w:rPr>
              <w:t>20个工作日内付款。</w:t>
            </w:r>
          </w:p>
          <w:p>
            <w:pPr>
              <w:pStyle w:val="null3"/>
              <w:ind w:firstLine="402"/>
            </w:pPr>
            <w:r>
              <w:rPr>
                <w:rFonts w:ascii="仿宋_GB2312" w:hAnsi="仿宋_GB2312" w:cs="仿宋_GB2312" w:eastAsia="仿宋_GB2312"/>
                <w:sz w:val="20"/>
                <w:b/>
              </w:rPr>
              <w:t>3.项目验收：</w:t>
            </w:r>
          </w:p>
          <w:p>
            <w:pPr>
              <w:pStyle w:val="null3"/>
            </w:pPr>
            <w:r>
              <w:rPr>
                <w:rFonts w:ascii="仿宋_GB2312" w:hAnsi="仿宋_GB2312" w:cs="仿宋_GB2312" w:eastAsia="仿宋_GB2312"/>
                <w:sz w:val="20"/>
              </w:rPr>
              <w:t>3.1服务期每满1年，具备验收条件后，由供应商向采购人提出验收申请，采购人负责组织项目验收。</w:t>
            </w:r>
          </w:p>
          <w:p>
            <w:pPr>
              <w:pStyle w:val="null3"/>
            </w:pPr>
            <w:r>
              <w:rPr>
                <w:rFonts w:ascii="仿宋_GB2312" w:hAnsi="仿宋_GB2312" w:cs="仿宋_GB2312" w:eastAsia="仿宋_GB2312"/>
                <w:sz w:val="20"/>
              </w:rPr>
              <w:t>3.2验收组织：成立由采购人、供应商以及其他有关人员组成的验收小组，负责对整个服务进行全面的验收。</w:t>
            </w:r>
          </w:p>
          <w:p>
            <w:pPr>
              <w:pStyle w:val="null3"/>
            </w:pPr>
            <w:r>
              <w:rPr>
                <w:rFonts w:ascii="仿宋_GB2312" w:hAnsi="仿宋_GB2312" w:cs="仿宋_GB2312" w:eastAsia="仿宋_GB2312"/>
                <w:sz w:val="20"/>
              </w:rPr>
              <w:t>3.3验收标准：依据磋商文件、投标文件、合同及相关需求文档等方面全面组织验收。</w:t>
            </w:r>
          </w:p>
          <w:p>
            <w:pPr>
              <w:pStyle w:val="null3"/>
              <w:jc w:val="both"/>
            </w:pPr>
            <w:r>
              <w:rPr>
                <w:rFonts w:ascii="仿宋_GB2312" w:hAnsi="仿宋_GB2312" w:cs="仿宋_GB2312" w:eastAsia="仿宋_GB2312"/>
                <w:sz w:val="20"/>
              </w:rPr>
              <w:t>3.4验收条件：整理本次项目相关文档，提交给采购人。所有合同范围内业务服务均全部完成。</w:t>
            </w:r>
          </w:p>
          <w:p>
            <w:pPr>
              <w:pStyle w:val="null3"/>
              <w:jc w:val="both"/>
            </w:pPr>
            <w:r>
              <w:rPr>
                <w:rFonts w:ascii="仿宋_GB2312" w:hAnsi="仿宋_GB2312" w:cs="仿宋_GB2312" w:eastAsia="仿宋_GB2312"/>
                <w:sz w:val="20"/>
              </w:rPr>
              <w:t xml:space="preserve"> 3.5 验收合格后，由采购人出具验收报告。</w:t>
            </w:r>
          </w:p>
          <w:p>
            <w:pPr>
              <w:pStyle w:val="null3"/>
              <w:ind w:left="660"/>
              <w:jc w:val="both"/>
            </w:pPr>
            <w:r>
              <w:rPr>
                <w:rFonts w:ascii="仿宋_GB2312" w:hAnsi="仿宋_GB2312" w:cs="仿宋_GB2312" w:eastAsia="仿宋_GB2312"/>
                <w:sz w:val="20"/>
                <w:b/>
              </w:rPr>
              <w:t>4.</w:t>
            </w:r>
            <w:r>
              <w:rPr>
                <w:rFonts w:ascii="仿宋_GB2312" w:hAnsi="仿宋_GB2312" w:cs="仿宋_GB2312" w:eastAsia="仿宋_GB2312"/>
                <w:sz w:val="20"/>
                <w:b/>
              </w:rPr>
              <w:t>售后服务</w:t>
            </w:r>
          </w:p>
          <w:p>
            <w:pPr>
              <w:pStyle w:val="null3"/>
              <w:ind w:firstLine="400"/>
              <w:jc w:val="both"/>
            </w:pPr>
            <w:r>
              <w:rPr>
                <w:rFonts w:ascii="仿宋_GB2312" w:hAnsi="仿宋_GB2312" w:cs="仿宋_GB2312" w:eastAsia="仿宋_GB2312"/>
                <w:sz w:val="20"/>
              </w:rPr>
              <w:t>4.1</w:t>
            </w:r>
            <w:r>
              <w:rPr>
                <w:rFonts w:ascii="仿宋_GB2312" w:hAnsi="仿宋_GB2312" w:cs="仿宋_GB2312" w:eastAsia="仿宋_GB2312"/>
                <w:sz w:val="20"/>
              </w:rPr>
              <w:t>质量保证要求</w:t>
            </w:r>
          </w:p>
          <w:p>
            <w:pPr>
              <w:pStyle w:val="null3"/>
              <w:ind w:firstLine="400"/>
              <w:jc w:val="both"/>
            </w:pPr>
            <w:r>
              <w:rPr>
                <w:rFonts w:ascii="仿宋_GB2312" w:hAnsi="仿宋_GB2312" w:cs="仿宋_GB2312" w:eastAsia="仿宋_GB2312"/>
                <w:sz w:val="20"/>
              </w:rPr>
              <w:t>提供</w:t>
            </w:r>
            <w:r>
              <w:rPr>
                <w:rFonts w:ascii="仿宋_GB2312" w:hAnsi="仿宋_GB2312" w:cs="仿宋_GB2312" w:eastAsia="仿宋_GB2312"/>
                <w:sz w:val="20"/>
              </w:rPr>
              <w:t>自合同签订之日起</w:t>
            </w:r>
            <w:r>
              <w:rPr>
                <w:rFonts w:ascii="仿宋_GB2312" w:hAnsi="仿宋_GB2312" w:cs="仿宋_GB2312" w:eastAsia="仿宋_GB2312"/>
                <w:sz w:val="21"/>
                <w:u w:val="single"/>
              </w:rPr>
              <w:t xml:space="preserve"> </w:t>
            </w:r>
            <w:r>
              <w:rPr>
                <w:rFonts w:ascii="仿宋_GB2312" w:hAnsi="仿宋_GB2312" w:cs="仿宋_GB2312" w:eastAsia="仿宋_GB2312"/>
                <w:sz w:val="20"/>
                <w:u w:val="single"/>
              </w:rPr>
              <w:t>两年</w:t>
            </w:r>
            <w:r>
              <w:rPr>
                <w:rFonts w:ascii="仿宋_GB2312" w:hAnsi="仿宋_GB2312" w:cs="仿宋_GB2312" w:eastAsia="仿宋_GB2312"/>
                <w:sz w:val="21"/>
                <w:u w:val="single"/>
              </w:rPr>
              <w:t xml:space="preserve"> </w:t>
            </w:r>
            <w:r>
              <w:rPr>
                <w:rFonts w:ascii="仿宋_GB2312" w:hAnsi="仿宋_GB2312" w:cs="仿宋_GB2312" w:eastAsia="仿宋_GB2312"/>
                <w:sz w:val="20"/>
              </w:rPr>
              <w:t>的维护。</w:t>
            </w:r>
          </w:p>
          <w:p>
            <w:pPr>
              <w:pStyle w:val="null3"/>
              <w:ind w:firstLine="400"/>
              <w:jc w:val="both"/>
            </w:pPr>
            <w:r>
              <w:rPr>
                <w:rFonts w:ascii="仿宋_GB2312" w:hAnsi="仿宋_GB2312" w:cs="仿宋_GB2312" w:eastAsia="仿宋_GB2312"/>
                <w:sz w:val="20"/>
              </w:rPr>
              <w:t>4.2</w:t>
            </w:r>
            <w:r>
              <w:rPr>
                <w:rFonts w:ascii="仿宋_GB2312" w:hAnsi="仿宋_GB2312" w:cs="仿宋_GB2312" w:eastAsia="仿宋_GB2312"/>
                <w:sz w:val="20"/>
              </w:rPr>
              <w:t>服务</w:t>
            </w:r>
            <w:r>
              <w:rPr>
                <w:rFonts w:ascii="仿宋_GB2312" w:hAnsi="仿宋_GB2312" w:cs="仿宋_GB2312" w:eastAsia="仿宋_GB2312"/>
                <w:sz w:val="20"/>
              </w:rPr>
              <w:t>期内</w:t>
            </w:r>
            <w:r>
              <w:rPr>
                <w:rFonts w:ascii="仿宋_GB2312" w:hAnsi="仿宋_GB2312" w:cs="仿宋_GB2312" w:eastAsia="仿宋_GB2312"/>
                <w:sz w:val="20"/>
              </w:rPr>
              <w:t>要求</w:t>
            </w:r>
          </w:p>
          <w:p>
            <w:pPr>
              <w:pStyle w:val="null3"/>
              <w:ind w:firstLine="400"/>
              <w:jc w:val="both"/>
            </w:pPr>
            <w:r>
              <w:rPr>
                <w:rFonts w:ascii="仿宋_GB2312" w:hAnsi="仿宋_GB2312" w:cs="仿宋_GB2312" w:eastAsia="仿宋_GB2312"/>
                <w:sz w:val="20"/>
              </w:rPr>
              <w:t>在</w:t>
            </w:r>
            <w:r>
              <w:rPr>
                <w:rFonts w:ascii="仿宋_GB2312" w:hAnsi="仿宋_GB2312" w:cs="仿宋_GB2312" w:eastAsia="仿宋_GB2312"/>
                <w:sz w:val="20"/>
              </w:rPr>
              <w:t>服务</w:t>
            </w:r>
            <w:r>
              <w:rPr>
                <w:rFonts w:ascii="仿宋_GB2312" w:hAnsi="仿宋_GB2312" w:cs="仿宋_GB2312" w:eastAsia="仿宋_GB2312"/>
                <w:sz w:val="20"/>
              </w:rPr>
              <w:t>期内，如软件系统故障，</w:t>
            </w:r>
            <w:r>
              <w:rPr>
                <w:rFonts w:ascii="仿宋_GB2312" w:hAnsi="仿宋_GB2312" w:cs="仿宋_GB2312" w:eastAsia="仿宋_GB2312"/>
                <w:sz w:val="20"/>
              </w:rPr>
              <w:t>供应商</w:t>
            </w:r>
            <w:r>
              <w:rPr>
                <w:rFonts w:ascii="仿宋_GB2312" w:hAnsi="仿宋_GB2312" w:cs="仿宋_GB2312" w:eastAsia="仿宋_GB2312"/>
                <w:sz w:val="20"/>
              </w:rPr>
              <w:t>需在接到通知后</w:t>
            </w:r>
            <w:r>
              <w:rPr>
                <w:rFonts w:ascii="仿宋_GB2312" w:hAnsi="仿宋_GB2312" w:cs="仿宋_GB2312" w:eastAsia="仿宋_GB2312"/>
                <w:sz w:val="20"/>
              </w:rPr>
              <w:t>30分钟内予以响应，共同协商解决方案。若需要工程师前往现场，要求在2小</w:t>
            </w:r>
            <w:r>
              <w:rPr>
                <w:rFonts w:ascii="仿宋_GB2312" w:hAnsi="仿宋_GB2312" w:cs="仿宋_GB2312" w:eastAsia="仿宋_GB2312"/>
                <w:sz w:val="20"/>
              </w:rPr>
              <w:t>时内</w:t>
            </w:r>
            <w:r>
              <w:rPr>
                <w:rFonts w:ascii="仿宋_GB2312" w:hAnsi="仿宋_GB2312" w:cs="仿宋_GB2312" w:eastAsia="仿宋_GB2312"/>
                <w:sz w:val="20"/>
              </w:rPr>
              <w:t>到达现场</w:t>
            </w:r>
            <w:r>
              <w:rPr>
                <w:rFonts w:ascii="仿宋_GB2312" w:hAnsi="仿宋_GB2312" w:cs="仿宋_GB2312" w:eastAsia="仿宋_GB2312"/>
                <w:sz w:val="20"/>
              </w:rPr>
              <w:t>，</w:t>
            </w:r>
            <w:r>
              <w:rPr>
                <w:rFonts w:ascii="仿宋_GB2312" w:hAnsi="仿宋_GB2312" w:cs="仿宋_GB2312" w:eastAsia="仿宋_GB2312"/>
                <w:sz w:val="20"/>
              </w:rPr>
              <w:t>6小时内排除故障。</w:t>
            </w:r>
          </w:p>
          <w:p>
            <w:pPr>
              <w:pStyle w:val="null3"/>
              <w:ind w:left="660"/>
              <w:jc w:val="both"/>
            </w:pPr>
            <w:r>
              <w:rPr>
                <w:rFonts w:ascii="仿宋_GB2312" w:hAnsi="仿宋_GB2312" w:cs="仿宋_GB2312" w:eastAsia="仿宋_GB2312"/>
                <w:sz w:val="20"/>
                <w:b/>
              </w:rPr>
              <w:t>5.</w:t>
            </w:r>
            <w:r>
              <w:rPr>
                <w:rFonts w:ascii="仿宋_GB2312" w:hAnsi="仿宋_GB2312" w:cs="仿宋_GB2312" w:eastAsia="仿宋_GB2312"/>
                <w:sz w:val="20"/>
                <w:b/>
              </w:rPr>
              <w:t>培训要求</w:t>
            </w:r>
          </w:p>
          <w:p>
            <w:pPr>
              <w:pStyle w:val="null3"/>
              <w:ind w:firstLine="400"/>
              <w:jc w:val="both"/>
            </w:pPr>
            <w:r>
              <w:rPr>
                <w:rFonts w:ascii="仿宋_GB2312" w:hAnsi="仿宋_GB2312" w:cs="仿宋_GB2312" w:eastAsia="仿宋_GB2312"/>
                <w:sz w:val="20"/>
              </w:rPr>
              <w:t>供应商</w:t>
            </w:r>
            <w:r>
              <w:rPr>
                <w:rFonts w:ascii="仿宋_GB2312" w:hAnsi="仿宋_GB2312" w:cs="仿宋_GB2312" w:eastAsia="仿宋_GB2312"/>
                <w:sz w:val="20"/>
              </w:rPr>
              <w:t>必须向</w:t>
            </w:r>
            <w:r>
              <w:rPr>
                <w:rFonts w:ascii="仿宋_GB2312" w:hAnsi="仿宋_GB2312" w:cs="仿宋_GB2312" w:eastAsia="仿宋_GB2312"/>
                <w:sz w:val="20"/>
              </w:rPr>
              <w:t>采购人</w:t>
            </w:r>
            <w:r>
              <w:rPr>
                <w:rFonts w:ascii="仿宋_GB2312" w:hAnsi="仿宋_GB2312" w:cs="仿宋_GB2312" w:eastAsia="仿宋_GB2312"/>
                <w:sz w:val="20"/>
              </w:rPr>
              <w:t>提供</w:t>
            </w:r>
            <w:r>
              <w:rPr>
                <w:rFonts w:ascii="仿宋_GB2312" w:hAnsi="仿宋_GB2312" w:cs="仿宋_GB2312" w:eastAsia="仿宋_GB2312"/>
                <w:sz w:val="20"/>
              </w:rPr>
              <w:t>每年</w:t>
            </w:r>
            <w:r>
              <w:rPr>
                <w:rFonts w:ascii="仿宋_GB2312" w:hAnsi="仿宋_GB2312" w:cs="仿宋_GB2312" w:eastAsia="仿宋_GB2312"/>
                <w:sz w:val="20"/>
              </w:rPr>
              <w:t>≥</w:t>
            </w:r>
            <w:r>
              <w:rPr>
                <w:rFonts w:ascii="仿宋_GB2312" w:hAnsi="仿宋_GB2312" w:cs="仿宋_GB2312" w:eastAsia="仿宋_GB2312"/>
                <w:sz w:val="20"/>
              </w:rPr>
              <w:t>2次</w:t>
            </w:r>
            <w:r>
              <w:rPr>
                <w:rFonts w:ascii="仿宋_GB2312" w:hAnsi="仿宋_GB2312" w:cs="仿宋_GB2312" w:eastAsia="仿宋_GB2312"/>
                <w:sz w:val="20"/>
              </w:rPr>
              <w:t>培训</w:t>
            </w:r>
            <w:r>
              <w:rPr>
                <w:rFonts w:ascii="仿宋_GB2312" w:hAnsi="仿宋_GB2312" w:cs="仿宋_GB2312" w:eastAsia="仿宋_GB2312"/>
                <w:sz w:val="20"/>
              </w:rPr>
              <w:t>服务</w:t>
            </w:r>
            <w:r>
              <w:rPr>
                <w:rFonts w:ascii="仿宋_GB2312" w:hAnsi="仿宋_GB2312" w:cs="仿宋_GB2312" w:eastAsia="仿宋_GB2312"/>
                <w:sz w:val="20"/>
              </w:rPr>
              <w:t>，培训方式应包括理论培训和现场培训。</w:t>
            </w:r>
            <w:r>
              <w:rPr>
                <w:rFonts w:ascii="仿宋_GB2312" w:hAnsi="仿宋_GB2312" w:cs="仿宋_GB2312" w:eastAsia="仿宋_GB2312"/>
                <w:sz w:val="20"/>
              </w:rPr>
              <w:t>供应商</w:t>
            </w:r>
            <w:r>
              <w:rPr>
                <w:rFonts w:ascii="仿宋_GB2312" w:hAnsi="仿宋_GB2312" w:cs="仿宋_GB2312" w:eastAsia="仿宋_GB2312"/>
                <w:sz w:val="20"/>
              </w:rPr>
              <w:t>须针对不同的培训对象，在投标文件中提出全面、详细的培训计划，包括但不限于培训内容、培训时间、地点、授课老师等。</w:t>
            </w:r>
          </w:p>
          <w:p>
            <w:pPr>
              <w:pStyle w:val="null3"/>
              <w:jc w:val="both"/>
            </w:pPr>
            <w:r>
              <w:rPr>
                <w:rFonts w:ascii="仿宋_GB2312" w:hAnsi="仿宋_GB2312" w:cs="仿宋_GB2312" w:eastAsia="仿宋_GB2312"/>
                <w:sz w:val="20"/>
              </w:rPr>
              <w:t>供应商</w:t>
            </w:r>
            <w:r>
              <w:rPr>
                <w:rFonts w:ascii="仿宋_GB2312" w:hAnsi="仿宋_GB2312" w:cs="仿宋_GB2312" w:eastAsia="仿宋_GB2312"/>
                <w:sz w:val="20"/>
              </w:rPr>
              <w:t>派出的培训教员应具备丰富的相同课程教学经验，所有的培训教员必须中文授课，</w:t>
            </w:r>
            <w:r>
              <w:rPr>
                <w:rFonts w:ascii="仿宋_GB2312" w:hAnsi="仿宋_GB2312" w:cs="仿宋_GB2312" w:eastAsia="仿宋_GB2312"/>
                <w:sz w:val="20"/>
              </w:rPr>
              <w:t>供应商</w:t>
            </w:r>
            <w:r>
              <w:rPr>
                <w:rFonts w:ascii="仿宋_GB2312" w:hAnsi="仿宋_GB2312" w:cs="仿宋_GB2312" w:eastAsia="仿宋_GB2312"/>
                <w:sz w:val="20"/>
              </w:rPr>
              <w:t>必须为所有被培训人员提供培训用文字资料和讲义等相关用品。</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自合同签订之日起两年。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1.服务期每满1年，具备验收条件后，由供应商向采购人提出验收申请，采购人负责组织项目验收。 2.验收组织：成立由采购人、供应商以及其他有关人员组成的验收小组，负责对整个服务进行全面的验收。 3.验收标准：依据磋商文件、投标文件、合同及相关需求文档等方面全面组织验收。 4.验收条件：整理本次项目相关文档，提交给采购人。所有合同范围内业务服务均全部完成。 5.验收合格后，由采购人出具验收报告。</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第一年付费：合同签订后，20个工作日内，采购人向供应商支付合同总额的25%；第一年服务到期后，如无质量、技术、服务、安全等问题，验收合格后，20个工作日内采购人向供应商支付合同总额的25%。，达到付款条件起20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二年付费：第一年合同到期后，20个工作日内，采购人向供应商支付合同总额的25%；当年服务到期后，如无质量、技术、服务、安全等问题，验收合格后，20个工作日内采购人向供应商支付合同总额的25%。，达到付款条件起20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1.双方应严格按照本合同履行义务，若未能履行义务而造成的损失，需承担违约责任。 2.在执行本合同中发生与本合同有关的争端，甲乙双方应通过友好协商解决，协商不成的，任一方可向甲方所在地人民法院起诉。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软件和信息技术服务业。软件和信息技术服务业的划型标准为：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政府采购供应商拒绝政府采购领域商业贿赂承诺书.docx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法人或者其他组织提供营业执照、事业单位法人证书等证明文件，自然人提供身份证件，供应商需在项目电子化交易系统中按要求上传相应证明文件并进行电子签章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磋商响应文件递交截止时间前六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提供2024年度或2025年度经审计的财务审计报告（事业法人可提供部门决算报告）；或磋商响应文件递交截止时间前六个月内其基本账户银行出具的资信证明（附《基本存款账户信息》或《银行开户许可证》）；或提供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法定代表人参加磋商的，须提供法定代表人身份证明；法定代表人授权他人参加磋商的，须提供法定代表人授权委托书，被授权代表本单位证明：响应文件递交截止时间前三个月内任意一个月（不含开标当月）供应商为其缴纳的养老保险缴纳证明。（法定代表人参加只需提供法定代表人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承诺要求</w:t>
            </w:r>
          </w:p>
        </w:tc>
        <w:tc>
          <w:tcPr>
            <w:tcW w:type="dxa" w:w="3322"/>
          </w:tcPr>
          <w:p>
            <w:pPr>
              <w:pStyle w:val="null3"/>
            </w:pPr>
            <w:r>
              <w:rPr>
                <w:rFonts w:ascii="仿宋_GB2312" w:hAnsi="仿宋_GB2312" w:cs="仿宋_GB2312" w:eastAsia="仿宋_GB2312"/>
              </w:rPr>
              <w:t>（1）本项目不接受由西安市第一医院职工及其亲属投资开办的企业参加本次政府采购活动；（2）供应商与其他供应商无交叉控股股东、无交叉兼任高级管理人员及涉嫌联合围标、串标行为，无采购单位和采购代理机构职工在该单位兼职的情况，不向采购单位和代理机构相关人员输送利益等行贿行为，供应商需在项目电子化交易系统中按要求上传相应承诺函并进行电子签章</w:t>
            </w:r>
          </w:p>
        </w:tc>
        <w:tc>
          <w:tcPr>
            <w:tcW w:type="dxa" w:w="1661"/>
          </w:tcPr>
          <w:p>
            <w:pPr>
              <w:pStyle w:val="null3"/>
            </w:pPr>
            <w:r>
              <w:rPr>
                <w:rFonts w:ascii="仿宋_GB2312" w:hAnsi="仿宋_GB2312" w:cs="仿宋_GB2312" w:eastAsia="仿宋_GB2312"/>
              </w:rPr>
              <w:t>相关资格证明资料.docx 政府采购供应商拒绝政府采购领域商业贿赂承诺书.docx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不得为“信用中国”网站（www.creditchina.gov.cn）中列入重大税收违法失信主体和“中国执行信息公开网”（https://zxgk.court.gov.cn/）失信被执行人的供应商，不得为中国政府采购网（www.ccgp.gov.cn）政府采购严重违法失信行为记录名单中被财政部门禁止参加政府采购活动的供应商。以响应文件递交截止时间后网站查询结果为准</w:t>
            </w:r>
          </w:p>
        </w:tc>
        <w:tc>
          <w:tcPr>
            <w:tcW w:type="dxa" w:w="1661"/>
          </w:tcPr>
          <w:p>
            <w:pPr>
              <w:pStyle w:val="null3"/>
            </w:pPr>
            <w:r>
              <w:rPr>
                <w:rFonts w:ascii="仿宋_GB2312" w:hAnsi="仿宋_GB2312" w:cs="仿宋_GB2312" w:eastAsia="仿宋_GB2312"/>
              </w:rPr>
              <w:t>相关资格证明资料.docx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第一次磋商报价表.docx 费用组成明细表.docx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技术偏离表及商务主要条款响应偏差表.docx 相关资格证明资料.docx 第一次磋商报价表.docx 供应商认为有必要说明的其他事项（如有）.docx 费用组成明细表.docx 其他资料.docx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未出现磋商文件规定的无效响应情形</w:t>
            </w:r>
          </w:p>
        </w:tc>
        <w:tc>
          <w:tcPr>
            <w:tcW w:type="dxa" w:w="1661"/>
          </w:tcPr>
          <w:p>
            <w:pPr>
              <w:pStyle w:val="null3"/>
            </w:pPr>
            <w:r>
              <w:rPr>
                <w:rFonts w:ascii="仿宋_GB2312" w:hAnsi="仿宋_GB2312" w:cs="仿宋_GB2312" w:eastAsia="仿宋_GB2312"/>
              </w:rPr>
              <w:t>响应文件封面 技术偏离表及商务主要条款响应偏差表.docx 方案响应部分.docx 其他资料.docx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报价唯一，且没有高于采购预算或磋商文件规定的最高限价。 符合文件要求</w:t>
            </w:r>
          </w:p>
        </w:tc>
        <w:tc>
          <w:tcPr>
            <w:tcW w:type="dxa" w:w="1661"/>
          </w:tcPr>
          <w:p>
            <w:pPr>
              <w:pStyle w:val="null3"/>
            </w:pPr>
            <w:r>
              <w:rPr>
                <w:rFonts w:ascii="仿宋_GB2312" w:hAnsi="仿宋_GB2312" w:cs="仿宋_GB2312" w:eastAsia="仿宋_GB2312"/>
              </w:rPr>
              <w:t>响应文件封面 第一次磋商报价表.docx 费用组成明细表.docx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第一次磋商报价表.docx 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产品质量保证要求</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技术偏离表及商务主要条款响应偏差表.docx 方案响应部分.docx 响应文件封面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商务及合同条款响应性</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技术偏离表及商务主要条款响应偏差表.docx 方案响应部分.docx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服务指标评审</w:t>
            </w:r>
          </w:p>
        </w:tc>
        <w:tc>
          <w:tcPr>
            <w:tcW w:type="dxa" w:w="2492"/>
          </w:tcPr>
          <w:p>
            <w:pPr>
              <w:pStyle w:val="null3"/>
            </w:pPr>
            <w:r>
              <w:rPr>
                <w:rFonts w:ascii="仿宋_GB2312" w:hAnsi="仿宋_GB2312" w:cs="仿宋_GB2312" w:eastAsia="仿宋_GB2312"/>
              </w:rPr>
              <w:t>根据供应商提供的服务内容评审：完全响应且满足要求得26分。“▲”号技术参数一项不满足扣2分，非“▲”号技术指标参数一项不满足扣1分，扣完为止。 评审依据：“▲”号技术参数提供相应的证明文件（包括但不限于检测报告、厂家产品说明、承诺、截图等），无证明材料支持视为负偏离。</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技术偏离表及商务主要条款响应偏差表.docx</w:t>
            </w:r>
          </w:p>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完善的服务方案，包括但不限于：①对项目整体内容的理解、重点、难点分析及解决方案；②网络安全架构与边界防护服务（内网、公网边界安全防护、公网区域、内网区域重点防护、边界安全评估方案）③终端与服务器安全保障服务（业务终端、服务器、监测专用设备、网络设备等）；④云数据安全与信息保密保障服务方案；⑤日常安全监测与巡检服务方案；⑥应急响应与安全处置服务方案；⑦安全运维与技术支持服务方案；⑧安全培训与制度建设服务方案； 评审标准：方案各部分内容全面详细、阐述条理清晰详尽、符合本项目采购需求，能保障本项目实施得16分；评审内容每缺一项扣2分，每有一处缺陷扣1分，扣完为止。（评审内容中的缺陷是指:内容不完整或缺少关键点、脱离实际、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p>
            <w:pPr>
              <w:pStyle w:val="null3"/>
            </w:pPr>
            <w:r>
              <w:rPr>
                <w:rFonts w:ascii="仿宋_GB2312" w:hAnsi="仿宋_GB2312" w:cs="仿宋_GB2312" w:eastAsia="仿宋_GB2312"/>
              </w:rPr>
              <w:t>技术偏离表及商务主要条款响应偏差表.docx</w:t>
            </w:r>
          </w:p>
        </w:tc>
      </w:tr>
      <w:tr>
        <w:tc>
          <w:tcPr>
            <w:tcW w:type="dxa" w:w="831"/>
            <w:vMerge/>
          </w:tcPr>
          <w:p/>
        </w:tc>
        <w:tc>
          <w:tcPr>
            <w:tcW w:type="dxa" w:w="1661"/>
          </w:tcPr>
          <w:p>
            <w:pPr>
              <w:pStyle w:val="null3"/>
            </w:pPr>
            <w:r>
              <w:rPr>
                <w:rFonts w:ascii="仿宋_GB2312" w:hAnsi="仿宋_GB2312" w:cs="仿宋_GB2312" w:eastAsia="仿宋_GB2312"/>
              </w:rPr>
              <w:t>云安全巡检机制数据备份方案及质量保障</w:t>
            </w:r>
          </w:p>
        </w:tc>
        <w:tc>
          <w:tcPr>
            <w:tcW w:type="dxa" w:w="2492"/>
          </w:tcPr>
          <w:p>
            <w:pPr>
              <w:pStyle w:val="null3"/>
            </w:pPr>
            <w:r>
              <w:rPr>
                <w:rFonts w:ascii="仿宋_GB2312" w:hAnsi="仿宋_GB2312" w:cs="仿宋_GB2312" w:eastAsia="仿宋_GB2312"/>
              </w:rPr>
              <w:t>针对本项目提供完善的云安全巡检机制数据备份方案及质量保障：包括但不限于①日常巡检机制；②数据备份管理；③项目质量保障及安全保障措施；④维护服务工作资料保障措施。 评审标准：方案各部分内容全面详细、阐述条理清晰详尽、符合本项目采购需求，能保障本项目实施得8分；评审内容每缺一项扣2分，每有一处缺陷扣1分，扣完为止。（评审内容中的缺陷是指:内容不完整或缺少关键点、脱离实际、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技术偏离表及商务主要条款响应偏差表.docx</w:t>
            </w:r>
          </w:p>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进度安排方案及应急保障措施</w:t>
            </w:r>
          </w:p>
        </w:tc>
        <w:tc>
          <w:tcPr>
            <w:tcW w:type="dxa" w:w="2492"/>
          </w:tcPr>
          <w:p>
            <w:pPr>
              <w:pStyle w:val="null3"/>
            </w:pPr>
            <w:r>
              <w:rPr>
                <w:rFonts w:ascii="仿宋_GB2312" w:hAnsi="仿宋_GB2312" w:cs="仿宋_GB2312" w:eastAsia="仿宋_GB2312"/>
              </w:rPr>
              <w:t>针对本项目提供完善的进度安排方案及应急保障措施，包括但不限于：①项目进度安排及总体及各阶段时间节点控制方法；②工作进度保障措施；③应急预案及紧急故障处理流程；④设备故障解决及处理方案。 评审标准：方案各部分内容全面详细、阐述条理清晰详尽、符合本项目采购需求，能保障本项目实施得8分；评审内容每缺一项扣2分，每有一处缺陷扣1分，扣完为止。（评审内容中的缺陷是指:内容不完整或缺少关键点、脱离实际、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技术偏离表及商务主要条款响应偏差表.docx</w:t>
            </w:r>
          </w:p>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安全能力保障</w:t>
            </w:r>
          </w:p>
        </w:tc>
        <w:tc>
          <w:tcPr>
            <w:tcW w:type="dxa" w:w="2492"/>
          </w:tcPr>
          <w:p>
            <w:pPr>
              <w:pStyle w:val="null3"/>
            </w:pPr>
            <w:r>
              <w:rPr>
                <w:rFonts w:ascii="仿宋_GB2312" w:hAnsi="仿宋_GB2312" w:cs="仿宋_GB2312" w:eastAsia="仿宋_GB2312"/>
              </w:rPr>
              <w:t>为保障服务工具的有效性，供应商同时具备国家信息安全漏洞共享平台(CNVD)技术组成员和用户组成员资质，满足要求得3分，不提供的不得分。(提供相关证书复印件，并加盖供应商公章)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技术偏离表及商务主要条款响应偏差表.docx</w:t>
            </w:r>
          </w:p>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供应商提供针对本项目的拟派项目负责人信息，作为本项目的固定联络人员。须提供拟派项目负责人劳动合同，否则本评分项不予计分。 ①项目负责人应有3年及以上工作经验，提供项目负责人工作履历表予以佐证。 ②项目负责人具备相关专业副高级以上职称或CISP相关证书。提供证书予以佐证。 上述2项内容，每满足1项内容计2分，满分4分。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技术偏离表及商务主要条款响应偏差表.docx</w:t>
            </w:r>
          </w:p>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项目组成员（不包含项目负责人）： ①提供具有相关专业中级及以上技术职称证书，每提供1个得1分，最高得3分； ②提供CISSP、CISAW、CISP相关证书、信息安全管理工程师相关证书每提供1个得2分，最高得4分；（同一人员不重复计分）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技术偏离表及商务主要条款响应偏差表.docx</w:t>
            </w:r>
          </w:p>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服务承诺或合理化建议</w:t>
            </w:r>
          </w:p>
        </w:tc>
        <w:tc>
          <w:tcPr>
            <w:tcW w:type="dxa" w:w="2492"/>
          </w:tcPr>
          <w:p>
            <w:pPr>
              <w:pStyle w:val="null3"/>
            </w:pPr>
            <w:r>
              <w:rPr>
                <w:rFonts w:ascii="仿宋_GB2312" w:hAnsi="仿宋_GB2312" w:cs="仿宋_GB2312" w:eastAsia="仿宋_GB2312"/>
              </w:rPr>
              <w:t>供应商提供切合本项目实际情况，且有利于本项目实施的其他服务承诺或合理化建议，每提供1个服务承诺或合理化建议计1分，本项最多得2分。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技术偏离表及商务主要条款响应偏差表.docx</w:t>
            </w:r>
          </w:p>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供应商提供2023年7月1日至今类似服务业绩，提供1份业绩得1分；最多得6分。 注：以合同签订时间为准，并提供完整合同复印件加盖公章。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技术偏离表及商务主要条款响应偏差表.docx</w:t>
            </w:r>
          </w:p>
          <w:p>
            <w:pPr>
              <w:pStyle w:val="null3"/>
            </w:pPr>
            <w:r>
              <w:rPr>
                <w:rFonts w:ascii="仿宋_GB2312" w:hAnsi="仿宋_GB2312" w:cs="仿宋_GB2312" w:eastAsia="仿宋_GB2312"/>
              </w:rPr>
              <w:t>方案响应部分.docx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第一次磋商报价表.docx</w:t>
            </w:r>
          </w:p>
          <w:p>
            <w:pPr>
              <w:pStyle w:val="null3"/>
            </w:pPr>
            <w:r>
              <w:rPr>
                <w:rFonts w:ascii="仿宋_GB2312" w:hAnsi="仿宋_GB2312" w:cs="仿宋_GB2312" w:eastAsia="仿宋_GB2312"/>
              </w:rPr>
              <w:t>费用组成明细表.docx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满足磋商文件要求且最终报价最低的报价为评审基准价，其报价分为满分。其他供应商的报价分按以下公式计算：报价得分=(评审基准价／最终报价) ×20。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详见附件：第一次磋商报价表.docx</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详见附件：技术偏离表及商务主要条款响应偏差表.docx</w:t>
      </w:r>
    </w:p>
    <w:p>
      <w:pPr>
        <w:pStyle w:val="null3"/>
        <w:ind w:firstLine="960"/>
      </w:pPr>
      <w:r>
        <w:rPr>
          <w:rFonts w:ascii="仿宋_GB2312" w:hAnsi="仿宋_GB2312" w:cs="仿宋_GB2312" w:eastAsia="仿宋_GB2312"/>
        </w:rPr>
        <w:t>详见附件：相关资格证明资料.docx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详见附件：方案响应部分.docx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详见附件：供应商认为有必要说明的其他事项（如有）.docx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