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7E8836">
      <w:pPr>
        <w:spacing w:line="360" w:lineRule="auto"/>
        <w:rPr>
          <w:rFonts w:hint="eastAsia"/>
          <w:b/>
          <w:sz w:val="24"/>
        </w:rPr>
      </w:pPr>
      <w:bookmarkStart w:id="0" w:name="_Toc19188"/>
      <w:bookmarkStart w:id="1" w:name="_Toc11035"/>
      <w:bookmarkStart w:id="2" w:name="_Toc191876958"/>
      <w:r>
        <w:rPr>
          <w:rFonts w:hint="eastAsia"/>
          <w:b/>
          <w:sz w:val="24"/>
        </w:rPr>
        <w:t>政府采购合同格式</w:t>
      </w:r>
    </w:p>
    <w:p w14:paraId="4B3CC2F0">
      <w:pPr>
        <w:spacing w:line="360" w:lineRule="auto"/>
        <w:rPr>
          <w:sz w:val="22"/>
          <w:szCs w:val="18"/>
        </w:rPr>
      </w:pPr>
      <w:r>
        <w:rPr>
          <w:rFonts w:hint="eastAsia"/>
          <w:sz w:val="22"/>
          <w:szCs w:val="18"/>
        </w:rPr>
        <w:t>（本格式条款供甲方和中标单位双方签订合同参考，甲方可根据项目的实际情况增减条款和内容）</w:t>
      </w:r>
    </w:p>
    <w:bookmarkEnd w:id="0"/>
    <w:bookmarkEnd w:id="1"/>
    <w:bookmarkEnd w:id="2"/>
    <w:p w14:paraId="05FEA692">
      <w:pPr>
        <w:rPr>
          <w:rFonts w:hint="eastAsia" w:ascii="黑体" w:eastAsia="黑体"/>
          <w:b/>
          <w:sz w:val="32"/>
          <w:szCs w:val="32"/>
        </w:rPr>
      </w:pPr>
    </w:p>
    <w:p w14:paraId="6D3E0381">
      <w:pPr>
        <w:rPr>
          <w:rFonts w:hint="eastAsia" w:ascii="黑体" w:eastAsia="黑体"/>
          <w:b/>
          <w:sz w:val="32"/>
          <w:szCs w:val="32"/>
        </w:rPr>
      </w:pPr>
      <w:r>
        <w:rPr>
          <w:rFonts w:hint="eastAsia" w:ascii="黑体" w:eastAsia="黑体"/>
          <w:b/>
          <w:sz w:val="32"/>
          <w:szCs w:val="32"/>
        </w:rPr>
        <w:t>合同编号：</w:t>
      </w:r>
    </w:p>
    <w:p w14:paraId="1BF48EDC">
      <w:pPr>
        <w:jc w:val="center"/>
        <w:rPr>
          <w:rFonts w:hint="eastAsia" w:ascii="黑体" w:eastAsia="黑体"/>
          <w:sz w:val="52"/>
          <w:szCs w:val="52"/>
        </w:rPr>
      </w:pPr>
    </w:p>
    <w:p w14:paraId="07AA7FEE">
      <w:pPr>
        <w:jc w:val="center"/>
        <w:rPr>
          <w:rFonts w:hint="eastAsia" w:ascii="宋体" w:hAnsi="宋体" w:eastAsia="宋体"/>
          <w:b/>
          <w:sz w:val="48"/>
          <w:szCs w:val="48"/>
          <w:lang w:eastAsia="zh-CN"/>
        </w:rPr>
      </w:pPr>
      <w:r>
        <w:rPr>
          <w:rFonts w:hint="eastAsia" w:ascii="宋体" w:hAnsi="宋体"/>
          <w:b/>
          <w:sz w:val="48"/>
          <w:szCs w:val="48"/>
          <w:lang w:eastAsia="zh-CN"/>
        </w:rPr>
        <w:t>西安市第一医院</w:t>
      </w:r>
    </w:p>
    <w:p w14:paraId="3B3B27AD">
      <w:pPr>
        <w:jc w:val="center"/>
        <w:rPr>
          <w:rFonts w:hint="eastAsia" w:eastAsia="黑体"/>
          <w:b/>
          <w:spacing w:val="-20"/>
          <w:sz w:val="44"/>
          <w:szCs w:val="44"/>
        </w:rPr>
      </w:pPr>
      <w:r>
        <w:rPr>
          <w:rFonts w:hint="eastAsia" w:eastAsia="黑体"/>
          <w:b/>
          <w:spacing w:val="-20"/>
          <w:sz w:val="44"/>
          <w:szCs w:val="44"/>
          <w:lang w:eastAsia="zh-CN"/>
        </w:rPr>
        <w:t>云安全服务项目</w:t>
      </w:r>
    </w:p>
    <w:p w14:paraId="55411AE4">
      <w:pPr>
        <w:jc w:val="center"/>
        <w:rPr>
          <w:rFonts w:hint="eastAsia" w:ascii="黑体" w:eastAsia="黑体"/>
          <w:b/>
          <w:sz w:val="72"/>
          <w:szCs w:val="72"/>
        </w:rPr>
      </w:pPr>
    </w:p>
    <w:p w14:paraId="0A7D33C2">
      <w:pPr>
        <w:jc w:val="center"/>
        <w:rPr>
          <w:rFonts w:hint="eastAsia" w:ascii="黑体" w:eastAsia="黑体"/>
          <w:b/>
          <w:sz w:val="72"/>
          <w:szCs w:val="72"/>
        </w:rPr>
      </w:pPr>
      <w:r>
        <w:rPr>
          <w:rFonts w:hint="eastAsia" w:ascii="黑体" w:eastAsia="黑体"/>
          <w:b/>
          <w:sz w:val="72"/>
          <w:szCs w:val="72"/>
        </w:rPr>
        <w:t>服 务 合 同</w:t>
      </w:r>
    </w:p>
    <w:p w14:paraId="3ACCD8D2">
      <w:pPr>
        <w:jc w:val="center"/>
        <w:rPr>
          <w:rFonts w:hint="eastAsia" w:ascii="黑体" w:eastAsia="黑体"/>
          <w:sz w:val="30"/>
          <w:szCs w:val="30"/>
        </w:rPr>
      </w:pPr>
      <w:r>
        <w:rPr>
          <w:rFonts w:hint="eastAsia" w:ascii="黑体" w:eastAsia="黑体"/>
          <w:sz w:val="30"/>
          <w:szCs w:val="30"/>
        </w:rPr>
        <w:t>（项目编号：         ）</w:t>
      </w:r>
    </w:p>
    <w:p w14:paraId="46820BB0">
      <w:pPr>
        <w:jc w:val="center"/>
        <w:rPr>
          <w:rFonts w:hint="eastAsia" w:ascii="黑体" w:eastAsia="黑体"/>
          <w:sz w:val="30"/>
          <w:szCs w:val="30"/>
        </w:rPr>
      </w:pPr>
    </w:p>
    <w:p w14:paraId="6BE06A5A">
      <w:pPr>
        <w:jc w:val="both"/>
        <w:rPr>
          <w:rFonts w:hint="eastAsia" w:ascii="黑体" w:eastAsia="黑体"/>
          <w:sz w:val="28"/>
          <w:szCs w:val="28"/>
        </w:rPr>
      </w:pPr>
    </w:p>
    <w:p w14:paraId="35F80168">
      <w:pPr>
        <w:jc w:val="center"/>
        <w:rPr>
          <w:rFonts w:hint="eastAsia" w:ascii="黑体" w:eastAsia="黑体"/>
          <w:sz w:val="30"/>
          <w:szCs w:val="30"/>
        </w:rPr>
      </w:pPr>
    </w:p>
    <w:p w14:paraId="1B28B997">
      <w:pPr>
        <w:jc w:val="center"/>
        <w:rPr>
          <w:rFonts w:hint="eastAsia" w:ascii="黑体" w:eastAsia="黑体"/>
          <w:sz w:val="30"/>
          <w:szCs w:val="30"/>
        </w:rPr>
      </w:pPr>
    </w:p>
    <w:p w14:paraId="707DED2C">
      <w:pPr>
        <w:ind w:firstLine="2124" w:firstLineChars="664"/>
        <w:rPr>
          <w:rFonts w:hint="eastAsia" w:ascii="黑体" w:eastAsia="黑体"/>
          <w:sz w:val="32"/>
          <w:szCs w:val="32"/>
          <w:lang w:eastAsia="zh-CN"/>
        </w:rPr>
      </w:pPr>
      <w:r>
        <w:rPr>
          <w:rFonts w:hint="eastAsia" w:ascii="黑体" w:eastAsia="黑体"/>
          <w:sz w:val="32"/>
          <w:szCs w:val="32"/>
        </w:rPr>
        <w:t>甲  方：</w:t>
      </w:r>
      <w:r>
        <w:rPr>
          <w:rFonts w:hint="eastAsia" w:ascii="黑体" w:hAnsi="宋体" w:eastAsia="黑体"/>
          <w:sz w:val="32"/>
          <w:szCs w:val="32"/>
          <w:lang w:eastAsia="zh-CN"/>
        </w:rPr>
        <w:t>西安市第一医院</w:t>
      </w:r>
    </w:p>
    <w:p w14:paraId="416C6481">
      <w:pPr>
        <w:tabs>
          <w:tab w:val="left" w:pos="480"/>
        </w:tabs>
        <w:ind w:firstLine="2124" w:firstLineChars="664"/>
        <w:rPr>
          <w:rFonts w:hint="default" w:ascii="黑体" w:hAnsi="宋体" w:eastAsia="黑体"/>
          <w:sz w:val="32"/>
          <w:szCs w:val="32"/>
          <w:lang w:val="en-US" w:eastAsia="zh-CN"/>
        </w:rPr>
      </w:pPr>
      <w:r>
        <w:rPr>
          <w:rFonts w:hint="eastAsia" w:ascii="黑体" w:eastAsia="黑体"/>
          <w:sz w:val="32"/>
          <w:szCs w:val="32"/>
        </w:rPr>
        <w:t>乙  方：</w:t>
      </w:r>
      <w:r>
        <w:rPr>
          <w:rFonts w:hint="eastAsia" w:ascii="黑体" w:eastAsia="黑体"/>
          <w:sz w:val="32"/>
          <w:szCs w:val="32"/>
          <w:u w:val="single"/>
          <w:lang w:val="en-US" w:eastAsia="zh-CN"/>
        </w:rPr>
        <w:t xml:space="preserve">              </w:t>
      </w:r>
    </w:p>
    <w:p w14:paraId="06359BD3">
      <w:pPr>
        <w:jc w:val="center"/>
        <w:rPr>
          <w:rFonts w:hint="eastAsia" w:ascii="黑体" w:eastAsia="黑体"/>
          <w:sz w:val="30"/>
          <w:szCs w:val="30"/>
        </w:rPr>
      </w:pPr>
    </w:p>
    <w:p w14:paraId="45C81A64">
      <w:pPr>
        <w:jc w:val="center"/>
        <w:rPr>
          <w:rFonts w:hint="eastAsia" w:ascii="黑体" w:eastAsia="黑体"/>
          <w:sz w:val="32"/>
          <w:szCs w:val="32"/>
        </w:rPr>
      </w:pPr>
      <w:r>
        <w:rPr>
          <w:rFonts w:hint="eastAsia" w:ascii="黑体" w:eastAsia="黑体"/>
          <w:sz w:val="32"/>
          <w:szCs w:val="32"/>
        </w:rPr>
        <w:t>202</w:t>
      </w:r>
      <w:r>
        <w:rPr>
          <w:rFonts w:hint="eastAsia" w:ascii="黑体" w:eastAsia="黑体"/>
          <w:sz w:val="32"/>
          <w:szCs w:val="32"/>
          <w:lang w:val="en-US" w:eastAsia="zh-CN"/>
        </w:rPr>
        <w:t>6</w:t>
      </w:r>
      <w:r>
        <w:rPr>
          <w:rFonts w:hint="eastAsia" w:ascii="黑体" w:eastAsia="黑体"/>
          <w:sz w:val="32"/>
          <w:szCs w:val="32"/>
        </w:rPr>
        <w:t>年   月</w:t>
      </w:r>
    </w:p>
    <w:p w14:paraId="10C8A85D">
      <w:pPr>
        <w:rPr>
          <w:rFonts w:hint="eastAsia" w:ascii="黑体" w:eastAsia="黑体"/>
          <w:b/>
          <w:sz w:val="32"/>
          <w:szCs w:val="32"/>
        </w:rPr>
      </w:pPr>
      <w:r>
        <w:rPr>
          <w:rFonts w:hint="eastAsia" w:ascii="黑体" w:eastAsia="黑体"/>
          <w:b/>
          <w:sz w:val="32"/>
          <w:szCs w:val="32"/>
        </w:rPr>
        <w:br w:type="page"/>
      </w:r>
    </w:p>
    <w:p w14:paraId="6B960021">
      <w:pPr>
        <w:jc w:val="center"/>
        <w:rPr>
          <w:rFonts w:hint="eastAsia" w:ascii="黑体" w:eastAsia="黑体"/>
          <w:b/>
          <w:sz w:val="32"/>
          <w:szCs w:val="32"/>
        </w:rPr>
      </w:pPr>
      <w:r>
        <w:rPr>
          <w:rFonts w:hint="eastAsia" w:ascii="黑体" w:eastAsia="黑体"/>
          <w:b/>
          <w:sz w:val="32"/>
          <w:szCs w:val="32"/>
        </w:rPr>
        <w:t>服 务 合 同</w:t>
      </w:r>
    </w:p>
    <w:p w14:paraId="48A6B4A2">
      <w:pPr>
        <w:keepNext w:val="0"/>
        <w:keepLines w:val="0"/>
        <w:pageBreakBefore w:val="0"/>
        <w:widowControl/>
        <w:kinsoku/>
        <w:wordWrap/>
        <w:overflowPunct/>
        <w:topLinePunct w:val="0"/>
        <w:autoSpaceDE w:val="0"/>
        <w:autoSpaceDN w:val="0"/>
        <w:bidi w:val="0"/>
        <w:adjustRightInd w:val="0"/>
        <w:snapToGrid w:val="0"/>
        <w:spacing w:line="360" w:lineRule="auto"/>
        <w:ind w:right="0"/>
        <w:jc w:val="left"/>
        <w:textAlignment w:val="baseline"/>
        <w:rPr>
          <w:rFonts w:hint="eastAsia" w:ascii="宋体" w:hAnsi="宋体" w:eastAsia="宋体" w:cs="宋体"/>
          <w:sz w:val="24"/>
          <w:szCs w:val="24"/>
          <w:highlight w:val="none"/>
        </w:rPr>
      </w:pPr>
    </w:p>
    <w:p w14:paraId="4C9FEB3E">
      <w:pPr>
        <w:keepNext w:val="0"/>
        <w:keepLines w:val="0"/>
        <w:pageBreakBefore w:val="0"/>
        <w:kinsoku/>
        <w:wordWrap/>
        <w:overflowPunct/>
        <w:bidi w:val="0"/>
        <w:snapToGrid/>
        <w:spacing w:line="360" w:lineRule="auto"/>
        <w:textAlignment w:val="auto"/>
        <w:rPr>
          <w:rFonts w:hint="eastAsia" w:ascii="仿宋" w:hAnsi="仿宋" w:eastAsia="仿宋" w:cs="仿宋"/>
          <w:b/>
          <w:color w:val="auto"/>
          <w:sz w:val="20"/>
          <w:szCs w:val="20"/>
        </w:rPr>
      </w:pPr>
      <w:r>
        <w:rPr>
          <w:rFonts w:hint="eastAsia" w:ascii="仿宋" w:hAnsi="仿宋" w:eastAsia="仿宋" w:cs="仿宋"/>
          <w:bCs/>
          <w:color w:val="auto"/>
          <w:sz w:val="20"/>
          <w:szCs w:val="20"/>
        </w:rPr>
        <w:t>合同编号：</w:t>
      </w:r>
    </w:p>
    <w:p w14:paraId="2E1094AC">
      <w:pPr>
        <w:keepNext w:val="0"/>
        <w:keepLines w:val="0"/>
        <w:pageBreakBefore w:val="0"/>
        <w:kinsoku/>
        <w:wordWrap/>
        <w:overflowPunct/>
        <w:bidi w:val="0"/>
        <w:snapToGrid/>
        <w:spacing w:line="360" w:lineRule="auto"/>
        <w:textAlignment w:val="auto"/>
        <w:rPr>
          <w:rFonts w:hint="eastAsia" w:ascii="仿宋" w:hAnsi="仿宋" w:eastAsia="仿宋" w:cs="仿宋"/>
          <w:bCs/>
          <w:color w:val="auto"/>
          <w:sz w:val="20"/>
          <w:szCs w:val="20"/>
        </w:rPr>
      </w:pPr>
      <w:r>
        <w:rPr>
          <w:rFonts w:hint="eastAsia" w:ascii="仿宋" w:hAnsi="仿宋" w:eastAsia="仿宋" w:cs="仿宋"/>
          <w:bCs/>
          <w:color w:val="auto"/>
          <w:sz w:val="20"/>
          <w:szCs w:val="20"/>
        </w:rPr>
        <w:t>签订地点：西安市第一医院</w:t>
      </w:r>
    </w:p>
    <w:p w14:paraId="4D245A95">
      <w:pPr>
        <w:keepNext w:val="0"/>
        <w:keepLines w:val="0"/>
        <w:pageBreakBefore w:val="0"/>
        <w:kinsoku/>
        <w:wordWrap/>
        <w:overflowPunct/>
        <w:bidi w:val="0"/>
        <w:snapToGrid/>
        <w:spacing w:line="360" w:lineRule="auto"/>
        <w:textAlignment w:val="auto"/>
        <w:rPr>
          <w:rFonts w:hint="eastAsia" w:ascii="仿宋" w:hAnsi="仿宋" w:eastAsia="仿宋" w:cs="仿宋"/>
          <w:bCs/>
          <w:color w:val="auto"/>
          <w:sz w:val="20"/>
          <w:szCs w:val="20"/>
        </w:rPr>
      </w:pPr>
      <w:r>
        <w:rPr>
          <w:rFonts w:hint="eastAsia" w:ascii="仿宋" w:hAnsi="仿宋" w:eastAsia="仿宋" w:cs="仿宋"/>
          <w:bCs/>
          <w:color w:val="auto"/>
          <w:sz w:val="20"/>
          <w:szCs w:val="20"/>
        </w:rPr>
        <w:t>甲方：</w:t>
      </w:r>
      <w:r>
        <w:rPr>
          <w:rFonts w:hint="eastAsia" w:ascii="仿宋" w:hAnsi="仿宋" w:eastAsia="仿宋" w:cs="仿宋"/>
          <w:bCs/>
          <w:color w:val="auto"/>
          <w:sz w:val="20"/>
          <w:szCs w:val="20"/>
          <w:u w:val="single"/>
        </w:rPr>
        <w:t>西安市第一医院</w:t>
      </w:r>
    </w:p>
    <w:p w14:paraId="06B3E6A4">
      <w:pPr>
        <w:keepNext w:val="0"/>
        <w:keepLines w:val="0"/>
        <w:pageBreakBefore w:val="0"/>
        <w:kinsoku/>
        <w:wordWrap/>
        <w:overflowPunct/>
        <w:bidi w:val="0"/>
        <w:snapToGrid/>
        <w:spacing w:line="360" w:lineRule="auto"/>
        <w:textAlignment w:val="auto"/>
        <w:rPr>
          <w:rFonts w:hint="default" w:ascii="仿宋" w:hAnsi="仿宋" w:eastAsia="仿宋" w:cs="仿宋"/>
          <w:bCs/>
          <w:color w:val="auto"/>
          <w:sz w:val="20"/>
          <w:szCs w:val="20"/>
          <w:lang w:val="en-US" w:eastAsia="zh-CN"/>
        </w:rPr>
      </w:pPr>
      <w:r>
        <w:rPr>
          <w:rFonts w:hint="eastAsia" w:ascii="仿宋" w:hAnsi="仿宋" w:eastAsia="仿宋" w:cs="仿宋"/>
          <w:bCs/>
          <w:color w:val="auto"/>
          <w:sz w:val="20"/>
          <w:szCs w:val="20"/>
        </w:rPr>
        <w:t>乙方：</w:t>
      </w:r>
      <w:r>
        <w:rPr>
          <w:rFonts w:hint="eastAsia" w:ascii="仿宋" w:hAnsi="仿宋" w:eastAsia="仿宋" w:cs="仿宋"/>
          <w:bCs/>
          <w:color w:val="auto"/>
          <w:sz w:val="20"/>
          <w:szCs w:val="20"/>
          <w:u w:val="single"/>
          <w:lang w:val="en-US" w:eastAsia="zh-CN"/>
        </w:rPr>
        <w:t xml:space="preserve">             </w:t>
      </w:r>
    </w:p>
    <w:p w14:paraId="5D9A3D7D">
      <w:pPr>
        <w:keepNext w:val="0"/>
        <w:keepLines w:val="0"/>
        <w:pageBreakBefore w:val="0"/>
        <w:kinsoku/>
        <w:wordWrap/>
        <w:overflowPunct/>
        <w:topLinePunct/>
        <w:bidi w:val="0"/>
        <w:snapToGrid/>
        <w:spacing w:line="360" w:lineRule="auto"/>
        <w:ind w:firstLine="400" w:firstLineChars="200"/>
        <w:textAlignment w:val="auto"/>
        <w:rPr>
          <w:rFonts w:hint="eastAsia" w:ascii="仿宋" w:hAnsi="仿宋" w:eastAsia="仿宋" w:cs="仿宋"/>
          <w:color w:val="auto"/>
          <w:kern w:val="0"/>
          <w:sz w:val="20"/>
          <w:szCs w:val="20"/>
        </w:rPr>
      </w:pPr>
      <w:r>
        <w:rPr>
          <w:rFonts w:hint="eastAsia" w:ascii="仿宋" w:hAnsi="仿宋" w:eastAsia="仿宋" w:cs="仿宋"/>
          <w:color w:val="auto"/>
          <w:sz w:val="20"/>
          <w:szCs w:val="20"/>
        </w:rPr>
        <w:t>由</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rPr>
        <w:t>组织采购的项目名称</w:t>
      </w:r>
      <w:r>
        <w:rPr>
          <w:rFonts w:hint="eastAsia" w:ascii="仿宋" w:hAnsi="仿宋" w:eastAsia="仿宋" w:cs="仿宋"/>
          <w:color w:val="auto"/>
          <w:sz w:val="20"/>
          <w:szCs w:val="20"/>
          <w:u w:val="single"/>
        </w:rPr>
        <w:t>：</w:t>
      </w:r>
      <w:r>
        <w:rPr>
          <w:rFonts w:hint="eastAsia" w:ascii="仿宋" w:hAnsi="仿宋" w:eastAsia="仿宋" w:cs="仿宋"/>
          <w:color w:val="auto"/>
          <w:sz w:val="20"/>
          <w:szCs w:val="20"/>
          <w:u w:val="single"/>
          <w:lang w:val="en-US" w:eastAsia="zh-CN"/>
        </w:rPr>
        <w:t xml:space="preserve">西安市第一医院云安全服务项目 </w:t>
      </w:r>
      <w:r>
        <w:rPr>
          <w:rFonts w:hint="eastAsia" w:ascii="仿宋" w:hAnsi="仿宋" w:eastAsia="仿宋" w:cs="仿宋"/>
          <w:color w:val="auto"/>
          <w:sz w:val="20"/>
          <w:szCs w:val="20"/>
        </w:rPr>
        <w:t>的项目，由评标委员会评定</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bCs/>
          <w:color w:val="auto"/>
          <w:sz w:val="20"/>
          <w:szCs w:val="20"/>
        </w:rPr>
        <w:t>公司</w:t>
      </w:r>
      <w:r>
        <w:rPr>
          <w:rFonts w:hint="eastAsia" w:ascii="仿宋" w:hAnsi="仿宋" w:eastAsia="仿宋" w:cs="仿宋"/>
          <w:color w:val="auto"/>
          <w:sz w:val="20"/>
          <w:szCs w:val="20"/>
        </w:rPr>
        <w:t>为成交供应商。</w:t>
      </w:r>
      <w:r>
        <w:rPr>
          <w:rFonts w:hint="eastAsia" w:ascii="仿宋" w:hAnsi="仿宋" w:eastAsia="仿宋" w:cs="仿宋"/>
          <w:color w:val="auto"/>
          <w:kern w:val="0"/>
          <w:sz w:val="20"/>
          <w:szCs w:val="20"/>
        </w:rPr>
        <w:t>依据《中</w:t>
      </w:r>
      <w:r>
        <w:rPr>
          <w:rFonts w:hint="eastAsia" w:ascii="仿宋" w:hAnsi="仿宋" w:eastAsia="仿宋" w:cs="仿宋"/>
          <w:color w:val="auto"/>
          <w:sz w:val="20"/>
          <w:szCs w:val="20"/>
        </w:rPr>
        <w:t>华人民共和国民法典》的规定，甲乙双方一致同意按以下条款订立《</w:t>
      </w:r>
      <w:r>
        <w:rPr>
          <w:rFonts w:hint="eastAsia" w:ascii="仿宋" w:hAnsi="仿宋" w:eastAsia="仿宋" w:cs="仿宋"/>
          <w:color w:val="auto"/>
          <w:sz w:val="20"/>
          <w:szCs w:val="20"/>
          <w:lang w:val="en-US" w:eastAsia="zh-CN"/>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none"/>
          <w:lang w:val="en-US" w:eastAsia="zh-CN"/>
        </w:rPr>
        <w:t>服务</w:t>
      </w:r>
      <w:r>
        <w:rPr>
          <w:rFonts w:hint="eastAsia" w:ascii="仿宋" w:hAnsi="仿宋" w:eastAsia="仿宋" w:cs="仿宋"/>
          <w:color w:val="auto"/>
          <w:sz w:val="20"/>
          <w:szCs w:val="20"/>
        </w:rPr>
        <w:t>合同</w:t>
      </w:r>
      <w:r>
        <w:rPr>
          <w:rFonts w:hint="eastAsia" w:ascii="仿宋" w:hAnsi="仿宋" w:eastAsia="仿宋" w:cs="仿宋"/>
          <w:color w:val="auto"/>
          <w:kern w:val="0"/>
          <w:sz w:val="20"/>
          <w:szCs w:val="20"/>
        </w:rPr>
        <w:t>》（以下简称“本合同”）。</w:t>
      </w:r>
    </w:p>
    <w:p w14:paraId="0879B046">
      <w:pPr>
        <w:pStyle w:val="2"/>
        <w:keepNext w:val="0"/>
        <w:keepLines w:val="0"/>
        <w:pageBreakBefore w:val="0"/>
        <w:numPr>
          <w:ilvl w:val="0"/>
          <w:numId w:val="0"/>
        </w:numPr>
        <w:kinsoku/>
        <w:wordWrap/>
        <w:overflowPunct/>
        <w:topLinePunct/>
        <w:bidi w:val="0"/>
        <w:snapToGrid/>
        <w:spacing w:line="360" w:lineRule="auto"/>
        <w:textAlignment w:val="auto"/>
        <w:rPr>
          <w:rFonts w:hint="eastAsia" w:ascii="仿宋" w:hAnsi="仿宋" w:eastAsia="仿宋" w:cs="仿宋"/>
          <w:color w:val="auto"/>
          <w:kern w:val="0"/>
          <w:sz w:val="20"/>
          <w:szCs w:val="20"/>
        </w:rPr>
      </w:pPr>
      <w:bookmarkStart w:id="3" w:name="_Toc363115682"/>
      <w:r>
        <w:rPr>
          <w:rFonts w:hint="eastAsia" w:ascii="仿宋" w:hAnsi="仿宋" w:eastAsia="仿宋" w:cs="仿宋"/>
          <w:color w:val="auto"/>
          <w:kern w:val="0"/>
          <w:sz w:val="20"/>
          <w:szCs w:val="20"/>
        </w:rPr>
        <w:t>第一条  合同项目</w:t>
      </w:r>
      <w:bookmarkEnd w:id="3"/>
      <w:r>
        <w:rPr>
          <w:rFonts w:hint="eastAsia" w:ascii="仿宋" w:hAnsi="仿宋" w:eastAsia="仿宋" w:cs="仿宋"/>
          <w:color w:val="auto"/>
          <w:kern w:val="0"/>
          <w:sz w:val="20"/>
          <w:szCs w:val="20"/>
        </w:rPr>
        <w:t>及服务范围</w:t>
      </w:r>
    </w:p>
    <w:p w14:paraId="3F6C3536">
      <w:pPr>
        <w:keepNext w:val="0"/>
        <w:keepLines w:val="0"/>
        <w:pageBreakBefore w:val="0"/>
        <w:kinsoku/>
        <w:wordWrap/>
        <w:overflowPunct/>
        <w:bidi w:val="0"/>
        <w:snapToGrid/>
        <w:spacing w:line="360" w:lineRule="auto"/>
        <w:ind w:firstLine="400" w:firstLineChars="200"/>
        <w:textAlignment w:val="auto"/>
        <w:rPr>
          <w:rFonts w:hint="eastAsia" w:ascii="仿宋" w:hAnsi="仿宋" w:eastAsia="仿宋" w:cs="仿宋"/>
          <w:color w:val="auto"/>
          <w:sz w:val="20"/>
          <w:szCs w:val="20"/>
        </w:rPr>
      </w:pPr>
      <w:r>
        <w:rPr>
          <w:rFonts w:hint="eastAsia" w:ascii="仿宋" w:hAnsi="仿宋" w:eastAsia="仿宋" w:cs="仿宋"/>
          <w:color w:val="auto"/>
          <w:kern w:val="0"/>
          <w:sz w:val="20"/>
          <w:szCs w:val="20"/>
        </w:rPr>
        <w:t>经甲乙双方友好协商，按本合同之约定由乙方向甲方提供服务。服务范围为</w:t>
      </w:r>
      <w:bookmarkStart w:id="4" w:name="_Toc363041984"/>
      <w:bookmarkStart w:id="5" w:name="_Toc363115683"/>
      <w:bookmarkStart w:id="6" w:name="_Toc363041850"/>
      <w:bookmarkStart w:id="7" w:name="_Toc363042007"/>
      <w:bookmarkStart w:id="8" w:name="_Toc363041268"/>
      <w:r>
        <w:rPr>
          <w:rFonts w:hint="eastAsia" w:ascii="仿宋" w:hAnsi="仿宋" w:eastAsia="仿宋" w:cs="仿宋"/>
          <w:color w:val="auto"/>
          <w:kern w:val="0"/>
          <w:sz w:val="20"/>
          <w:szCs w:val="20"/>
          <w:lang w:eastAsia="zh-CN"/>
        </w:rPr>
        <w:t>：</w:t>
      </w:r>
      <w:r>
        <w:rPr>
          <w:rFonts w:hint="eastAsia" w:ascii="仿宋" w:hAnsi="仿宋" w:eastAsia="仿宋" w:cs="仿宋"/>
          <w:color w:val="auto"/>
          <w:kern w:val="0"/>
          <w:sz w:val="20"/>
          <w:szCs w:val="20"/>
          <w:lang w:val="en-US" w:eastAsia="zh-CN"/>
        </w:rPr>
        <w:t xml:space="preserve"> </w:t>
      </w:r>
      <w:r>
        <w:rPr>
          <w:rFonts w:hint="eastAsia" w:ascii="仿宋" w:hAnsi="仿宋" w:eastAsia="仿宋" w:cs="仿宋"/>
          <w:color w:val="auto"/>
          <w:kern w:val="0"/>
          <w:sz w:val="20"/>
          <w:szCs w:val="20"/>
          <w:u w:val="single"/>
          <w:lang w:val="en-US" w:eastAsia="zh-CN"/>
        </w:rPr>
        <w:t xml:space="preserve">        </w:t>
      </w:r>
      <w:r>
        <w:rPr>
          <w:rFonts w:hint="eastAsia" w:ascii="仿宋" w:hAnsi="仿宋" w:eastAsia="仿宋" w:cs="仿宋"/>
          <w:color w:val="auto"/>
          <w:sz w:val="20"/>
          <w:szCs w:val="20"/>
          <w:u w:val="single"/>
          <w:lang w:val="en-US" w:eastAsia="zh-CN"/>
        </w:rPr>
        <w:t>服务</w:t>
      </w:r>
      <w:r>
        <w:rPr>
          <w:rFonts w:hint="eastAsia" w:ascii="仿宋" w:hAnsi="仿宋" w:eastAsia="仿宋" w:cs="仿宋"/>
          <w:color w:val="auto"/>
          <w:sz w:val="20"/>
          <w:szCs w:val="20"/>
        </w:rPr>
        <w:t>。</w:t>
      </w:r>
    </w:p>
    <w:p w14:paraId="35423E69">
      <w:pPr>
        <w:pStyle w:val="2"/>
        <w:keepNext w:val="0"/>
        <w:keepLines w:val="0"/>
        <w:pageBreakBefore w:val="0"/>
        <w:numPr>
          <w:ilvl w:val="0"/>
          <w:numId w:val="0"/>
        </w:numPr>
        <w:kinsoku/>
        <w:wordWrap/>
        <w:overflowPunct/>
        <w:topLinePunct/>
        <w:bidi w:val="0"/>
        <w:snapToGrid/>
        <w:spacing w:line="360" w:lineRule="auto"/>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第二条  合同金额</w:t>
      </w:r>
      <w:bookmarkEnd w:id="4"/>
      <w:bookmarkEnd w:id="5"/>
      <w:bookmarkEnd w:id="6"/>
      <w:bookmarkEnd w:id="7"/>
      <w:bookmarkEnd w:id="8"/>
      <w:bookmarkStart w:id="9" w:name="_Toc363115684"/>
      <w:r>
        <w:rPr>
          <w:rFonts w:hint="eastAsia" w:ascii="仿宋" w:hAnsi="仿宋" w:eastAsia="仿宋" w:cs="仿宋"/>
          <w:color w:val="auto"/>
          <w:kern w:val="0"/>
          <w:sz w:val="20"/>
          <w:szCs w:val="20"/>
        </w:rPr>
        <w:t>及期限</w:t>
      </w:r>
      <w:bookmarkEnd w:id="9"/>
    </w:p>
    <w:p w14:paraId="4960FF96">
      <w:pPr>
        <w:keepNext w:val="0"/>
        <w:keepLines w:val="0"/>
        <w:pageBreakBefore w:val="0"/>
        <w:kinsoku/>
        <w:wordWrap/>
        <w:overflowPunct/>
        <w:topLinePunct/>
        <w:bidi w:val="0"/>
        <w:snapToGrid/>
        <w:spacing w:line="360" w:lineRule="auto"/>
        <w:ind w:firstLine="400" w:firstLineChars="200"/>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本合同的服务费为人民币大写</w:t>
      </w:r>
      <w:r>
        <w:rPr>
          <w:rFonts w:hint="eastAsia" w:ascii="仿宋" w:hAnsi="仿宋" w:eastAsia="仿宋" w:cs="仿宋"/>
          <w:color w:val="auto"/>
          <w:kern w:val="0"/>
          <w:sz w:val="20"/>
          <w:szCs w:val="20"/>
          <w:u w:val="single"/>
          <w:lang w:val="en-US" w:eastAsia="zh-CN"/>
        </w:rPr>
        <w:t xml:space="preserve">        </w:t>
      </w:r>
      <w:r>
        <w:rPr>
          <w:rFonts w:hint="eastAsia" w:ascii="仿宋" w:hAnsi="仿宋" w:eastAsia="仿宋" w:cs="仿宋"/>
          <w:color w:val="auto"/>
          <w:kern w:val="0"/>
          <w:sz w:val="20"/>
          <w:szCs w:val="20"/>
        </w:rPr>
        <w:t>元整（</w:t>
      </w:r>
      <w:r>
        <w:rPr>
          <w:rFonts w:hint="eastAsia" w:ascii="仿宋" w:hAnsi="仿宋" w:eastAsia="仿宋" w:cs="仿宋"/>
          <w:color w:val="auto"/>
          <w:kern w:val="0"/>
          <w:sz w:val="20"/>
          <w:szCs w:val="20"/>
          <w:u w:val="single"/>
        </w:rPr>
        <w:t>¥00.00</w:t>
      </w:r>
      <w:r>
        <w:rPr>
          <w:rFonts w:hint="eastAsia" w:ascii="仿宋" w:hAnsi="仿宋" w:eastAsia="仿宋" w:cs="仿宋"/>
          <w:color w:val="auto"/>
          <w:kern w:val="0"/>
          <w:sz w:val="20"/>
          <w:szCs w:val="20"/>
        </w:rPr>
        <w:t>）。服务期限：自</w:t>
      </w:r>
      <w:r>
        <w:rPr>
          <w:rFonts w:hint="eastAsia" w:ascii="仿宋" w:hAnsi="仿宋" w:eastAsia="仿宋" w:cs="仿宋"/>
          <w:color w:val="auto"/>
          <w:kern w:val="0"/>
          <w:sz w:val="20"/>
          <w:szCs w:val="20"/>
          <w:u w:val="single"/>
        </w:rPr>
        <w:t xml:space="preserve">     </w:t>
      </w:r>
      <w:r>
        <w:rPr>
          <w:rFonts w:hint="eastAsia" w:ascii="仿宋" w:hAnsi="仿宋" w:eastAsia="仿宋" w:cs="仿宋"/>
          <w:color w:val="auto"/>
          <w:kern w:val="0"/>
          <w:sz w:val="20"/>
          <w:szCs w:val="20"/>
        </w:rPr>
        <w:t>年</w:t>
      </w:r>
      <w:r>
        <w:rPr>
          <w:rFonts w:hint="eastAsia" w:ascii="仿宋" w:hAnsi="仿宋" w:eastAsia="仿宋" w:cs="仿宋"/>
          <w:color w:val="auto"/>
          <w:kern w:val="0"/>
          <w:sz w:val="20"/>
          <w:szCs w:val="20"/>
          <w:u w:val="single"/>
        </w:rPr>
        <w:t xml:space="preserve">     </w:t>
      </w:r>
      <w:r>
        <w:rPr>
          <w:rFonts w:hint="eastAsia" w:ascii="仿宋" w:hAnsi="仿宋" w:eastAsia="仿宋" w:cs="仿宋"/>
          <w:color w:val="auto"/>
          <w:kern w:val="0"/>
          <w:sz w:val="20"/>
          <w:szCs w:val="20"/>
        </w:rPr>
        <w:t>月</w:t>
      </w:r>
      <w:r>
        <w:rPr>
          <w:rFonts w:hint="eastAsia" w:ascii="仿宋" w:hAnsi="仿宋" w:eastAsia="仿宋" w:cs="仿宋"/>
          <w:color w:val="auto"/>
          <w:kern w:val="0"/>
          <w:sz w:val="20"/>
          <w:szCs w:val="20"/>
          <w:u w:val="single"/>
        </w:rPr>
        <w:t xml:space="preserve">     </w:t>
      </w:r>
      <w:r>
        <w:rPr>
          <w:rFonts w:hint="eastAsia" w:ascii="仿宋" w:hAnsi="仿宋" w:eastAsia="仿宋" w:cs="仿宋"/>
          <w:color w:val="auto"/>
          <w:kern w:val="0"/>
          <w:sz w:val="20"/>
          <w:szCs w:val="20"/>
        </w:rPr>
        <w:t>日至</w:t>
      </w:r>
      <w:r>
        <w:rPr>
          <w:rFonts w:hint="eastAsia" w:ascii="仿宋" w:hAnsi="仿宋" w:eastAsia="仿宋" w:cs="仿宋"/>
          <w:color w:val="auto"/>
          <w:kern w:val="0"/>
          <w:sz w:val="20"/>
          <w:szCs w:val="20"/>
          <w:u w:val="single"/>
        </w:rPr>
        <w:t xml:space="preserve">      </w:t>
      </w:r>
      <w:r>
        <w:rPr>
          <w:rFonts w:hint="eastAsia" w:ascii="仿宋" w:hAnsi="仿宋" w:eastAsia="仿宋" w:cs="仿宋"/>
          <w:color w:val="auto"/>
          <w:kern w:val="0"/>
          <w:sz w:val="20"/>
          <w:szCs w:val="20"/>
        </w:rPr>
        <w:t>年</w:t>
      </w:r>
      <w:r>
        <w:rPr>
          <w:rFonts w:hint="eastAsia" w:ascii="仿宋" w:hAnsi="仿宋" w:eastAsia="仿宋" w:cs="仿宋"/>
          <w:color w:val="auto"/>
          <w:kern w:val="0"/>
          <w:sz w:val="20"/>
          <w:szCs w:val="20"/>
          <w:u w:val="single"/>
        </w:rPr>
        <w:t xml:space="preserve">    </w:t>
      </w:r>
      <w:r>
        <w:rPr>
          <w:rFonts w:hint="eastAsia" w:ascii="仿宋" w:hAnsi="仿宋" w:eastAsia="仿宋" w:cs="仿宋"/>
          <w:color w:val="auto"/>
          <w:kern w:val="0"/>
          <w:sz w:val="20"/>
          <w:szCs w:val="20"/>
        </w:rPr>
        <w:t>月</w:t>
      </w:r>
      <w:r>
        <w:rPr>
          <w:rFonts w:hint="eastAsia" w:ascii="仿宋" w:hAnsi="仿宋" w:eastAsia="仿宋" w:cs="仿宋"/>
          <w:color w:val="auto"/>
          <w:kern w:val="0"/>
          <w:sz w:val="20"/>
          <w:szCs w:val="20"/>
          <w:u w:val="single"/>
        </w:rPr>
        <w:t xml:space="preserve">     </w:t>
      </w:r>
      <w:r>
        <w:rPr>
          <w:rFonts w:hint="eastAsia" w:ascii="仿宋" w:hAnsi="仿宋" w:eastAsia="仿宋" w:cs="仿宋"/>
          <w:color w:val="auto"/>
          <w:kern w:val="0"/>
          <w:sz w:val="20"/>
          <w:szCs w:val="20"/>
        </w:rPr>
        <w:t>日止。</w:t>
      </w:r>
    </w:p>
    <w:p w14:paraId="2939F53C">
      <w:pPr>
        <w:pStyle w:val="2"/>
        <w:keepNext w:val="0"/>
        <w:keepLines w:val="0"/>
        <w:pageBreakBefore w:val="0"/>
        <w:numPr>
          <w:ilvl w:val="0"/>
          <w:numId w:val="0"/>
        </w:numPr>
        <w:kinsoku/>
        <w:wordWrap/>
        <w:overflowPunct/>
        <w:topLinePunct/>
        <w:bidi w:val="0"/>
        <w:snapToGrid/>
        <w:spacing w:line="360" w:lineRule="auto"/>
        <w:textAlignment w:val="auto"/>
        <w:rPr>
          <w:rFonts w:hint="eastAsia" w:ascii="仿宋" w:hAnsi="仿宋" w:eastAsia="仿宋" w:cs="仿宋"/>
          <w:color w:val="auto"/>
          <w:kern w:val="0"/>
          <w:sz w:val="20"/>
          <w:szCs w:val="20"/>
          <w:highlight w:val="none"/>
        </w:rPr>
      </w:pPr>
      <w:bookmarkStart w:id="10" w:name="_Toc363115685"/>
      <w:r>
        <w:rPr>
          <w:rFonts w:hint="eastAsia" w:ascii="仿宋" w:hAnsi="仿宋" w:eastAsia="仿宋" w:cs="仿宋"/>
          <w:color w:val="auto"/>
          <w:kern w:val="0"/>
          <w:sz w:val="20"/>
          <w:szCs w:val="20"/>
        </w:rPr>
        <w:t>第三条  付款方式</w:t>
      </w:r>
      <w:bookmarkEnd w:id="10"/>
      <w:bookmarkStart w:id="15" w:name="_GoBack"/>
    </w:p>
    <w:p w14:paraId="3836C30D">
      <w:pPr>
        <w:keepNext w:val="0"/>
        <w:keepLines w:val="0"/>
        <w:pageBreakBefore w:val="0"/>
        <w:kinsoku/>
        <w:wordWrap/>
        <w:overflowPunct/>
        <w:bidi w:val="0"/>
        <w:snapToGrid/>
        <w:spacing w:line="360" w:lineRule="auto"/>
        <w:ind w:firstLine="400" w:firstLineChars="200"/>
        <w:textAlignment w:val="auto"/>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（1）第一年付费：合同签订后，20个工作日内，甲方向乙方支付合同总额的25%；第一年服务到期后，如无质量、技术、服务、安全等问题，验收合格后，20个工作日内甲方向乙方支付合同总额的25%。</w:t>
      </w:r>
    </w:p>
    <w:p w14:paraId="2182A460">
      <w:pPr>
        <w:keepNext w:val="0"/>
        <w:keepLines w:val="0"/>
        <w:pageBreakBefore w:val="0"/>
        <w:kinsoku/>
        <w:wordWrap/>
        <w:overflowPunct/>
        <w:bidi w:val="0"/>
        <w:snapToGrid/>
        <w:spacing w:line="360" w:lineRule="auto"/>
        <w:ind w:firstLine="400" w:firstLineChars="200"/>
        <w:textAlignment w:val="auto"/>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（2）第二年付费：第一年合同到期后，20个工作日内，甲方向乙方支付合同总额的25%；当年服务到期后，如无质量、技术、服务、安全等问题，验收合格后，20个工作日内甲方向乙方支付合同总额的25%。</w:t>
      </w:r>
    </w:p>
    <w:p w14:paraId="577C5FD6">
      <w:pPr>
        <w:keepNext w:val="0"/>
        <w:keepLines w:val="0"/>
        <w:pageBreakBefore w:val="0"/>
        <w:kinsoku/>
        <w:wordWrap/>
        <w:overflowPunct/>
        <w:bidi w:val="0"/>
        <w:snapToGrid/>
        <w:spacing w:line="360" w:lineRule="auto"/>
        <w:ind w:firstLine="400" w:firstLineChars="200"/>
        <w:textAlignment w:val="auto"/>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（3）每次付款前，乙方必须开具等额的正式税务发票给甲方，甲方收到票后20个工作日内付款。</w:t>
      </w:r>
    </w:p>
    <w:p w14:paraId="683FB295">
      <w:pPr>
        <w:keepNext w:val="0"/>
        <w:keepLines w:val="0"/>
        <w:pageBreakBefore w:val="0"/>
        <w:kinsoku/>
        <w:wordWrap/>
        <w:overflowPunct/>
        <w:bidi w:val="0"/>
        <w:snapToGrid/>
        <w:spacing w:line="360" w:lineRule="auto"/>
        <w:ind w:firstLine="300" w:firstLineChars="15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乙方账户信息如下：</w:t>
      </w:r>
    </w:p>
    <w:p w14:paraId="6EB2DFC2">
      <w:pPr>
        <w:keepNext w:val="0"/>
        <w:keepLines w:val="0"/>
        <w:pageBreakBefore w:val="0"/>
        <w:kinsoku/>
        <w:wordWrap/>
        <w:overflowPunct/>
        <w:bidi w:val="0"/>
        <w:snapToGrid/>
        <w:spacing w:line="360" w:lineRule="auto"/>
        <w:ind w:firstLine="300" w:firstLineChars="15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 xml:space="preserve"> 开户名称：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p>
    <w:p w14:paraId="5F3F0950">
      <w:pPr>
        <w:keepNext w:val="0"/>
        <w:keepLines w:val="0"/>
        <w:pageBreakBefore w:val="0"/>
        <w:kinsoku/>
        <w:wordWrap/>
        <w:overflowPunct/>
        <w:bidi w:val="0"/>
        <w:snapToGrid/>
        <w:spacing w:line="360" w:lineRule="auto"/>
        <w:ind w:firstLine="300" w:firstLineChars="15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开户银行：</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p>
    <w:p w14:paraId="10553B60">
      <w:pPr>
        <w:keepNext w:val="0"/>
        <w:keepLines w:val="0"/>
        <w:pageBreakBefore w:val="0"/>
        <w:kinsoku/>
        <w:wordWrap/>
        <w:overflowPunct/>
        <w:bidi w:val="0"/>
        <w:snapToGrid/>
        <w:spacing w:line="360" w:lineRule="auto"/>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rPr>
        <w:t xml:space="preserve">    银行账号：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p>
    <w:p w14:paraId="30D38846">
      <w:pPr>
        <w:pStyle w:val="2"/>
        <w:keepNext w:val="0"/>
        <w:keepLines w:val="0"/>
        <w:pageBreakBefore w:val="0"/>
        <w:numPr>
          <w:ilvl w:val="0"/>
          <w:numId w:val="0"/>
        </w:numPr>
        <w:kinsoku/>
        <w:wordWrap/>
        <w:overflowPunct/>
        <w:topLinePunct/>
        <w:bidi w:val="0"/>
        <w:snapToGrid/>
        <w:spacing w:line="360" w:lineRule="auto"/>
        <w:textAlignment w:val="auto"/>
        <w:rPr>
          <w:rFonts w:hint="eastAsia" w:ascii="仿宋" w:hAnsi="仿宋" w:eastAsia="仿宋" w:cs="仿宋"/>
          <w:color w:val="auto"/>
          <w:kern w:val="0"/>
          <w:sz w:val="20"/>
          <w:szCs w:val="20"/>
          <w:highlight w:val="none"/>
        </w:rPr>
      </w:pPr>
      <w:bookmarkStart w:id="11" w:name="_Toc363115686"/>
      <w:r>
        <w:rPr>
          <w:rFonts w:hint="eastAsia" w:ascii="仿宋" w:hAnsi="仿宋" w:eastAsia="仿宋" w:cs="仿宋"/>
          <w:color w:val="auto"/>
          <w:kern w:val="0"/>
          <w:sz w:val="20"/>
          <w:szCs w:val="20"/>
          <w:highlight w:val="none"/>
        </w:rPr>
        <w:t>第四条  服务内容及乙方责任</w:t>
      </w:r>
      <w:bookmarkEnd w:id="11"/>
    </w:p>
    <w:p w14:paraId="3E1FBA53">
      <w:pPr>
        <w:keepNext w:val="0"/>
        <w:keepLines w:val="0"/>
        <w:pageBreakBefore w:val="0"/>
        <w:kinsoku/>
        <w:wordWrap/>
        <w:overflowPunct/>
        <w:bidi w:val="0"/>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乙方保障软件的正常运行，</w:t>
      </w:r>
      <w:r>
        <w:rPr>
          <w:rFonts w:hint="eastAsia" w:ascii="仿宋" w:hAnsi="仿宋" w:eastAsia="仿宋" w:cs="仿宋"/>
          <w:color w:val="auto"/>
          <w:sz w:val="20"/>
          <w:szCs w:val="20"/>
          <w:highlight w:val="none"/>
          <w:lang w:val="en-US" w:eastAsia="zh-CN"/>
        </w:rPr>
        <w:t>对</w:t>
      </w:r>
      <w:r>
        <w:rPr>
          <w:rFonts w:hint="eastAsia" w:ascii="仿宋" w:hAnsi="仿宋" w:eastAsia="仿宋" w:cs="仿宋"/>
          <w:color w:val="auto"/>
          <w:sz w:val="20"/>
          <w:szCs w:val="20"/>
          <w:highlight w:val="none"/>
        </w:rPr>
        <w:t>医院现有已到期/即将到期</w:t>
      </w:r>
      <w:r>
        <w:rPr>
          <w:rFonts w:hint="eastAsia" w:ascii="仿宋" w:hAnsi="仿宋" w:eastAsia="仿宋" w:cs="仿宋"/>
          <w:color w:val="auto"/>
          <w:sz w:val="20"/>
          <w:szCs w:val="20"/>
          <w:highlight w:val="none"/>
          <w:lang w:val="en-US" w:eastAsia="zh-CN"/>
        </w:rPr>
        <w:t>的</w:t>
      </w:r>
      <w:r>
        <w:rPr>
          <w:rFonts w:hint="eastAsia" w:ascii="仿宋" w:hAnsi="仿宋" w:eastAsia="仿宋" w:cs="仿宋"/>
          <w:color w:val="auto"/>
          <w:kern w:val="0"/>
          <w:sz w:val="20"/>
          <w:szCs w:val="20"/>
          <w:highlight w:val="none"/>
          <w14:ligatures w14:val="none"/>
        </w:rPr>
        <w:t>规则库</w:t>
      </w:r>
      <w:r>
        <w:rPr>
          <w:rFonts w:hint="eastAsia" w:ascii="仿宋" w:hAnsi="仿宋" w:eastAsia="仿宋" w:cs="仿宋"/>
          <w:color w:val="auto"/>
          <w:kern w:val="0"/>
          <w:sz w:val="20"/>
          <w:szCs w:val="20"/>
          <w:highlight w:val="none"/>
          <w:lang w:eastAsia="zh-CN"/>
          <w14:ligatures w14:val="none"/>
        </w:rPr>
        <w:t>、</w:t>
      </w:r>
      <w:r>
        <w:rPr>
          <w:rFonts w:hint="eastAsia" w:ascii="仿宋" w:hAnsi="仿宋" w:eastAsia="仿宋" w:cs="仿宋"/>
          <w:color w:val="auto"/>
          <w:kern w:val="0"/>
          <w:sz w:val="20"/>
          <w:szCs w:val="20"/>
          <w:highlight w:val="none"/>
          <w14:ligatures w14:val="none"/>
        </w:rPr>
        <w:t>安全运营平台</w:t>
      </w:r>
      <w:r>
        <w:rPr>
          <w:rFonts w:hint="eastAsia" w:ascii="仿宋" w:hAnsi="仿宋" w:eastAsia="仿宋" w:cs="仿宋"/>
          <w:color w:val="auto"/>
          <w:kern w:val="0"/>
          <w:sz w:val="20"/>
          <w:szCs w:val="20"/>
          <w:highlight w:val="none"/>
          <w:lang w:eastAsia="zh-CN"/>
          <w14:ligatures w14:val="none"/>
        </w:rPr>
        <w:t>、</w:t>
      </w:r>
      <w:r>
        <w:rPr>
          <w:rFonts w:hint="eastAsia" w:ascii="仿宋" w:hAnsi="仿宋" w:eastAsia="仿宋" w:cs="仿宋"/>
          <w:color w:val="auto"/>
          <w:kern w:val="0"/>
          <w:sz w:val="20"/>
          <w:szCs w:val="20"/>
          <w:highlight w:val="none"/>
          <w14:ligatures w14:val="none"/>
        </w:rPr>
        <w:t>安全服务</w:t>
      </w:r>
      <w:r>
        <w:rPr>
          <w:rFonts w:hint="eastAsia" w:ascii="仿宋" w:hAnsi="仿宋" w:eastAsia="仿宋" w:cs="仿宋"/>
          <w:color w:val="auto"/>
          <w:sz w:val="20"/>
          <w:szCs w:val="20"/>
          <w:highlight w:val="none"/>
          <w:lang w:val="en-US" w:eastAsia="zh-CN"/>
        </w:rPr>
        <w:t>进行续费，</w:t>
      </w:r>
      <w:r>
        <w:rPr>
          <w:rFonts w:hint="eastAsia" w:ascii="仿宋" w:hAnsi="仿宋" w:eastAsia="仿宋" w:cs="仿宋"/>
          <w:color w:val="auto"/>
          <w:sz w:val="20"/>
          <w:szCs w:val="20"/>
          <w:highlight w:val="none"/>
        </w:rPr>
        <w:t>确保正常使用。</w:t>
      </w:r>
    </w:p>
    <w:p w14:paraId="623BD446">
      <w:pPr>
        <w:keepNext w:val="0"/>
        <w:keepLines w:val="0"/>
        <w:pageBreakBefore w:val="0"/>
        <w:kinsoku/>
        <w:wordWrap/>
        <w:overflowPunct/>
        <w:bidi w:val="0"/>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方向乙方提供的有关数据资料均视为甲方的商业秘密，乙方不得向任何第三方泄露。本合同所界定的服务是指乙方在上述维护期限内提供给甲方的软件应用的支持和培训服务，包括软件电话支持、用户培训、故障维护等，具体说明如下：</w:t>
      </w:r>
    </w:p>
    <w:p w14:paraId="2C4B5E44">
      <w:pPr>
        <w:keepNext w:val="0"/>
        <w:keepLines w:val="0"/>
        <w:pageBreakBefore w:val="0"/>
        <w:kinsoku/>
        <w:wordWrap/>
        <w:overflowPunct/>
        <w:bidi w:val="0"/>
        <w:snapToGrid/>
        <w:spacing w:line="360" w:lineRule="auto"/>
        <w:ind w:firstLine="200" w:firstLineChars="1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（1）服务期内为医院提供现有系统的维护支持服务，保障医院系统的稳定运行。包括但不限于安装、配置、运行监控、补丁收集及维护、故障解决、健康检查、系统调优、应急处理、安全保障等。</w:t>
      </w:r>
    </w:p>
    <w:p w14:paraId="626C3290">
      <w:pPr>
        <w:keepNext w:val="0"/>
        <w:keepLines w:val="0"/>
        <w:pageBreakBefore w:val="0"/>
        <w:kinsoku/>
        <w:wordWrap/>
        <w:overflowPunct/>
        <w:bidi w:val="0"/>
        <w:snapToGrid/>
        <w:spacing w:line="360" w:lineRule="auto"/>
        <w:ind w:firstLine="200" w:firstLineChars="1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（2）技术支持：处理系统日常问题，如软件客户端安装、操作（使用）人员培训、科室问题解答、后台数据纠错修改、数据传输、常规系统故障排除等情况。</w:t>
      </w:r>
    </w:p>
    <w:p w14:paraId="14069425">
      <w:pPr>
        <w:keepNext w:val="0"/>
        <w:keepLines w:val="0"/>
        <w:pageBreakBefore w:val="0"/>
        <w:kinsoku/>
        <w:wordWrap/>
        <w:overflowPunct/>
        <w:bidi w:val="0"/>
        <w:snapToGrid/>
        <w:spacing w:line="360" w:lineRule="auto"/>
        <w:ind w:firstLine="200" w:firstLineChars="1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rPr>
        <w:t>） 协助医院排除解决因第三方软件系统运行故障连带造成的系统运行故障问题以及可能涉及和产生的相关系统接口改造。</w:t>
      </w:r>
    </w:p>
    <w:p w14:paraId="5B6E0829">
      <w:pPr>
        <w:keepNext w:val="0"/>
        <w:keepLines w:val="0"/>
        <w:pageBreakBefore w:val="0"/>
        <w:kinsoku/>
        <w:wordWrap/>
        <w:overflowPunct/>
        <w:bidi w:val="0"/>
        <w:snapToGrid/>
        <w:spacing w:line="360" w:lineRule="auto"/>
        <w:ind w:firstLine="200" w:firstLineChars="1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 协助医院排除解决因硬件因素造成的系统运行故障连带造成系统运行故障问题。</w:t>
      </w:r>
    </w:p>
    <w:p w14:paraId="332C2162">
      <w:pPr>
        <w:keepNext w:val="0"/>
        <w:keepLines w:val="0"/>
        <w:pageBreakBefore w:val="0"/>
        <w:kinsoku/>
        <w:wordWrap/>
        <w:overflowPunct/>
        <w:bidi w:val="0"/>
        <w:snapToGrid/>
        <w:spacing w:line="360" w:lineRule="auto"/>
        <w:ind w:firstLine="200" w:firstLineChars="1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rPr>
        <w:t>）巡检服务：工程师定期到医院，对系统存在的问题和不足进行沟通了解，并对问题进行现场处理，并对医院信息化建设发展提出合理建议。</w:t>
      </w:r>
    </w:p>
    <w:p w14:paraId="3F098804">
      <w:pPr>
        <w:keepNext w:val="0"/>
        <w:keepLines w:val="0"/>
        <w:pageBreakBefore w:val="0"/>
        <w:kinsoku/>
        <w:wordWrap/>
        <w:overflowPunct/>
        <w:bidi w:val="0"/>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每月1次上门巡检服务。巡检完成后提供巡检保养反馈，反馈报告应包含但不限于以下内容：巡检保养时间，保养内容等，并由各科负责人签字确认。</w:t>
      </w:r>
    </w:p>
    <w:p w14:paraId="6BB3CC01">
      <w:pPr>
        <w:keepNext w:val="0"/>
        <w:keepLines w:val="0"/>
        <w:pageBreakBefore w:val="0"/>
        <w:kinsoku/>
        <w:wordWrap/>
        <w:overflowPunct/>
        <w:bidi w:val="0"/>
        <w:snapToGrid/>
        <w:spacing w:line="360" w:lineRule="auto"/>
        <w:ind w:firstLine="200" w:firstLineChars="1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6</w:t>
      </w:r>
      <w:r>
        <w:rPr>
          <w:rFonts w:hint="eastAsia" w:ascii="仿宋" w:hAnsi="仿宋" w:eastAsia="仿宋" w:cs="仿宋"/>
          <w:color w:val="auto"/>
          <w:sz w:val="20"/>
          <w:szCs w:val="20"/>
          <w:highlight w:val="none"/>
        </w:rPr>
        <w:t>）用户培训：乙方负责软件更改后造成软件操作变化的使用培训，培训对象包括但不限于医生、护士、技术工程师、业务科室的关键用户。乙方同时向甲方提供新功能使用说明。</w:t>
      </w:r>
    </w:p>
    <w:p w14:paraId="6BA6384C">
      <w:pPr>
        <w:keepNext w:val="0"/>
        <w:keepLines w:val="0"/>
        <w:pageBreakBefore w:val="0"/>
        <w:kinsoku/>
        <w:wordWrap/>
        <w:overflowPunct/>
        <w:bidi w:val="0"/>
        <w:snapToGrid/>
        <w:spacing w:line="360" w:lineRule="auto"/>
        <w:ind w:firstLine="200" w:firstLineChars="1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7</w:t>
      </w:r>
      <w:r>
        <w:rPr>
          <w:rFonts w:hint="eastAsia" w:ascii="仿宋" w:hAnsi="仿宋" w:eastAsia="仿宋" w:cs="仿宋"/>
          <w:color w:val="auto"/>
          <w:sz w:val="20"/>
          <w:szCs w:val="20"/>
          <w:highlight w:val="none"/>
        </w:rPr>
        <w:t>）服务响应：</w:t>
      </w:r>
    </w:p>
    <w:p w14:paraId="45ED7196">
      <w:pPr>
        <w:keepNext w:val="0"/>
        <w:keepLines w:val="0"/>
        <w:pageBreakBefore w:val="0"/>
        <w:kinsoku/>
        <w:wordWrap/>
        <w:overflowPunct/>
        <w:bidi w:val="0"/>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在服务期内，如软件系统故障，供应商需在接到通知后30分钟内予以响应，共同协商解决方案。若需要工程师前往现场，要求在2小时内到达现场，6小时内排除故障。</w:t>
      </w:r>
    </w:p>
    <w:p w14:paraId="15A83D7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00" w:firstLineChars="200"/>
        <w:textAlignment w:val="auto"/>
        <w:rPr>
          <w:rFonts w:hint="eastAsia" w:ascii="仿宋" w:hAnsi="仿宋" w:eastAsia="仿宋" w:cs="仿宋"/>
          <w:sz w:val="20"/>
          <w:szCs w:val="20"/>
          <w:highlight w:val="none"/>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8)</w:t>
      </w:r>
      <w:r>
        <w:rPr>
          <w:rFonts w:hint="eastAsia" w:ascii="仿宋" w:hAnsi="仿宋" w:eastAsia="仿宋" w:cs="仿宋"/>
          <w:sz w:val="20"/>
          <w:szCs w:val="20"/>
          <w:highlight w:val="none"/>
          <w:lang w:val="en-US" w:eastAsia="zh-CN"/>
        </w:rPr>
        <w:t>供应商</w:t>
      </w:r>
      <w:r>
        <w:rPr>
          <w:rFonts w:hint="eastAsia" w:ascii="仿宋" w:hAnsi="仿宋" w:eastAsia="仿宋" w:cs="仿宋"/>
          <w:sz w:val="20"/>
          <w:szCs w:val="20"/>
          <w:highlight w:val="none"/>
        </w:rPr>
        <w:t>必须向</w:t>
      </w:r>
      <w:r>
        <w:rPr>
          <w:rFonts w:hint="eastAsia" w:ascii="仿宋" w:hAnsi="仿宋" w:eastAsia="仿宋" w:cs="仿宋"/>
          <w:sz w:val="20"/>
          <w:szCs w:val="20"/>
          <w:highlight w:val="none"/>
          <w:lang w:val="en-US" w:eastAsia="zh-CN"/>
        </w:rPr>
        <w:t>采购人</w:t>
      </w:r>
      <w:r>
        <w:rPr>
          <w:rFonts w:hint="eastAsia" w:ascii="仿宋" w:hAnsi="仿宋" w:eastAsia="仿宋" w:cs="仿宋"/>
          <w:sz w:val="20"/>
          <w:szCs w:val="20"/>
          <w:highlight w:val="none"/>
        </w:rPr>
        <w:t>提供</w:t>
      </w:r>
      <w:r>
        <w:rPr>
          <w:rFonts w:hint="eastAsia" w:ascii="仿宋" w:hAnsi="仿宋" w:eastAsia="仿宋" w:cs="仿宋"/>
          <w:sz w:val="20"/>
          <w:szCs w:val="20"/>
          <w:highlight w:val="none"/>
          <w:lang w:eastAsia="zh-CN"/>
        </w:rPr>
        <w:t>每年≥</w:t>
      </w:r>
      <w:r>
        <w:rPr>
          <w:rFonts w:hint="eastAsia" w:ascii="仿宋" w:hAnsi="仿宋" w:eastAsia="仿宋" w:cs="仿宋"/>
          <w:sz w:val="20"/>
          <w:szCs w:val="20"/>
          <w:highlight w:val="none"/>
          <w:lang w:val="en-US" w:eastAsia="zh-CN"/>
        </w:rPr>
        <w:t>2次</w:t>
      </w:r>
      <w:r>
        <w:rPr>
          <w:rFonts w:hint="eastAsia" w:ascii="仿宋" w:hAnsi="仿宋" w:eastAsia="仿宋" w:cs="仿宋"/>
          <w:sz w:val="20"/>
          <w:szCs w:val="20"/>
          <w:highlight w:val="none"/>
        </w:rPr>
        <w:t>培训</w:t>
      </w:r>
      <w:r>
        <w:rPr>
          <w:rFonts w:hint="eastAsia" w:ascii="仿宋" w:hAnsi="仿宋" w:eastAsia="仿宋" w:cs="仿宋"/>
          <w:sz w:val="20"/>
          <w:szCs w:val="20"/>
          <w:highlight w:val="none"/>
          <w:lang w:val="en-US" w:eastAsia="zh-CN"/>
        </w:rPr>
        <w:t>服务</w:t>
      </w:r>
      <w:r>
        <w:rPr>
          <w:rFonts w:hint="eastAsia" w:ascii="仿宋" w:hAnsi="仿宋" w:eastAsia="仿宋" w:cs="仿宋"/>
          <w:sz w:val="20"/>
          <w:szCs w:val="20"/>
          <w:highlight w:val="none"/>
        </w:rPr>
        <w:t>，培训方式应包括理论培训和现场培训。</w:t>
      </w:r>
      <w:r>
        <w:rPr>
          <w:rFonts w:hint="eastAsia" w:ascii="仿宋" w:hAnsi="仿宋" w:eastAsia="仿宋" w:cs="仿宋"/>
          <w:sz w:val="20"/>
          <w:szCs w:val="20"/>
          <w:highlight w:val="none"/>
          <w:lang w:val="en-US" w:eastAsia="zh-CN"/>
        </w:rPr>
        <w:t>供应商</w:t>
      </w:r>
      <w:r>
        <w:rPr>
          <w:rFonts w:hint="eastAsia" w:ascii="仿宋" w:hAnsi="仿宋" w:eastAsia="仿宋" w:cs="仿宋"/>
          <w:sz w:val="20"/>
          <w:szCs w:val="20"/>
          <w:highlight w:val="none"/>
        </w:rPr>
        <w:t>须针对不同的培训对象，在投标文件中提出全面、详细的培训计划，包括但不限于培训内容、培训时间、地点、授课老师等。</w:t>
      </w:r>
    </w:p>
    <w:p w14:paraId="2EEDCBAB">
      <w:pPr>
        <w:keepNext w:val="0"/>
        <w:keepLines w:val="0"/>
        <w:pageBreakBefore w:val="0"/>
        <w:kinsoku/>
        <w:wordWrap/>
        <w:overflowPunct/>
        <w:bidi w:val="0"/>
        <w:snapToGrid/>
        <w:spacing w:line="360" w:lineRule="auto"/>
        <w:ind w:firstLine="400" w:firstLineChars="200"/>
        <w:textAlignment w:val="auto"/>
        <w:rPr>
          <w:rFonts w:hint="default" w:ascii="仿宋" w:hAnsi="仿宋" w:eastAsia="仿宋" w:cs="仿宋"/>
          <w:color w:val="auto"/>
          <w:sz w:val="20"/>
          <w:szCs w:val="20"/>
          <w:highlight w:val="none"/>
          <w:lang w:val="en-US" w:eastAsia="zh-CN"/>
        </w:rPr>
      </w:pPr>
      <w:r>
        <w:rPr>
          <w:rFonts w:hint="eastAsia" w:ascii="仿宋" w:hAnsi="仿宋" w:eastAsia="仿宋" w:cs="仿宋"/>
          <w:sz w:val="20"/>
          <w:szCs w:val="20"/>
          <w:highlight w:val="none"/>
          <w:lang w:val="en-US" w:eastAsia="zh-CN"/>
        </w:rPr>
        <w:t>供应商</w:t>
      </w:r>
      <w:r>
        <w:rPr>
          <w:rFonts w:hint="eastAsia" w:ascii="仿宋" w:hAnsi="仿宋" w:eastAsia="仿宋" w:cs="仿宋"/>
          <w:sz w:val="20"/>
          <w:szCs w:val="20"/>
          <w:highlight w:val="none"/>
        </w:rPr>
        <w:t>派出的培训教员应具备丰富的相同课程教学经验，所有的培训教员必须中文授课，</w:t>
      </w:r>
      <w:r>
        <w:rPr>
          <w:rFonts w:hint="eastAsia" w:ascii="仿宋" w:hAnsi="仿宋" w:eastAsia="仿宋" w:cs="仿宋"/>
          <w:sz w:val="20"/>
          <w:szCs w:val="20"/>
          <w:highlight w:val="none"/>
          <w:lang w:val="en-US" w:eastAsia="zh-CN"/>
        </w:rPr>
        <w:t>供应商</w:t>
      </w:r>
      <w:r>
        <w:rPr>
          <w:rFonts w:hint="eastAsia" w:ascii="仿宋" w:hAnsi="仿宋" w:eastAsia="仿宋" w:cs="仿宋"/>
          <w:sz w:val="20"/>
          <w:szCs w:val="20"/>
          <w:highlight w:val="none"/>
        </w:rPr>
        <w:t>必须为所有被培训人员提供培训用文字资料和讲义等相关用品。</w:t>
      </w:r>
    </w:p>
    <w:p w14:paraId="16A9984F">
      <w:pPr>
        <w:pStyle w:val="2"/>
        <w:keepNext w:val="0"/>
        <w:keepLines w:val="0"/>
        <w:pageBreakBefore w:val="0"/>
        <w:numPr>
          <w:ilvl w:val="0"/>
          <w:numId w:val="0"/>
        </w:numPr>
        <w:kinsoku/>
        <w:wordWrap/>
        <w:overflowPunct/>
        <w:topLinePunct/>
        <w:bidi w:val="0"/>
        <w:snapToGrid/>
        <w:spacing w:line="360" w:lineRule="auto"/>
        <w:textAlignment w:val="auto"/>
        <w:rPr>
          <w:rFonts w:hint="eastAsia" w:ascii="仿宋" w:hAnsi="仿宋" w:eastAsia="仿宋" w:cs="仿宋"/>
          <w:color w:val="auto"/>
          <w:kern w:val="0"/>
          <w:sz w:val="20"/>
          <w:szCs w:val="20"/>
          <w:highlight w:val="none"/>
        </w:rPr>
      </w:pPr>
      <w:bookmarkStart w:id="12" w:name="_Toc363115687"/>
      <w:r>
        <w:rPr>
          <w:rFonts w:hint="eastAsia" w:ascii="仿宋" w:hAnsi="仿宋" w:eastAsia="仿宋" w:cs="仿宋"/>
          <w:color w:val="auto"/>
          <w:kern w:val="0"/>
          <w:sz w:val="20"/>
          <w:szCs w:val="20"/>
          <w:highlight w:val="none"/>
        </w:rPr>
        <w:t>第五条  甲方责任</w:t>
      </w:r>
      <w:bookmarkEnd w:id="12"/>
    </w:p>
    <w:p w14:paraId="0344C6D3">
      <w:pPr>
        <w:keepNext w:val="0"/>
        <w:keepLines w:val="0"/>
        <w:pageBreakBefore w:val="0"/>
        <w:kinsoku/>
        <w:wordWrap/>
        <w:overflowPunct/>
        <w:bidi w:val="0"/>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负责本合同范围内维护服务工作的组织、协调，确保做好配合工作，具体内容如下：</w:t>
      </w:r>
    </w:p>
    <w:p w14:paraId="11CAB20D">
      <w:pPr>
        <w:keepNext w:val="0"/>
        <w:keepLines w:val="0"/>
        <w:pageBreakBefore w:val="0"/>
        <w:kinsoku/>
        <w:wordWrap/>
        <w:overflowPunct/>
        <w:bidi w:val="0"/>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（1）甲方分管部门安排专人负责和协调售后维护的相关工作，以确保维护过程的顺利进行。</w:t>
      </w:r>
    </w:p>
    <w:p w14:paraId="281D581B">
      <w:pPr>
        <w:keepNext w:val="0"/>
        <w:keepLines w:val="0"/>
        <w:pageBreakBefore w:val="0"/>
        <w:kinsoku/>
        <w:wordWrap/>
        <w:overflowPunct/>
        <w:bidi w:val="0"/>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eastAsia="zh-CN"/>
        </w:rPr>
        <w:t>涉及</w:t>
      </w:r>
      <w:r>
        <w:rPr>
          <w:rFonts w:hint="eastAsia" w:ascii="仿宋" w:hAnsi="仿宋" w:eastAsia="仿宋" w:cs="仿宋"/>
          <w:color w:val="auto"/>
          <w:sz w:val="20"/>
          <w:szCs w:val="20"/>
          <w:highlight w:val="none"/>
        </w:rPr>
        <w:t>甲方现有其他系统及数据时，甲方应有人员全程陪同，涉及操作时，应由甲方工作人员进行。</w:t>
      </w:r>
    </w:p>
    <w:p w14:paraId="08C9C88F">
      <w:pPr>
        <w:keepNext w:val="0"/>
        <w:keepLines w:val="0"/>
        <w:pageBreakBefore w:val="0"/>
        <w:kinsoku/>
        <w:wordWrap/>
        <w:overflowPunct/>
        <w:bidi w:val="0"/>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rPr>
        <w:t>）业务科室派专人负责系统的日常运行和故障报修，并在乙方进行现场售后维护时提供必要的支持与配合。</w:t>
      </w:r>
    </w:p>
    <w:p w14:paraId="02D2F3C6">
      <w:pPr>
        <w:keepNext w:val="0"/>
        <w:keepLines w:val="0"/>
        <w:pageBreakBefore w:val="0"/>
        <w:kinsoku/>
        <w:wordWrap/>
        <w:overflowPunct/>
        <w:autoSpaceDE w:val="0"/>
        <w:autoSpaceDN w:val="0"/>
        <w:bidi w:val="0"/>
        <w:adjustRightInd w:val="0"/>
        <w:snapToGrid/>
        <w:spacing w:line="360" w:lineRule="auto"/>
        <w:textAlignment w:val="auto"/>
        <w:rPr>
          <w:rFonts w:hint="eastAsia" w:ascii="仿宋" w:hAnsi="仿宋" w:eastAsia="仿宋" w:cs="仿宋"/>
          <w:b/>
          <w:bCs/>
          <w:color w:val="auto"/>
          <w:sz w:val="20"/>
          <w:szCs w:val="20"/>
          <w:highlight w:val="none"/>
        </w:rPr>
      </w:pPr>
      <w:bookmarkStart w:id="13" w:name="_Toc363115688"/>
      <w:r>
        <w:rPr>
          <w:rFonts w:hint="eastAsia" w:ascii="仿宋" w:hAnsi="仿宋" w:eastAsia="仿宋" w:cs="仿宋"/>
          <w:b/>
          <w:bCs/>
          <w:color w:val="auto"/>
          <w:sz w:val="20"/>
          <w:szCs w:val="20"/>
          <w:highlight w:val="none"/>
        </w:rPr>
        <w:t>第六条  验收要求</w:t>
      </w:r>
    </w:p>
    <w:p w14:paraId="1BED08D7">
      <w:pPr>
        <w:pStyle w:val="4"/>
        <w:keepNext w:val="0"/>
        <w:keepLines w:val="0"/>
        <w:pageBreakBefore w:val="0"/>
        <w:widowControl w:val="0"/>
        <w:numPr>
          <w:ilvl w:val="0"/>
          <w:numId w:val="0"/>
        </w:numPr>
        <w:kinsoku/>
        <w:wordWrap/>
        <w:overflowPunct/>
        <w:bidi w:val="0"/>
        <w:snapToGrid/>
        <w:spacing w:before="0" w:beforeAutospacing="0" w:after="0" w:afterAutospacing="0" w:line="360" w:lineRule="auto"/>
        <w:ind w:firstLine="400" w:firstLineChars="200"/>
        <w:jc w:val="both"/>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（1）服务期每满1年，具备验收条件后，由乙方向甲方提出验收申请，甲方负责组织项目验收。</w:t>
      </w:r>
    </w:p>
    <w:p w14:paraId="07D36BB1">
      <w:pPr>
        <w:pStyle w:val="4"/>
        <w:keepNext w:val="0"/>
        <w:keepLines w:val="0"/>
        <w:pageBreakBefore w:val="0"/>
        <w:widowControl w:val="0"/>
        <w:numPr>
          <w:ilvl w:val="0"/>
          <w:numId w:val="0"/>
        </w:numPr>
        <w:kinsoku/>
        <w:wordWrap/>
        <w:overflowPunct/>
        <w:bidi w:val="0"/>
        <w:snapToGrid/>
        <w:spacing w:before="0" w:beforeAutospacing="0" w:after="0" w:afterAutospacing="0" w:line="360" w:lineRule="auto"/>
        <w:ind w:firstLine="400" w:firstLineChars="200"/>
        <w:jc w:val="both"/>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（2）验收组织：成立由甲方、乙方以及其他有关人员组成的验收小组，负责对整个服务进行全面的验收。</w:t>
      </w:r>
    </w:p>
    <w:p w14:paraId="7F2A9455">
      <w:pPr>
        <w:pStyle w:val="4"/>
        <w:keepNext w:val="0"/>
        <w:keepLines w:val="0"/>
        <w:pageBreakBefore w:val="0"/>
        <w:widowControl w:val="0"/>
        <w:numPr>
          <w:ilvl w:val="0"/>
          <w:numId w:val="0"/>
        </w:numPr>
        <w:kinsoku/>
        <w:wordWrap/>
        <w:overflowPunct/>
        <w:bidi w:val="0"/>
        <w:snapToGrid/>
        <w:spacing w:before="0" w:beforeAutospacing="0" w:after="0" w:afterAutospacing="0" w:line="360" w:lineRule="auto"/>
        <w:ind w:firstLine="400" w:firstLineChars="200"/>
        <w:jc w:val="both"/>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（3）验收标准：依据磋商文件、投标文件、合同及相关需求文档等方面全面组织验收。</w:t>
      </w:r>
    </w:p>
    <w:p w14:paraId="4668DC2E">
      <w:pPr>
        <w:pStyle w:val="4"/>
        <w:keepNext w:val="0"/>
        <w:keepLines w:val="0"/>
        <w:pageBreakBefore w:val="0"/>
        <w:widowControl w:val="0"/>
        <w:numPr>
          <w:ilvl w:val="0"/>
          <w:numId w:val="0"/>
        </w:numPr>
        <w:kinsoku/>
        <w:wordWrap/>
        <w:overflowPunct/>
        <w:bidi w:val="0"/>
        <w:snapToGrid/>
        <w:spacing w:before="0" w:beforeAutospacing="0" w:after="0" w:afterAutospacing="0" w:line="360" w:lineRule="auto"/>
        <w:ind w:firstLine="400" w:firstLineChars="200"/>
        <w:jc w:val="both"/>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（4）验收条件：整理本次项目相关文档，提交给甲方。所有合同范围内业务服务均全部完成。</w:t>
      </w:r>
    </w:p>
    <w:p w14:paraId="15CB4AB2">
      <w:pPr>
        <w:pStyle w:val="4"/>
        <w:keepNext w:val="0"/>
        <w:keepLines w:val="0"/>
        <w:pageBreakBefore w:val="0"/>
        <w:widowControl w:val="0"/>
        <w:numPr>
          <w:ilvl w:val="0"/>
          <w:numId w:val="0"/>
        </w:numPr>
        <w:kinsoku/>
        <w:wordWrap/>
        <w:overflowPunct/>
        <w:bidi w:val="0"/>
        <w:snapToGrid/>
        <w:spacing w:before="0" w:beforeAutospacing="0" w:after="0" w:afterAutospacing="0" w:line="360" w:lineRule="auto"/>
        <w:ind w:firstLine="400" w:firstLineChars="200"/>
        <w:jc w:val="both"/>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（5） 验收合格后，由甲方出具验收报告。</w:t>
      </w:r>
    </w:p>
    <w:p w14:paraId="57E6C8E8">
      <w:pPr>
        <w:keepNext w:val="0"/>
        <w:keepLines w:val="0"/>
        <w:pageBreakBefore w:val="0"/>
        <w:kinsoku/>
        <w:wordWrap/>
        <w:overflowPunct/>
        <w:bidi w:val="0"/>
        <w:snapToGrid/>
        <w:spacing w:line="360" w:lineRule="auto"/>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第七条  保密约定</w:t>
      </w:r>
    </w:p>
    <w:p w14:paraId="7898DF01">
      <w:pPr>
        <w:keepNext w:val="0"/>
        <w:keepLines w:val="0"/>
        <w:pageBreakBefore w:val="0"/>
        <w:kinsoku/>
        <w:wordWrap/>
        <w:overflowPunct/>
        <w:bidi w:val="0"/>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（1）乙方应负责对甲方在应用软件的使用过程中编制及积累的数据、专业数据保密。</w:t>
      </w:r>
    </w:p>
    <w:p w14:paraId="36AE288F">
      <w:pPr>
        <w:keepNext w:val="0"/>
        <w:keepLines w:val="0"/>
        <w:pageBreakBefore w:val="0"/>
        <w:kinsoku/>
        <w:wordWrap/>
        <w:overflowPunct/>
        <w:bidi w:val="0"/>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（2）乙方应当对在甲方合作过</w:t>
      </w:r>
      <w:r>
        <w:rPr>
          <w:rFonts w:hint="eastAsia" w:ascii="仿宋" w:hAnsi="仿宋" w:eastAsia="仿宋" w:cs="仿宋"/>
          <w:color w:val="auto"/>
          <w:sz w:val="20"/>
          <w:szCs w:val="20"/>
          <w:highlight w:val="none"/>
          <w:lang w:eastAsia="zh-CN"/>
        </w:rPr>
        <w:t>程中</w:t>
      </w:r>
      <w:r>
        <w:rPr>
          <w:rFonts w:hint="eastAsia" w:ascii="仿宋" w:hAnsi="仿宋" w:eastAsia="仿宋" w:cs="仿宋"/>
          <w:color w:val="auto"/>
          <w:sz w:val="20"/>
          <w:szCs w:val="20"/>
          <w:highlight w:val="none"/>
        </w:rPr>
        <w:t>获取的相关信息保密，不得泄露给任何第三方。</w:t>
      </w:r>
    </w:p>
    <w:p w14:paraId="63A437D3">
      <w:pPr>
        <w:keepNext w:val="0"/>
        <w:keepLines w:val="0"/>
        <w:pageBreakBefore w:val="0"/>
        <w:kinsoku/>
        <w:wordWrap/>
        <w:overflowPunct/>
        <w:bidi w:val="0"/>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（3）乙方应妥善保管有关文件和资源，未经甲方书面许可，不得对其进行复制、仿造等操作。</w:t>
      </w:r>
    </w:p>
    <w:p w14:paraId="61E719E0">
      <w:pPr>
        <w:keepNext w:val="0"/>
        <w:keepLines w:val="0"/>
        <w:pageBreakBefore w:val="0"/>
        <w:kinsoku/>
        <w:wordWrap/>
        <w:overflowPunct/>
        <w:bidi w:val="0"/>
        <w:snapToGrid/>
        <w:spacing w:line="360" w:lineRule="auto"/>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第</w:t>
      </w:r>
      <w:r>
        <w:rPr>
          <w:rFonts w:hint="eastAsia" w:ascii="仿宋" w:hAnsi="仿宋" w:eastAsia="仿宋" w:cs="仿宋"/>
          <w:b/>
          <w:color w:val="auto"/>
          <w:sz w:val="20"/>
          <w:szCs w:val="20"/>
          <w:highlight w:val="none"/>
          <w:lang w:eastAsia="zh-CN"/>
        </w:rPr>
        <w:t>八</w:t>
      </w:r>
      <w:r>
        <w:rPr>
          <w:rFonts w:hint="eastAsia" w:ascii="仿宋" w:hAnsi="仿宋" w:eastAsia="仿宋" w:cs="仿宋"/>
          <w:b/>
          <w:color w:val="auto"/>
          <w:sz w:val="20"/>
          <w:szCs w:val="20"/>
          <w:highlight w:val="none"/>
        </w:rPr>
        <w:t xml:space="preserve">条  </w:t>
      </w:r>
      <w:r>
        <w:rPr>
          <w:rFonts w:hint="eastAsia" w:ascii="仿宋" w:hAnsi="仿宋" w:eastAsia="仿宋" w:cs="仿宋"/>
          <w:b/>
          <w:bCs/>
          <w:color w:val="auto"/>
          <w:kern w:val="0"/>
          <w:sz w:val="20"/>
          <w:szCs w:val="20"/>
          <w:highlight w:val="none"/>
        </w:rPr>
        <w:t>违约责任</w:t>
      </w:r>
    </w:p>
    <w:p w14:paraId="79D8847B">
      <w:pPr>
        <w:keepNext w:val="0"/>
        <w:keepLines w:val="0"/>
        <w:pageBreakBefore w:val="0"/>
        <w:kinsoku/>
        <w:wordWrap/>
        <w:overflowPunct/>
        <w:bidi w:val="0"/>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任何一方违反本协议导致本协议无法继续履行的，违约方需赔偿守约方违约金，该违约金不足以弥补守约方实际损失的，违约方应赔偿守约方所有实际损失，项目实施过程中甲方一旦发现实施内容与采购文件要求及响应文件响应情况不一致，甲方有权书面通知乙方进行整改，经整改后仍不符合投标响应文件的，甲方有权解除合同，并且乙方需要返还甲方已经支付的款项。</w:t>
      </w:r>
    </w:p>
    <w:p w14:paraId="025F6849">
      <w:pPr>
        <w:keepNext w:val="0"/>
        <w:keepLines w:val="0"/>
        <w:pageBreakBefore w:val="0"/>
        <w:kinsoku/>
        <w:wordWrap/>
        <w:overflowPunct/>
        <w:bidi w:val="0"/>
        <w:snapToGrid/>
        <w:spacing w:line="360" w:lineRule="auto"/>
        <w:ind w:firstLine="400" w:firstLineChars="200"/>
        <w:textAlignment w:val="auto"/>
        <w:rPr>
          <w:rFonts w:hint="eastAsia" w:ascii="仿宋" w:hAnsi="仿宋" w:eastAsia="仿宋" w:cs="仿宋"/>
          <w:color w:val="auto"/>
          <w:sz w:val="20"/>
          <w:szCs w:val="20"/>
        </w:rPr>
      </w:pPr>
      <w:r>
        <w:rPr>
          <w:rFonts w:hint="eastAsia" w:ascii="仿宋" w:hAnsi="仿宋" w:eastAsia="仿宋" w:cs="仿宋"/>
          <w:color w:val="auto"/>
          <w:sz w:val="20"/>
          <w:szCs w:val="20"/>
          <w:highlight w:val="none"/>
        </w:rPr>
        <w:t>（2）任何一方违反本合同保密条款的约定，守约方有权立即单方解除本</w:t>
      </w:r>
      <w:bookmarkEnd w:id="15"/>
      <w:r>
        <w:rPr>
          <w:rFonts w:hint="eastAsia" w:ascii="仿宋" w:hAnsi="仿宋" w:eastAsia="仿宋" w:cs="仿宋"/>
          <w:color w:val="auto"/>
          <w:sz w:val="20"/>
          <w:szCs w:val="20"/>
        </w:rPr>
        <w:t>合同。违约方还应向守约方赔偿全部损失。</w:t>
      </w:r>
    </w:p>
    <w:p w14:paraId="58E8701B">
      <w:pPr>
        <w:pStyle w:val="2"/>
        <w:keepNext w:val="0"/>
        <w:keepLines w:val="0"/>
        <w:pageBreakBefore w:val="0"/>
        <w:numPr>
          <w:ilvl w:val="0"/>
          <w:numId w:val="0"/>
        </w:numPr>
        <w:kinsoku/>
        <w:wordWrap/>
        <w:overflowPunct/>
        <w:topLinePunct/>
        <w:bidi w:val="0"/>
        <w:snapToGrid/>
        <w:spacing w:line="360" w:lineRule="auto"/>
        <w:ind w:firstLine="402" w:firstLineChars="200"/>
        <w:textAlignment w:val="auto"/>
        <w:rPr>
          <w:rFonts w:hint="eastAsia" w:ascii="仿宋" w:hAnsi="仿宋" w:eastAsia="仿宋" w:cs="仿宋"/>
          <w:color w:val="auto"/>
          <w:kern w:val="0"/>
          <w:sz w:val="20"/>
          <w:szCs w:val="20"/>
        </w:rPr>
      </w:pPr>
      <w:r>
        <w:rPr>
          <w:rFonts w:hint="eastAsia" w:ascii="仿宋" w:hAnsi="仿宋" w:eastAsia="仿宋" w:cs="仿宋"/>
          <w:b/>
          <w:bCs/>
          <w:color w:val="auto"/>
          <w:kern w:val="0"/>
          <w:sz w:val="20"/>
          <w:szCs w:val="20"/>
        </w:rPr>
        <w:t>第</w:t>
      </w:r>
      <w:r>
        <w:rPr>
          <w:rFonts w:hint="eastAsia" w:ascii="仿宋" w:hAnsi="仿宋" w:eastAsia="仿宋" w:cs="仿宋"/>
          <w:b/>
          <w:bCs/>
          <w:color w:val="auto"/>
          <w:kern w:val="0"/>
          <w:sz w:val="20"/>
          <w:szCs w:val="20"/>
          <w:lang w:eastAsia="zh-CN"/>
        </w:rPr>
        <w:t>九</w:t>
      </w:r>
      <w:r>
        <w:rPr>
          <w:rFonts w:hint="eastAsia" w:ascii="仿宋" w:hAnsi="仿宋" w:eastAsia="仿宋" w:cs="仿宋"/>
          <w:b/>
          <w:bCs/>
          <w:color w:val="auto"/>
          <w:kern w:val="0"/>
          <w:sz w:val="20"/>
          <w:szCs w:val="20"/>
        </w:rPr>
        <w:t>条  争议解决</w:t>
      </w:r>
      <w:bookmarkEnd w:id="13"/>
    </w:p>
    <w:p w14:paraId="68219186">
      <w:pPr>
        <w:keepNext w:val="0"/>
        <w:keepLines w:val="0"/>
        <w:pageBreakBefore w:val="0"/>
        <w:kinsoku/>
        <w:wordWrap/>
        <w:overflowPunct/>
        <w:bidi w:val="0"/>
        <w:snapToGrid/>
        <w:spacing w:line="360" w:lineRule="auto"/>
        <w:ind w:firstLine="425"/>
        <w:textAlignment w:val="auto"/>
        <w:rPr>
          <w:rFonts w:hint="eastAsia" w:ascii="仿宋" w:hAnsi="仿宋" w:eastAsia="仿宋" w:cs="仿宋"/>
          <w:sz w:val="20"/>
          <w:szCs w:val="20"/>
        </w:rPr>
      </w:pPr>
      <w:r>
        <w:rPr>
          <w:rFonts w:hint="eastAsia" w:ascii="仿宋" w:hAnsi="仿宋" w:eastAsia="仿宋" w:cs="仿宋"/>
          <w:sz w:val="20"/>
          <w:szCs w:val="20"/>
        </w:rPr>
        <w:t>争议解决：有关本合同的一切争议，双方首先通过友好协商解决，协商不能解决时，向甲方所在地的人民法院诉讼解决。</w:t>
      </w:r>
      <w:bookmarkStart w:id="14" w:name="_Toc363115689"/>
    </w:p>
    <w:p w14:paraId="6AD8BA16">
      <w:pPr>
        <w:keepNext w:val="0"/>
        <w:keepLines w:val="0"/>
        <w:pageBreakBefore w:val="0"/>
        <w:kinsoku/>
        <w:wordWrap/>
        <w:overflowPunct/>
        <w:bidi w:val="0"/>
        <w:snapToGrid/>
        <w:spacing w:line="360" w:lineRule="auto"/>
        <w:ind w:firstLine="425"/>
        <w:textAlignment w:val="auto"/>
        <w:rPr>
          <w:rFonts w:hint="eastAsia" w:ascii="仿宋" w:hAnsi="仿宋" w:eastAsia="仿宋" w:cs="仿宋"/>
          <w:b/>
          <w:bCs/>
          <w:sz w:val="20"/>
          <w:szCs w:val="20"/>
        </w:rPr>
      </w:pPr>
      <w:r>
        <w:rPr>
          <w:rFonts w:hint="eastAsia" w:ascii="仿宋" w:hAnsi="仿宋" w:eastAsia="仿宋" w:cs="仿宋"/>
          <w:b/>
          <w:bCs/>
          <w:sz w:val="20"/>
          <w:szCs w:val="20"/>
        </w:rPr>
        <w:t>第</w:t>
      </w:r>
      <w:r>
        <w:rPr>
          <w:rFonts w:hint="eastAsia" w:ascii="仿宋" w:hAnsi="仿宋" w:eastAsia="仿宋" w:cs="仿宋"/>
          <w:b/>
          <w:bCs/>
          <w:sz w:val="20"/>
          <w:szCs w:val="20"/>
          <w:lang w:eastAsia="zh-CN"/>
        </w:rPr>
        <w:t>十</w:t>
      </w:r>
      <w:r>
        <w:rPr>
          <w:rFonts w:hint="eastAsia" w:ascii="仿宋" w:hAnsi="仿宋" w:eastAsia="仿宋" w:cs="仿宋"/>
          <w:b/>
          <w:bCs/>
          <w:sz w:val="20"/>
          <w:szCs w:val="20"/>
        </w:rPr>
        <w:t>条  其他</w:t>
      </w:r>
      <w:bookmarkEnd w:id="14"/>
    </w:p>
    <w:p w14:paraId="1767DA3A">
      <w:pPr>
        <w:keepNext w:val="0"/>
        <w:keepLines w:val="0"/>
        <w:pageBreakBefore w:val="0"/>
        <w:kinsoku/>
        <w:wordWrap/>
        <w:overflowPunct/>
        <w:bidi w:val="0"/>
        <w:snapToGrid/>
        <w:spacing w:line="360" w:lineRule="auto"/>
        <w:ind w:firstLine="425"/>
        <w:textAlignment w:val="auto"/>
        <w:rPr>
          <w:rFonts w:hint="eastAsia" w:ascii="仿宋" w:hAnsi="仿宋" w:eastAsia="仿宋" w:cs="仿宋"/>
          <w:sz w:val="20"/>
          <w:szCs w:val="20"/>
        </w:rPr>
      </w:pPr>
      <w:r>
        <w:rPr>
          <w:rFonts w:hint="eastAsia" w:ascii="仿宋" w:hAnsi="仿宋" w:eastAsia="仿宋" w:cs="仿宋"/>
          <w:sz w:val="20"/>
          <w:szCs w:val="20"/>
        </w:rPr>
        <w:t>本合同一式陆份，甲方执肆份，乙方执贰份，具有相同的法律效力。自双方代表签字加盖合同章（或公章）之日起生效。</w:t>
      </w:r>
    </w:p>
    <w:p w14:paraId="2B1AF267">
      <w:pPr>
        <w:keepNext w:val="0"/>
        <w:keepLines w:val="0"/>
        <w:pageBreakBefore w:val="0"/>
        <w:kinsoku/>
        <w:wordWrap/>
        <w:overflowPunct/>
        <w:bidi w:val="0"/>
        <w:snapToGrid/>
        <w:spacing w:line="360" w:lineRule="auto"/>
        <w:ind w:firstLine="425"/>
        <w:textAlignment w:val="auto"/>
        <w:rPr>
          <w:rFonts w:hint="eastAsia" w:ascii="仿宋" w:hAnsi="仿宋" w:eastAsia="仿宋" w:cs="仿宋"/>
          <w:sz w:val="20"/>
          <w:szCs w:val="20"/>
        </w:rPr>
      </w:pPr>
    </w:p>
    <w:p w14:paraId="40D3A60B">
      <w:pPr>
        <w:keepNext w:val="0"/>
        <w:keepLines w:val="0"/>
        <w:pageBreakBefore w:val="0"/>
        <w:kinsoku/>
        <w:wordWrap/>
        <w:overflowPunct/>
        <w:bidi w:val="0"/>
        <w:snapToGrid/>
        <w:spacing w:line="360" w:lineRule="auto"/>
        <w:ind w:firstLine="425"/>
        <w:textAlignment w:val="auto"/>
        <w:rPr>
          <w:rFonts w:hint="eastAsia" w:ascii="仿宋" w:hAnsi="仿宋" w:eastAsia="仿宋" w:cs="仿宋"/>
          <w:sz w:val="20"/>
          <w:szCs w:val="20"/>
        </w:rPr>
      </w:pPr>
    </w:p>
    <w:p w14:paraId="19C1DB9D">
      <w:pPr>
        <w:keepNext w:val="0"/>
        <w:keepLines w:val="0"/>
        <w:pageBreakBefore w:val="0"/>
        <w:kinsoku/>
        <w:wordWrap/>
        <w:overflowPunct/>
        <w:bidi w:val="0"/>
        <w:snapToGrid/>
        <w:spacing w:line="360" w:lineRule="auto"/>
        <w:textAlignment w:val="auto"/>
        <w:rPr>
          <w:rFonts w:hint="eastAsia" w:ascii="仿宋" w:hAnsi="仿宋" w:eastAsia="仿宋" w:cs="仿宋"/>
          <w:color w:val="000000"/>
          <w:sz w:val="20"/>
          <w:szCs w:val="20"/>
        </w:rPr>
      </w:pPr>
      <w:r>
        <w:rPr>
          <w:rFonts w:hint="eastAsia" w:ascii="仿宋" w:hAnsi="仿宋" w:eastAsia="仿宋" w:cs="仿宋"/>
          <w:b/>
          <w:color w:val="000000"/>
          <w:sz w:val="20"/>
          <w:szCs w:val="20"/>
        </w:rPr>
        <w:t>甲方：</w:t>
      </w:r>
      <w:r>
        <w:rPr>
          <w:rFonts w:hint="eastAsia" w:ascii="仿宋" w:hAnsi="仿宋" w:eastAsia="仿宋" w:cs="仿宋"/>
          <w:color w:val="000000"/>
          <w:sz w:val="20"/>
          <w:szCs w:val="20"/>
        </w:rPr>
        <w:t xml:space="preserve">西安市第一医院（盖章）   </w:t>
      </w:r>
      <w:r>
        <w:rPr>
          <w:rFonts w:hint="eastAsia" w:ascii="仿宋" w:hAnsi="仿宋" w:eastAsia="仿宋" w:cs="仿宋"/>
          <w:b/>
          <w:color w:val="000000"/>
          <w:sz w:val="20"/>
          <w:szCs w:val="20"/>
        </w:rPr>
        <w:t xml:space="preserve">       乙方：</w:t>
      </w:r>
    </w:p>
    <w:p w14:paraId="3D12DD5E">
      <w:pPr>
        <w:keepNext w:val="0"/>
        <w:keepLines w:val="0"/>
        <w:pageBreakBefore w:val="0"/>
        <w:widowControl/>
        <w:kinsoku/>
        <w:wordWrap/>
        <w:overflowPunct/>
        <w:bidi w:val="0"/>
        <w:snapToGrid/>
        <w:spacing w:line="360" w:lineRule="auto"/>
        <w:textAlignment w:val="auto"/>
        <w:rPr>
          <w:rFonts w:hint="eastAsia" w:ascii="仿宋" w:hAnsi="仿宋" w:eastAsia="仿宋" w:cs="仿宋"/>
          <w:b/>
          <w:color w:val="000000"/>
          <w:sz w:val="20"/>
          <w:szCs w:val="20"/>
        </w:rPr>
      </w:pPr>
      <w:r>
        <w:rPr>
          <w:rFonts w:hint="eastAsia" w:ascii="仿宋" w:hAnsi="仿宋" w:eastAsia="仿宋" w:cs="仿宋"/>
          <w:b/>
          <w:color w:val="000000"/>
          <w:sz w:val="20"/>
          <w:szCs w:val="20"/>
        </w:rPr>
        <w:t>开户行：</w:t>
      </w:r>
      <w:r>
        <w:rPr>
          <w:rFonts w:hint="eastAsia" w:ascii="仿宋" w:hAnsi="仿宋" w:eastAsia="仿宋" w:cs="仿宋"/>
          <w:color w:val="000000"/>
          <w:sz w:val="20"/>
          <w:szCs w:val="20"/>
        </w:rPr>
        <w:t xml:space="preserve">工商银行南大街支行         </w:t>
      </w:r>
      <w:r>
        <w:rPr>
          <w:rFonts w:hint="eastAsia" w:ascii="仿宋" w:hAnsi="仿宋" w:eastAsia="仿宋" w:cs="仿宋"/>
          <w:b/>
          <w:color w:val="000000"/>
          <w:sz w:val="20"/>
          <w:szCs w:val="20"/>
        </w:rPr>
        <w:t xml:space="preserve">  开户行：</w:t>
      </w:r>
    </w:p>
    <w:p w14:paraId="17C335FE">
      <w:pPr>
        <w:keepNext w:val="0"/>
        <w:keepLines w:val="0"/>
        <w:pageBreakBefore w:val="0"/>
        <w:widowControl/>
        <w:kinsoku/>
        <w:wordWrap/>
        <w:overflowPunct/>
        <w:bidi w:val="0"/>
        <w:snapToGrid/>
        <w:spacing w:line="360" w:lineRule="auto"/>
        <w:textAlignment w:val="auto"/>
        <w:rPr>
          <w:rFonts w:hint="eastAsia" w:ascii="仿宋" w:hAnsi="仿宋" w:eastAsia="仿宋" w:cs="仿宋"/>
          <w:b/>
          <w:color w:val="000000"/>
          <w:sz w:val="20"/>
          <w:szCs w:val="20"/>
        </w:rPr>
      </w:pPr>
      <w:r>
        <w:rPr>
          <w:rFonts w:hint="eastAsia" w:ascii="仿宋" w:hAnsi="仿宋" w:eastAsia="仿宋" w:cs="仿宋"/>
          <w:b/>
          <w:color w:val="000000"/>
          <w:sz w:val="20"/>
          <w:szCs w:val="20"/>
        </w:rPr>
        <w:t>账号：</w:t>
      </w:r>
      <w:r>
        <w:rPr>
          <w:rFonts w:hint="eastAsia" w:ascii="仿宋" w:hAnsi="仿宋" w:eastAsia="仿宋" w:cs="仿宋"/>
          <w:color w:val="000000"/>
          <w:sz w:val="20"/>
          <w:szCs w:val="20"/>
        </w:rPr>
        <w:t xml:space="preserve">3700020409089344018   </w:t>
      </w:r>
      <w:r>
        <w:rPr>
          <w:rFonts w:hint="eastAsia" w:ascii="仿宋" w:hAnsi="仿宋" w:eastAsia="仿宋" w:cs="仿宋"/>
          <w:b/>
          <w:color w:val="000000"/>
          <w:sz w:val="20"/>
          <w:szCs w:val="20"/>
        </w:rPr>
        <w:t xml:space="preserve">         账户：</w:t>
      </w:r>
    </w:p>
    <w:p w14:paraId="36FB18C2">
      <w:pPr>
        <w:keepNext w:val="0"/>
        <w:keepLines w:val="0"/>
        <w:pageBreakBefore w:val="0"/>
        <w:widowControl/>
        <w:kinsoku/>
        <w:wordWrap/>
        <w:overflowPunct/>
        <w:bidi w:val="0"/>
        <w:snapToGrid/>
        <w:spacing w:line="360" w:lineRule="auto"/>
        <w:ind w:left="4578" w:hanging="3815" w:hangingChars="1900"/>
        <w:textAlignment w:val="auto"/>
        <w:rPr>
          <w:rFonts w:hint="eastAsia" w:ascii="仿宋" w:hAnsi="仿宋" w:eastAsia="仿宋" w:cs="仿宋"/>
          <w:b/>
          <w:color w:val="000000"/>
          <w:sz w:val="20"/>
          <w:szCs w:val="20"/>
        </w:rPr>
      </w:pPr>
      <w:r>
        <w:rPr>
          <w:rFonts w:hint="eastAsia" w:ascii="仿宋" w:hAnsi="仿宋" w:eastAsia="仿宋" w:cs="仿宋"/>
          <w:b/>
          <w:color w:val="000000"/>
          <w:sz w:val="20"/>
          <w:szCs w:val="20"/>
        </w:rPr>
        <w:t>地址：</w:t>
      </w:r>
      <w:r>
        <w:rPr>
          <w:rFonts w:hint="eastAsia" w:ascii="仿宋" w:hAnsi="仿宋" w:eastAsia="仿宋" w:cs="仿宋"/>
          <w:color w:val="000000"/>
          <w:sz w:val="20"/>
          <w:szCs w:val="20"/>
        </w:rPr>
        <w:t xml:space="preserve">西安市南大街粉巷30号     </w:t>
      </w:r>
      <w:r>
        <w:rPr>
          <w:rFonts w:hint="eastAsia" w:ascii="仿宋" w:hAnsi="仿宋" w:eastAsia="仿宋" w:cs="仿宋"/>
          <w:b/>
          <w:color w:val="000000"/>
          <w:sz w:val="20"/>
          <w:szCs w:val="20"/>
        </w:rPr>
        <w:t xml:space="preserve">     地址：</w:t>
      </w:r>
      <w:r>
        <w:rPr>
          <w:rFonts w:hint="eastAsia" w:ascii="仿宋" w:hAnsi="仿宋" w:eastAsia="仿宋" w:cs="仿宋"/>
          <w:bCs/>
          <w:color w:val="000000"/>
          <w:sz w:val="20"/>
          <w:szCs w:val="20"/>
        </w:rPr>
        <w:t xml:space="preserve"> </w:t>
      </w:r>
    </w:p>
    <w:p w14:paraId="2D3D1299">
      <w:pPr>
        <w:keepNext w:val="0"/>
        <w:keepLines w:val="0"/>
        <w:pageBreakBefore w:val="0"/>
        <w:widowControl/>
        <w:kinsoku/>
        <w:wordWrap/>
        <w:overflowPunct/>
        <w:bidi w:val="0"/>
        <w:snapToGrid/>
        <w:spacing w:line="360" w:lineRule="auto"/>
        <w:textAlignment w:val="auto"/>
        <w:rPr>
          <w:rFonts w:hint="eastAsia" w:ascii="仿宋" w:hAnsi="仿宋" w:eastAsia="仿宋" w:cs="仿宋"/>
          <w:b/>
          <w:color w:val="000000"/>
          <w:sz w:val="20"/>
          <w:szCs w:val="20"/>
        </w:rPr>
      </w:pPr>
      <w:r>
        <w:rPr>
          <w:rFonts w:hint="eastAsia" w:ascii="仿宋" w:hAnsi="仿宋" w:eastAsia="仿宋" w:cs="仿宋"/>
          <w:b/>
          <w:color w:val="000000"/>
          <w:sz w:val="20"/>
          <w:szCs w:val="20"/>
        </w:rPr>
        <w:t>邮政编码：</w:t>
      </w:r>
      <w:r>
        <w:rPr>
          <w:rFonts w:hint="eastAsia" w:ascii="仿宋" w:hAnsi="仿宋" w:eastAsia="仿宋" w:cs="仿宋"/>
          <w:color w:val="000000"/>
          <w:sz w:val="20"/>
          <w:szCs w:val="20"/>
        </w:rPr>
        <w:t xml:space="preserve">710002     </w:t>
      </w:r>
      <w:r>
        <w:rPr>
          <w:rFonts w:hint="eastAsia" w:ascii="仿宋" w:hAnsi="仿宋" w:eastAsia="仿宋" w:cs="仿宋"/>
          <w:b/>
          <w:color w:val="000000"/>
          <w:sz w:val="20"/>
          <w:szCs w:val="20"/>
        </w:rPr>
        <w:t xml:space="preserve">                邮政编码： </w:t>
      </w:r>
    </w:p>
    <w:p w14:paraId="221D786F">
      <w:pPr>
        <w:keepNext w:val="0"/>
        <w:keepLines w:val="0"/>
        <w:pageBreakBefore w:val="0"/>
        <w:widowControl/>
        <w:kinsoku/>
        <w:wordWrap/>
        <w:overflowPunct/>
        <w:bidi w:val="0"/>
        <w:snapToGrid/>
        <w:spacing w:line="360" w:lineRule="auto"/>
        <w:textAlignment w:val="auto"/>
        <w:rPr>
          <w:rFonts w:hint="eastAsia" w:ascii="仿宋" w:hAnsi="仿宋" w:eastAsia="仿宋" w:cs="仿宋"/>
          <w:bCs/>
          <w:sz w:val="20"/>
          <w:szCs w:val="20"/>
        </w:rPr>
      </w:pPr>
      <w:r>
        <w:rPr>
          <w:rFonts w:hint="eastAsia" w:ascii="仿宋" w:hAnsi="仿宋" w:eastAsia="仿宋" w:cs="仿宋"/>
          <w:b/>
          <w:color w:val="000000"/>
          <w:sz w:val="20"/>
          <w:szCs w:val="20"/>
        </w:rPr>
        <w:t>电话：</w:t>
      </w:r>
      <w:r>
        <w:rPr>
          <w:rFonts w:hint="eastAsia" w:ascii="仿宋" w:hAnsi="仿宋" w:eastAsia="仿宋" w:cs="仿宋"/>
          <w:color w:val="000000"/>
          <w:sz w:val="20"/>
          <w:szCs w:val="20"/>
        </w:rPr>
        <w:t xml:space="preserve">029-87630746           </w:t>
      </w:r>
      <w:r>
        <w:rPr>
          <w:rFonts w:hint="eastAsia" w:ascii="仿宋" w:hAnsi="仿宋" w:eastAsia="仿宋" w:cs="仿宋"/>
          <w:b/>
          <w:color w:val="000000"/>
          <w:sz w:val="20"/>
          <w:szCs w:val="20"/>
        </w:rPr>
        <w:t xml:space="preserve">        电话：</w:t>
      </w:r>
    </w:p>
    <w:p w14:paraId="5FA1F97D">
      <w:pPr>
        <w:keepNext w:val="0"/>
        <w:keepLines w:val="0"/>
        <w:pageBreakBefore w:val="0"/>
        <w:widowControl/>
        <w:kinsoku/>
        <w:wordWrap/>
        <w:overflowPunct/>
        <w:bidi w:val="0"/>
        <w:snapToGrid/>
        <w:spacing w:line="360" w:lineRule="auto"/>
        <w:textAlignment w:val="auto"/>
        <w:rPr>
          <w:rFonts w:hint="eastAsia" w:ascii="仿宋" w:hAnsi="仿宋" w:eastAsia="仿宋" w:cs="仿宋"/>
          <w:b/>
          <w:color w:val="000000"/>
          <w:sz w:val="20"/>
          <w:szCs w:val="20"/>
        </w:rPr>
      </w:pPr>
      <w:r>
        <w:rPr>
          <w:rFonts w:hint="eastAsia" w:ascii="仿宋" w:hAnsi="仿宋" w:eastAsia="仿宋" w:cs="仿宋"/>
          <w:b/>
          <w:color w:val="000000"/>
          <w:sz w:val="20"/>
          <w:szCs w:val="20"/>
        </w:rPr>
        <w:t>法定代表人（授权代表）：              法定代表人（授权代表）：</w:t>
      </w:r>
    </w:p>
    <w:p w14:paraId="186422C7">
      <w:pPr>
        <w:keepNext w:val="0"/>
        <w:keepLines w:val="0"/>
        <w:pageBreakBefore w:val="0"/>
        <w:tabs>
          <w:tab w:val="left" w:pos="480"/>
        </w:tabs>
        <w:kinsoku/>
        <w:wordWrap/>
        <w:overflowPunct/>
        <w:bidi w:val="0"/>
        <w:snapToGrid/>
        <w:spacing w:line="360" w:lineRule="auto"/>
        <w:textAlignment w:val="auto"/>
        <w:rPr>
          <w:rFonts w:hint="eastAsia" w:ascii="仿宋" w:hAnsi="仿宋" w:eastAsia="仿宋" w:cs="仿宋"/>
          <w:color w:val="000000"/>
          <w:sz w:val="20"/>
          <w:szCs w:val="20"/>
        </w:rPr>
      </w:pPr>
      <w:r>
        <w:rPr>
          <w:rFonts w:hint="eastAsia" w:ascii="仿宋" w:hAnsi="仿宋" w:eastAsia="仿宋" w:cs="仿宋"/>
          <w:b/>
          <w:color w:val="000000"/>
          <w:sz w:val="20"/>
          <w:szCs w:val="20"/>
        </w:rPr>
        <w:t xml:space="preserve">签约日期：   </w:t>
      </w:r>
      <w:r>
        <w:rPr>
          <w:rFonts w:hint="eastAsia" w:ascii="仿宋" w:hAnsi="仿宋" w:eastAsia="仿宋" w:cs="仿宋"/>
          <w:color w:val="000000"/>
          <w:sz w:val="20"/>
          <w:szCs w:val="20"/>
        </w:rPr>
        <w:t xml:space="preserve">年    月   日    </w:t>
      </w:r>
      <w:r>
        <w:rPr>
          <w:rFonts w:hint="eastAsia" w:ascii="仿宋" w:hAnsi="仿宋" w:eastAsia="仿宋" w:cs="仿宋"/>
          <w:b/>
          <w:color w:val="000000"/>
          <w:sz w:val="20"/>
          <w:szCs w:val="20"/>
        </w:rPr>
        <w:t xml:space="preserve">       签约日期：   </w:t>
      </w:r>
      <w:r>
        <w:rPr>
          <w:rFonts w:hint="eastAsia" w:ascii="仿宋" w:hAnsi="仿宋" w:eastAsia="仿宋" w:cs="仿宋"/>
          <w:color w:val="000000"/>
          <w:sz w:val="20"/>
          <w:szCs w:val="20"/>
        </w:rPr>
        <w:t>年    月    日</w:t>
      </w:r>
    </w:p>
    <w:p w14:paraId="6AC9A7E0">
      <w:pPr>
        <w:pStyle w:val="3"/>
        <w:keepNext w:val="0"/>
        <w:keepLines w:val="0"/>
        <w:pageBreakBefore w:val="0"/>
        <w:kinsoku/>
        <w:wordWrap/>
        <w:overflowPunct/>
        <w:bidi w:val="0"/>
        <w:snapToGrid/>
        <w:spacing w:line="360" w:lineRule="auto"/>
        <w:textAlignment w:val="auto"/>
        <w:rPr>
          <w:rFonts w:hint="eastAsia" w:ascii="仿宋" w:hAnsi="仿宋" w:eastAsia="仿宋" w:cs="仿宋"/>
          <w:b/>
          <w:color w:val="000000" w:themeColor="text1"/>
          <w:sz w:val="20"/>
          <w:szCs w:val="20"/>
          <w14:textFill>
            <w14:solidFill>
              <w14:schemeClr w14:val="tx1"/>
            </w14:solidFill>
          </w14:textFill>
        </w:rPr>
      </w:pPr>
    </w:p>
    <w:p w14:paraId="553A2679">
      <w:pPr>
        <w:keepNext w:val="0"/>
        <w:keepLines w:val="0"/>
        <w:pageBreakBefore w:val="0"/>
        <w:kinsoku/>
        <w:wordWrap/>
        <w:overflowPunct/>
        <w:bidi w:val="0"/>
        <w:snapToGrid/>
        <w:spacing w:line="360" w:lineRule="auto"/>
        <w:textAlignment w:val="auto"/>
        <w:rPr>
          <w:rFonts w:hint="eastAsia" w:ascii="仿宋" w:hAnsi="仿宋" w:eastAsia="仿宋" w:cs="仿宋"/>
          <w:b/>
          <w:color w:val="000000" w:themeColor="text1"/>
          <w:sz w:val="20"/>
          <w:szCs w:val="20"/>
          <w14:textFill>
            <w14:solidFill>
              <w14:schemeClr w14:val="tx1"/>
            </w14:solidFill>
          </w14:textFill>
        </w:rPr>
      </w:pPr>
    </w:p>
    <w:p w14:paraId="0F0ACA08">
      <w:pPr>
        <w:keepNext w:val="0"/>
        <w:keepLines w:val="0"/>
        <w:pageBreakBefore w:val="0"/>
        <w:kinsoku/>
        <w:wordWrap/>
        <w:overflowPunct/>
        <w:bidi w:val="0"/>
        <w:snapToGrid/>
        <w:spacing w:line="360" w:lineRule="auto"/>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附件</w:t>
      </w:r>
      <w:r>
        <w:rPr>
          <w:rFonts w:hint="eastAsia" w:ascii="仿宋" w:hAnsi="仿宋" w:eastAsia="仿宋" w:cs="仿宋"/>
          <w:color w:val="auto"/>
          <w:sz w:val="20"/>
          <w:szCs w:val="20"/>
          <w:lang w:eastAsia="zh-CN"/>
        </w:rPr>
        <w:t>一</w:t>
      </w:r>
      <w:r>
        <w:rPr>
          <w:rFonts w:hint="eastAsia" w:ascii="仿宋" w:hAnsi="仿宋" w:eastAsia="仿宋" w:cs="仿宋"/>
          <w:color w:val="auto"/>
          <w:sz w:val="20"/>
          <w:szCs w:val="20"/>
        </w:rPr>
        <w:t>：公司营业执照、委托书、受托人身份证复印件</w:t>
      </w:r>
    </w:p>
    <w:p w14:paraId="5FAC6242">
      <w:pPr>
        <w:pStyle w:val="3"/>
        <w:keepNext w:val="0"/>
        <w:keepLines w:val="0"/>
        <w:pageBreakBefore w:val="0"/>
        <w:kinsoku/>
        <w:wordWrap/>
        <w:overflowPunct/>
        <w:bidi w:val="0"/>
        <w:snapToGrid/>
        <w:spacing w:line="360" w:lineRule="auto"/>
        <w:textAlignment w:val="auto"/>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附件二：维保明细</w:t>
      </w:r>
    </w:p>
    <w:p w14:paraId="132EEF25">
      <w:pPr>
        <w:keepNext w:val="0"/>
        <w:keepLines w:val="0"/>
        <w:pageBreakBefore w:val="0"/>
        <w:kinsoku/>
        <w:wordWrap/>
        <w:overflowPunct/>
        <w:bidi w:val="0"/>
        <w:snapToGrid/>
        <w:spacing w:line="360" w:lineRule="auto"/>
        <w:jc w:val="center"/>
        <w:textAlignment w:val="auto"/>
      </w:pPr>
    </w:p>
    <w:p w14:paraId="37DBE6FA">
      <w:pPr>
        <w:keepNext w:val="0"/>
        <w:keepLines w:val="0"/>
        <w:pageBreakBefore w:val="0"/>
        <w:kinsoku/>
        <w:wordWrap/>
        <w:overflowPunct/>
        <w:bidi w:val="0"/>
        <w:snapToGrid/>
        <w:spacing w:line="360" w:lineRule="auto"/>
        <w:textAlignment w:val="auto"/>
      </w:pPr>
    </w:p>
    <w:p w14:paraId="34639CED">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p>
    <w:p w14:paraId="1F5BF15A">
      <w:pPr>
        <w:widowControl/>
        <w:rPr>
          <w:rFonts w:hint="eastAsia"/>
        </w:rPr>
      </w:pPr>
    </w:p>
    <w:p w14:paraId="26E3199C">
      <w:pPr>
        <w:pStyle w:val="7"/>
        <w:rPr>
          <w:rFonts w:hint="eastAsia"/>
          <w:lang w:val="en-US" w:eastAsia="zh-Hans"/>
        </w:rPr>
      </w:pPr>
    </w:p>
    <w:p w14:paraId="6A8F397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E4F4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keepNext/>
      <w:keepLines/>
      <w:spacing w:before="480" w:after="80"/>
      <w:outlineLvl w:val="0"/>
    </w:pPr>
    <w:rPr>
      <w:rFonts w:asciiTheme="majorHAnsi" w:hAnsiTheme="majorHAnsi" w:eastAsiaTheme="majorEastAsia" w:cstheme="majorBidi"/>
      <w:color w:val="2E54A1" w:themeColor="accent1" w:themeShade="BF"/>
      <w:sz w:val="48"/>
      <w:szCs w:val="4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2026-07-09T10:25:10Z</dcterms:created>
  <dc:creator>Administrator</dc:creator>
  <cp:lastModifiedBy> </cp:lastModifiedBy>
  <dcterms:modified xsi:type="dcterms:W3CDTF">2026-07-09T10:25:21Z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eyJoZGlkIjoiYWY1MWEyM2RmNDRlZThhZGQ5ZjhhZjg1ZjFjN2M0MGQiLCJ1c2VySWQiOiIyNjk2NzEwODAifQ==</vt:lpwstr>
  </property>
  <property fmtid="{D5CDD505-2E9C-101B-9397-08002B2CF9AE}" pid="4" name="ICV">
    <vt:lpwstr>CBB7B7FC27BA46E88F6A637BB5177D7F_12</vt:lpwstr>
  </property>
</Properties>
</file>