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376020">
      <w:pPr>
        <w:adjustRightInd w:val="0"/>
        <w:snapToGrid w:val="0"/>
        <w:spacing w:line="360" w:lineRule="auto"/>
        <w:jc w:val="center"/>
        <w:rPr>
          <w:rStyle w:val="10"/>
          <w:rFonts w:ascii="宋体" w:hAnsi="宋体"/>
          <w:b/>
          <w:bCs/>
          <w:sz w:val="44"/>
          <w:szCs w:val="44"/>
        </w:rPr>
      </w:pPr>
      <w:r>
        <w:rPr>
          <w:rStyle w:val="10"/>
          <w:rFonts w:hint="eastAsia" w:ascii="宋体" w:hAnsi="宋体"/>
          <w:b/>
          <w:bCs/>
          <w:sz w:val="44"/>
          <w:szCs w:val="44"/>
        </w:rPr>
        <w:t>拟签订的合同文本</w:t>
      </w:r>
    </w:p>
    <w:p w14:paraId="408E201A">
      <w:pPr>
        <w:adjustRightInd w:val="0"/>
        <w:snapToGrid w:val="0"/>
        <w:spacing w:line="360" w:lineRule="auto"/>
        <w:jc w:val="center"/>
        <w:rPr>
          <w:rFonts w:ascii="宋体" w:hAnsi="宋体"/>
          <w:b/>
          <w:color w:val="000000"/>
          <w:sz w:val="24"/>
          <w:szCs w:val="24"/>
        </w:rPr>
      </w:pPr>
      <w:bookmarkStart w:id="0" w:name="_Toc19188"/>
      <w:bookmarkStart w:id="1" w:name="_Toc191876958"/>
      <w:bookmarkStart w:id="2" w:name="_Toc11035"/>
      <w:r>
        <w:rPr>
          <w:rFonts w:hint="eastAsia" w:ascii="宋体" w:hAnsi="宋体"/>
          <w:b/>
          <w:color w:val="000000"/>
          <w:sz w:val="24"/>
          <w:szCs w:val="24"/>
        </w:rPr>
        <w:t>（本格式条款供采购人和成交供应商双方签订合同参考，采购人可根据项目的实际情况增减条款和内容）</w:t>
      </w:r>
    </w:p>
    <w:bookmarkEnd w:id="0"/>
    <w:bookmarkEnd w:id="1"/>
    <w:bookmarkEnd w:id="2"/>
    <w:p w14:paraId="6CABB6D8">
      <w:pPr>
        <w:adjustRightInd w:val="0"/>
        <w:snapToGrid w:val="0"/>
        <w:spacing w:line="360" w:lineRule="auto"/>
        <w:ind w:firstLine="5880" w:firstLineChars="2800"/>
        <w:rPr>
          <w:rFonts w:hint="eastAsia" w:ascii="Calibri" w:hAnsi="Calibri" w:cs="Calibri"/>
          <w:szCs w:val="21"/>
        </w:rPr>
      </w:pPr>
    </w:p>
    <w:p w14:paraId="69373AD3">
      <w:pPr>
        <w:adjustRightInd w:val="0"/>
        <w:snapToGrid w:val="0"/>
        <w:spacing w:line="360" w:lineRule="auto"/>
        <w:ind w:firstLine="5880" w:firstLineChars="2800"/>
        <w:rPr>
          <w:rFonts w:hint="eastAsia" w:ascii="Calibri" w:hAnsi="Calibri" w:cs="Calibri"/>
          <w:szCs w:val="21"/>
        </w:rPr>
      </w:pPr>
    </w:p>
    <w:p w14:paraId="3C341A38">
      <w:pPr>
        <w:adjustRightInd w:val="0"/>
        <w:snapToGrid w:val="0"/>
        <w:spacing w:line="360" w:lineRule="auto"/>
        <w:ind w:firstLine="5880" w:firstLineChars="2800"/>
        <w:rPr>
          <w:rFonts w:ascii="Calibri" w:hAnsi="Calibri" w:cs="Calibri"/>
          <w:szCs w:val="21"/>
          <w:u w:val="single"/>
        </w:rPr>
      </w:pPr>
      <w:r>
        <w:rPr>
          <w:rFonts w:hint="eastAsia" w:ascii="Calibri" w:hAnsi="Calibri" w:cs="Calibri"/>
          <w:szCs w:val="21"/>
        </w:rPr>
        <w:t>合同编号：</w:t>
      </w:r>
      <w:r>
        <w:rPr>
          <w:rFonts w:hint="eastAsia" w:ascii="Calibri" w:hAnsi="Calibri" w:cs="Calibri"/>
          <w:szCs w:val="21"/>
          <w:u w:val="single"/>
        </w:rPr>
        <w:t xml:space="preserve">             </w:t>
      </w:r>
    </w:p>
    <w:p w14:paraId="1BB73450">
      <w:pPr>
        <w:adjustRightInd w:val="0"/>
        <w:snapToGrid w:val="0"/>
        <w:spacing w:line="360" w:lineRule="auto"/>
        <w:ind w:firstLine="880" w:firstLineChars="200"/>
        <w:jc w:val="center"/>
        <w:rPr>
          <w:rFonts w:ascii="宋体" w:hAnsi="宋体" w:cs="宋体"/>
          <w:color w:val="000000"/>
          <w:sz w:val="44"/>
          <w:szCs w:val="44"/>
        </w:rPr>
      </w:pPr>
    </w:p>
    <w:p w14:paraId="09707860">
      <w:pPr>
        <w:adjustRightInd w:val="0"/>
        <w:snapToGrid w:val="0"/>
        <w:spacing w:line="360" w:lineRule="auto"/>
        <w:jc w:val="center"/>
        <w:rPr>
          <w:rFonts w:hint="eastAsia" w:ascii="宋体" w:hAnsi="宋体" w:cs="宋体"/>
          <w:b/>
          <w:color w:val="000000"/>
          <w:sz w:val="44"/>
          <w:szCs w:val="44"/>
        </w:rPr>
      </w:pPr>
      <w:r>
        <w:rPr>
          <w:rFonts w:hint="eastAsia" w:ascii="宋体" w:hAnsi="宋体" w:cs="宋体"/>
          <w:b/>
          <w:color w:val="000000"/>
          <w:sz w:val="44"/>
          <w:szCs w:val="44"/>
        </w:rPr>
        <w:t>西安高新区公办学校</w:t>
      </w:r>
    </w:p>
    <w:p w14:paraId="2F30DC33">
      <w:pPr>
        <w:adjustRightInd w:val="0"/>
        <w:snapToGrid w:val="0"/>
        <w:spacing w:line="360" w:lineRule="auto"/>
        <w:jc w:val="center"/>
        <w:rPr>
          <w:rFonts w:ascii="宋体" w:hAnsi="宋体" w:cs="宋体"/>
          <w:b/>
          <w:color w:val="000000"/>
          <w:sz w:val="44"/>
          <w:szCs w:val="44"/>
        </w:rPr>
      </w:pPr>
      <w:r>
        <w:rPr>
          <w:rFonts w:hint="eastAsia" w:ascii="宋体" w:hAnsi="宋体" w:cs="宋体"/>
          <w:b/>
          <w:color w:val="000000"/>
          <w:sz w:val="44"/>
          <w:szCs w:val="44"/>
          <w:lang w:eastAsia="zh-CN"/>
        </w:rPr>
        <w:t>2026</w:t>
      </w:r>
      <w:r>
        <w:rPr>
          <w:rFonts w:hint="eastAsia" w:ascii="宋体" w:hAnsi="宋体" w:cs="宋体"/>
          <w:b/>
          <w:color w:val="000000"/>
          <w:sz w:val="44"/>
          <w:szCs w:val="44"/>
        </w:rPr>
        <w:t>年度公开招聘教职工项目</w:t>
      </w:r>
    </w:p>
    <w:p w14:paraId="40992C09">
      <w:pPr>
        <w:adjustRightInd w:val="0"/>
        <w:snapToGrid w:val="0"/>
        <w:spacing w:after="120" w:line="360" w:lineRule="auto"/>
        <w:rPr>
          <w:szCs w:val="21"/>
        </w:rPr>
      </w:pPr>
    </w:p>
    <w:p w14:paraId="43FE5A19">
      <w:pPr>
        <w:adjustRightInd w:val="0"/>
        <w:snapToGrid w:val="0"/>
        <w:spacing w:after="120" w:line="360" w:lineRule="auto"/>
        <w:rPr>
          <w:szCs w:val="21"/>
        </w:rPr>
      </w:pPr>
    </w:p>
    <w:p w14:paraId="72A81166">
      <w:pPr>
        <w:adjustRightInd w:val="0"/>
        <w:snapToGrid w:val="0"/>
        <w:spacing w:after="120" w:line="360" w:lineRule="auto"/>
        <w:rPr>
          <w:szCs w:val="21"/>
        </w:rPr>
      </w:pPr>
    </w:p>
    <w:p w14:paraId="7D5BED14">
      <w:pPr>
        <w:adjustRightInd w:val="0"/>
        <w:snapToGrid w:val="0"/>
        <w:spacing w:after="120" w:line="360" w:lineRule="auto"/>
        <w:rPr>
          <w:szCs w:val="21"/>
        </w:rPr>
      </w:pPr>
    </w:p>
    <w:p w14:paraId="6720BCB2">
      <w:pPr>
        <w:adjustRightInd w:val="0"/>
        <w:snapToGrid w:val="0"/>
        <w:spacing w:after="120" w:line="360" w:lineRule="auto"/>
        <w:rPr>
          <w:szCs w:val="21"/>
        </w:rPr>
      </w:pPr>
    </w:p>
    <w:p w14:paraId="6964AEA0">
      <w:pPr>
        <w:adjustRightInd w:val="0"/>
        <w:snapToGrid w:val="0"/>
        <w:spacing w:after="120" w:line="360" w:lineRule="auto"/>
        <w:rPr>
          <w:szCs w:val="21"/>
        </w:rPr>
      </w:pPr>
    </w:p>
    <w:p w14:paraId="06A494ED">
      <w:pPr>
        <w:adjustRightInd w:val="0"/>
        <w:snapToGrid w:val="0"/>
        <w:spacing w:after="120" w:line="360" w:lineRule="auto"/>
        <w:rPr>
          <w:szCs w:val="21"/>
        </w:rPr>
      </w:pPr>
    </w:p>
    <w:p w14:paraId="7D6A58D7">
      <w:pPr>
        <w:adjustRightInd w:val="0"/>
        <w:snapToGrid w:val="0"/>
        <w:spacing w:after="120" w:line="360" w:lineRule="auto"/>
        <w:rPr>
          <w:szCs w:val="21"/>
        </w:rPr>
      </w:pPr>
    </w:p>
    <w:p w14:paraId="5E58F2F4">
      <w:pPr>
        <w:adjustRightInd w:val="0"/>
        <w:snapToGrid w:val="0"/>
        <w:spacing w:after="120" w:line="360" w:lineRule="auto"/>
        <w:rPr>
          <w:szCs w:val="21"/>
        </w:rPr>
      </w:pPr>
    </w:p>
    <w:p w14:paraId="04479912">
      <w:pPr>
        <w:adjustRightInd w:val="0"/>
        <w:snapToGrid w:val="0"/>
        <w:spacing w:after="120" w:line="360" w:lineRule="auto"/>
        <w:rPr>
          <w:szCs w:val="21"/>
        </w:rPr>
      </w:pPr>
    </w:p>
    <w:p w14:paraId="18670A0D">
      <w:pPr>
        <w:adjustRightInd w:val="0"/>
        <w:snapToGrid w:val="0"/>
        <w:spacing w:after="120" w:line="360" w:lineRule="auto"/>
        <w:rPr>
          <w:szCs w:val="21"/>
        </w:rPr>
      </w:pPr>
    </w:p>
    <w:p w14:paraId="0DC9E9BC">
      <w:pPr>
        <w:adjustRightInd w:val="0"/>
        <w:snapToGrid w:val="0"/>
        <w:spacing w:after="120" w:line="360" w:lineRule="auto"/>
        <w:rPr>
          <w:szCs w:val="21"/>
        </w:rPr>
      </w:pPr>
    </w:p>
    <w:p w14:paraId="02C7550B">
      <w:pPr>
        <w:adjustRightInd w:val="0"/>
        <w:snapToGrid w:val="0"/>
        <w:spacing w:after="120" w:line="360" w:lineRule="auto"/>
        <w:rPr>
          <w:szCs w:val="21"/>
        </w:rPr>
      </w:pPr>
    </w:p>
    <w:p w14:paraId="0D7CFE91">
      <w:pPr>
        <w:adjustRightInd w:val="0"/>
        <w:snapToGrid w:val="0"/>
        <w:spacing w:line="360" w:lineRule="auto"/>
        <w:jc w:val="center"/>
        <w:rPr>
          <w:rFonts w:hint="eastAsia" w:ascii="宋体" w:hAnsi="宋体" w:cs="宋体"/>
          <w:kern w:val="0"/>
          <w:sz w:val="24"/>
          <w:szCs w:val="24"/>
        </w:rPr>
      </w:pPr>
    </w:p>
    <w:p w14:paraId="1DFE1B4B">
      <w:pPr>
        <w:adjustRightInd w:val="0"/>
        <w:snapToGrid w:val="0"/>
        <w:spacing w:line="360" w:lineRule="auto"/>
        <w:jc w:val="center"/>
        <w:rPr>
          <w:rFonts w:ascii="宋体" w:hAnsi="宋体" w:cs="宋体"/>
          <w:sz w:val="24"/>
          <w:szCs w:val="24"/>
        </w:rPr>
      </w:pPr>
      <w:r>
        <w:rPr>
          <w:rFonts w:hint="eastAsia" w:ascii="宋体" w:hAnsi="宋体" w:cs="宋体"/>
          <w:kern w:val="0"/>
          <w:sz w:val="24"/>
          <w:szCs w:val="24"/>
        </w:rPr>
        <w:t>签订时间：    年  月  日</w:t>
      </w:r>
    </w:p>
    <w:p w14:paraId="7A16F249">
      <w:pPr>
        <w:adjustRightInd w:val="0"/>
        <w:snapToGrid w:val="0"/>
        <w:spacing w:after="120" w:line="360" w:lineRule="auto"/>
        <w:rPr>
          <w:szCs w:val="21"/>
        </w:rPr>
      </w:pPr>
    </w:p>
    <w:p w14:paraId="09FA2495">
      <w:pPr>
        <w:pStyle w:val="6"/>
        <w:numPr>
          <w:ilvl w:val="3"/>
          <w:numId w:val="0"/>
        </w:numPr>
        <w:ind w:leftChars="0"/>
      </w:pPr>
    </w:p>
    <w:p w14:paraId="19477CB7">
      <w:pPr>
        <w:adjustRightInd w:val="0"/>
        <w:snapToGrid w:val="0"/>
        <w:spacing w:line="360" w:lineRule="auto"/>
        <w:rPr>
          <w:rFonts w:ascii="宋体" w:hAnsi="宋体" w:cs="宋体"/>
          <w:color w:val="000000"/>
          <w:sz w:val="24"/>
          <w:szCs w:val="24"/>
          <w:u w:val="single"/>
        </w:rPr>
      </w:pPr>
      <w:r>
        <w:rPr>
          <w:rFonts w:hint="eastAsia" w:ascii="宋体" w:hAnsi="宋体" w:cs="宋体"/>
          <w:color w:val="000000"/>
          <w:kern w:val="0"/>
          <w:sz w:val="24"/>
          <w:szCs w:val="24"/>
        </w:rPr>
        <w:t>甲方:</w:t>
      </w:r>
      <w:r>
        <w:rPr>
          <w:rFonts w:hint="eastAsia" w:ascii="宋体" w:hAnsi="宋体" w:cs="宋体"/>
          <w:color w:val="000000"/>
          <w:sz w:val="24"/>
          <w:szCs w:val="24"/>
        </w:rPr>
        <w:t xml:space="preserve"> </w:t>
      </w:r>
      <w:r>
        <w:rPr>
          <w:rFonts w:hint="eastAsia" w:ascii="宋体" w:hAnsi="宋体" w:cs="宋体"/>
          <w:color w:val="000000"/>
          <w:sz w:val="24"/>
          <w:szCs w:val="24"/>
          <w:u w:val="single"/>
        </w:rPr>
        <w:t>中共西安高新技术产业开发区工作委员会组织人事部</w:t>
      </w:r>
    </w:p>
    <w:p w14:paraId="4510D611">
      <w:pPr>
        <w:adjustRightInd w:val="0"/>
        <w:snapToGrid w:val="0"/>
        <w:spacing w:line="360" w:lineRule="auto"/>
        <w:rPr>
          <w:rFonts w:ascii="宋体" w:hAnsi="宋体" w:cs="宋体"/>
          <w:color w:val="000000"/>
          <w:sz w:val="24"/>
          <w:szCs w:val="24"/>
          <w:u w:val="single"/>
        </w:rPr>
      </w:pPr>
      <w:r>
        <w:rPr>
          <w:rFonts w:hint="eastAsia" w:ascii="宋体" w:hAnsi="宋体" w:cs="宋体"/>
          <w:color w:val="000000"/>
          <w:kern w:val="0"/>
          <w:sz w:val="24"/>
          <w:szCs w:val="24"/>
        </w:rPr>
        <w:t xml:space="preserve">乙方:  </w:t>
      </w:r>
      <w:r>
        <w:rPr>
          <w:rFonts w:hint="eastAsia" w:ascii="宋体" w:hAnsi="宋体" w:cs="宋体"/>
          <w:color w:val="000000"/>
          <w:kern w:val="0"/>
          <w:sz w:val="24"/>
          <w:szCs w:val="24"/>
          <w:u w:val="single"/>
        </w:rPr>
        <w:t xml:space="preserve">                           </w:t>
      </w:r>
      <w:r>
        <w:rPr>
          <w:rFonts w:hint="eastAsia" w:ascii="宋体" w:hAnsi="宋体" w:cs="宋体"/>
          <w:color w:val="000000"/>
          <w:kern w:val="0"/>
          <w:sz w:val="24"/>
          <w:szCs w:val="24"/>
          <w:u w:val="single"/>
          <w:lang w:val="en-US" w:eastAsia="zh-CN"/>
        </w:rPr>
        <w:t xml:space="preserve">        </w:t>
      </w:r>
      <w:r>
        <w:rPr>
          <w:rFonts w:hint="eastAsia" w:ascii="宋体" w:hAnsi="宋体" w:cs="宋体"/>
          <w:color w:val="000000"/>
          <w:kern w:val="0"/>
          <w:sz w:val="24"/>
          <w:szCs w:val="24"/>
          <w:u w:val="single"/>
        </w:rPr>
        <w:t xml:space="preserve">          </w:t>
      </w:r>
    </w:p>
    <w:p w14:paraId="329D9265">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甲乙双方本着平等公平、诚实信用的原则，为保护双方的合法权益，根据《中华人民共和国民法典》的有关规定，经友好协商一致签订本合同，双方共同遵守。具体条款如下：</w:t>
      </w:r>
    </w:p>
    <w:p w14:paraId="3E4EDDAB">
      <w:pPr>
        <w:adjustRightInd w:val="0"/>
        <w:snapToGrid w:val="0"/>
        <w:spacing w:line="360" w:lineRule="auto"/>
        <w:ind w:firstLine="480" w:firstLineChars="200"/>
        <w:jc w:val="left"/>
        <w:rPr>
          <w:rFonts w:ascii="宋体" w:hAnsi="宋体" w:cs="宋体"/>
          <w:bCs/>
          <w:color w:val="000000"/>
          <w:sz w:val="24"/>
          <w:szCs w:val="24"/>
        </w:rPr>
      </w:pPr>
      <w:r>
        <w:rPr>
          <w:rFonts w:hint="eastAsia" w:ascii="宋体" w:hAnsi="宋体" w:cs="宋体"/>
          <w:bCs/>
          <w:color w:val="000000"/>
          <w:sz w:val="24"/>
          <w:szCs w:val="24"/>
        </w:rPr>
        <w:t>一、委托内容</w:t>
      </w:r>
    </w:p>
    <w:p w14:paraId="7E431145">
      <w:pPr>
        <w:adjustRightInd w:val="0"/>
        <w:snapToGrid w:val="0"/>
        <w:spacing w:line="360" w:lineRule="auto"/>
        <w:ind w:firstLine="480" w:firstLineChars="200"/>
        <w:jc w:val="left"/>
        <w:rPr>
          <w:rFonts w:ascii="宋体" w:hAnsi="宋体" w:cs="宋体"/>
          <w:color w:val="000000"/>
          <w:sz w:val="24"/>
          <w:szCs w:val="24"/>
          <w:u w:val="single"/>
        </w:rPr>
      </w:pPr>
      <w:r>
        <w:rPr>
          <w:rFonts w:hint="eastAsia" w:ascii="宋体" w:hAnsi="宋体" w:cs="宋体"/>
          <w:bCs/>
          <w:color w:val="000000"/>
          <w:sz w:val="24"/>
          <w:szCs w:val="24"/>
        </w:rPr>
        <w:t>（一）甲方委托乙方负责</w:t>
      </w:r>
      <w:r>
        <w:rPr>
          <w:rFonts w:hint="eastAsia" w:ascii="宋体" w:hAnsi="宋体" w:cs="宋体"/>
          <w:color w:val="000000"/>
          <w:sz w:val="24"/>
          <w:szCs w:val="24"/>
          <w:u w:val="single"/>
        </w:rPr>
        <w:t>：西安高新区公办学校</w:t>
      </w:r>
      <w:r>
        <w:rPr>
          <w:rFonts w:hint="eastAsia" w:ascii="宋体" w:hAnsi="宋体" w:cs="宋体"/>
          <w:color w:val="000000"/>
          <w:sz w:val="24"/>
          <w:szCs w:val="24"/>
          <w:u w:val="single"/>
          <w:lang w:eastAsia="zh-CN"/>
        </w:rPr>
        <w:t>2026</w:t>
      </w:r>
      <w:r>
        <w:rPr>
          <w:rFonts w:hint="eastAsia" w:ascii="宋体" w:hAnsi="宋体" w:cs="宋体"/>
          <w:color w:val="000000"/>
          <w:sz w:val="24"/>
          <w:szCs w:val="24"/>
          <w:u w:val="single"/>
        </w:rPr>
        <w:t>年度公开招聘教职工项目</w:t>
      </w:r>
      <w:r>
        <w:rPr>
          <w:rFonts w:hint="eastAsia" w:ascii="宋体" w:hAnsi="宋体" w:cs="宋体"/>
          <w:color w:val="000000"/>
          <w:kern w:val="0"/>
          <w:sz w:val="24"/>
          <w:szCs w:val="24"/>
          <w:u w:val="single"/>
        </w:rPr>
        <w:t>。</w:t>
      </w:r>
    </w:p>
    <w:p w14:paraId="274CA292">
      <w:pPr>
        <w:adjustRightInd w:val="0"/>
        <w:snapToGrid w:val="0"/>
        <w:spacing w:line="360" w:lineRule="auto"/>
        <w:ind w:firstLine="480" w:firstLineChars="200"/>
        <w:jc w:val="left"/>
        <w:rPr>
          <w:rFonts w:ascii="宋体" w:hAnsi="宋体" w:cs="宋体"/>
          <w:color w:val="000000"/>
          <w:sz w:val="24"/>
          <w:szCs w:val="24"/>
          <w:u w:val="single"/>
        </w:rPr>
      </w:pPr>
      <w:r>
        <w:rPr>
          <w:rFonts w:hint="eastAsia" w:ascii="宋体" w:hAnsi="宋体" w:cs="宋体"/>
          <w:bCs/>
          <w:color w:val="000000"/>
          <w:sz w:val="24"/>
          <w:szCs w:val="24"/>
        </w:rPr>
        <w:t>（二）服务地点：</w:t>
      </w:r>
      <w:r>
        <w:rPr>
          <w:rFonts w:hint="eastAsia" w:ascii="宋体" w:hAnsi="宋体" w:cs="宋体"/>
          <w:color w:val="000000"/>
          <w:sz w:val="24"/>
          <w:szCs w:val="24"/>
          <w:u w:val="single"/>
        </w:rPr>
        <w:t xml:space="preserve">                                               </w:t>
      </w:r>
    </w:p>
    <w:p w14:paraId="69B525FA">
      <w:pPr>
        <w:adjustRightInd w:val="0"/>
        <w:snapToGrid w:val="0"/>
        <w:spacing w:line="360" w:lineRule="auto"/>
        <w:ind w:firstLine="480" w:firstLineChars="200"/>
        <w:rPr>
          <w:rFonts w:ascii="宋体" w:hAnsi="宋体" w:cs="宋体"/>
          <w:bCs/>
          <w:sz w:val="24"/>
          <w:szCs w:val="24"/>
          <w:u w:val="single"/>
        </w:rPr>
      </w:pPr>
      <w:r>
        <w:rPr>
          <w:rFonts w:hint="eastAsia" w:ascii="宋体" w:hAnsi="宋体" w:cs="宋体"/>
          <w:bCs/>
          <w:sz w:val="24"/>
          <w:szCs w:val="24"/>
        </w:rPr>
        <w:t>（三）活动时间：</w:t>
      </w:r>
      <w:r>
        <w:rPr>
          <w:rFonts w:hint="eastAsia" w:ascii="宋体" w:hAnsi="宋体" w:cs="宋体"/>
          <w:bCs/>
          <w:sz w:val="24"/>
          <w:szCs w:val="24"/>
          <w:u w:val="single"/>
        </w:rPr>
        <w:t xml:space="preserve">                                               </w:t>
      </w:r>
    </w:p>
    <w:p w14:paraId="32D2AB3B">
      <w:pPr>
        <w:adjustRightInd w:val="0"/>
        <w:snapToGrid w:val="0"/>
        <w:spacing w:line="360" w:lineRule="auto"/>
        <w:ind w:firstLine="480" w:firstLineChars="200"/>
        <w:rPr>
          <w:rFonts w:ascii="宋体" w:hAnsi="宋体" w:cs="Calibri"/>
          <w:sz w:val="24"/>
          <w:szCs w:val="24"/>
        </w:rPr>
      </w:pPr>
      <w:r>
        <w:rPr>
          <w:rFonts w:hint="eastAsia" w:ascii="宋体" w:hAnsi="宋体" w:cs="宋体"/>
          <w:bCs/>
          <w:sz w:val="24"/>
          <w:szCs w:val="24"/>
        </w:rPr>
        <w:t>（四）服务期限：</w:t>
      </w:r>
      <w:r>
        <w:rPr>
          <w:rFonts w:hint="eastAsia" w:ascii="宋体" w:hAnsi="宋体" w:cs="宋体"/>
          <w:bCs/>
          <w:sz w:val="24"/>
          <w:szCs w:val="24"/>
          <w:u w:val="single"/>
        </w:rPr>
        <w:t xml:space="preserve">                                               </w:t>
      </w:r>
    </w:p>
    <w:p w14:paraId="309D92F5">
      <w:pPr>
        <w:adjustRightInd w:val="0"/>
        <w:snapToGrid w:val="0"/>
        <w:spacing w:line="360" w:lineRule="auto"/>
        <w:ind w:firstLine="480" w:firstLineChars="200"/>
        <w:jc w:val="left"/>
        <w:rPr>
          <w:rFonts w:ascii="宋体" w:hAnsi="宋体" w:cs="宋体"/>
          <w:bCs/>
          <w:sz w:val="24"/>
          <w:szCs w:val="24"/>
        </w:rPr>
      </w:pPr>
      <w:r>
        <w:rPr>
          <w:rFonts w:hint="eastAsia" w:ascii="宋体" w:hAnsi="宋体" w:cs="宋体"/>
          <w:bCs/>
          <w:sz w:val="24"/>
          <w:szCs w:val="24"/>
        </w:rPr>
        <w:t>二、合同总价款及付款方式</w:t>
      </w:r>
    </w:p>
    <w:p w14:paraId="739A4834">
      <w:pPr>
        <w:adjustRightInd w:val="0"/>
        <w:snapToGrid w:val="0"/>
        <w:spacing w:line="360" w:lineRule="auto"/>
        <w:ind w:firstLine="480" w:firstLineChars="200"/>
        <w:jc w:val="left"/>
        <w:rPr>
          <w:rFonts w:hint="eastAsia" w:ascii="宋体" w:hAnsi="宋体" w:eastAsia="宋体" w:cs="宋体"/>
          <w:bCs/>
          <w:color w:val="000000"/>
          <w:sz w:val="24"/>
          <w:szCs w:val="24"/>
          <w:lang w:eastAsia="zh-CN"/>
        </w:rPr>
      </w:pPr>
      <w:r>
        <w:rPr>
          <w:rFonts w:hint="eastAsia" w:ascii="宋体" w:hAnsi="宋体" w:cs="宋体"/>
          <w:bCs/>
          <w:color w:val="000000"/>
          <w:sz w:val="24"/>
          <w:szCs w:val="24"/>
        </w:rPr>
        <w:t>（一）本合同为固定总价合同，合同总价为：人民币</w:t>
      </w:r>
      <w:r>
        <w:rPr>
          <w:rFonts w:hint="eastAsia" w:ascii="宋体" w:hAnsi="宋体" w:cs="宋体"/>
          <w:bCs/>
          <w:color w:val="000000"/>
          <w:sz w:val="24"/>
          <w:szCs w:val="24"/>
          <w:u w:val="single"/>
        </w:rPr>
        <w:t xml:space="preserve">     元</w:t>
      </w:r>
      <w:r>
        <w:rPr>
          <w:rFonts w:hint="eastAsia" w:ascii="宋体" w:hAnsi="宋体" w:cs="宋体"/>
          <w:bCs/>
          <w:color w:val="000000"/>
          <w:sz w:val="24"/>
          <w:szCs w:val="24"/>
        </w:rPr>
        <w:t>（¥</w:t>
      </w:r>
      <w:r>
        <w:rPr>
          <w:rFonts w:hint="eastAsia" w:ascii="宋体" w:hAnsi="宋体" w:cs="宋体"/>
          <w:bCs/>
          <w:color w:val="000000"/>
          <w:sz w:val="24"/>
          <w:szCs w:val="24"/>
          <w:u w:val="single"/>
        </w:rPr>
        <w:t xml:space="preserve">     </w:t>
      </w:r>
      <w:r>
        <w:rPr>
          <w:rFonts w:hint="eastAsia" w:ascii="宋体" w:hAnsi="宋体" w:cs="宋体"/>
          <w:bCs/>
          <w:color w:val="000000"/>
          <w:sz w:val="24"/>
          <w:szCs w:val="24"/>
        </w:rPr>
        <w:t>）</w:t>
      </w:r>
      <w:r>
        <w:rPr>
          <w:rFonts w:hint="eastAsia" w:ascii="宋体" w:hAnsi="宋体" w:cs="宋体"/>
          <w:bCs/>
          <w:color w:val="000000"/>
          <w:sz w:val="24"/>
          <w:szCs w:val="24"/>
          <w:lang w:eastAsia="zh-CN"/>
        </w:rPr>
        <w:t>。</w:t>
      </w:r>
    </w:p>
    <w:p w14:paraId="4E60D114">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付款条件说明：</w:t>
      </w:r>
    </w:p>
    <w:p w14:paraId="5DF6CAD2">
      <w:pPr>
        <w:adjustRightInd w:val="0"/>
        <w:snapToGrid w:val="0"/>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项目实施完成验收合格后，达到付款条件起 30 日内，支付合同总金额的 100.00%。</w:t>
      </w:r>
      <w:bookmarkStart w:id="3" w:name="_GoBack"/>
      <w:bookmarkEnd w:id="3"/>
    </w:p>
    <w:p w14:paraId="16DFB751">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乙方需在甲方付款前提供足额发票，因乙方发票提供不及时导致的付款延期等情况，甲方不承担任何责任。</w:t>
      </w:r>
    </w:p>
    <w:p w14:paraId="255024EA">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(二)乙方收款信息</w:t>
      </w:r>
    </w:p>
    <w:p w14:paraId="1E9C0ABC">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 xml:space="preserve">公司名称： </w:t>
      </w:r>
    </w:p>
    <w:p w14:paraId="5A88DA7A">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地    址：</w:t>
      </w:r>
    </w:p>
    <w:p w14:paraId="0F37EC5B">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开户银行：</w:t>
      </w:r>
    </w:p>
    <w:p w14:paraId="35BFBE71">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账    号：</w:t>
      </w:r>
    </w:p>
    <w:p w14:paraId="2F06B346">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电    话：</w:t>
      </w:r>
    </w:p>
    <w:p w14:paraId="79A87E92">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传    真：</w:t>
      </w:r>
    </w:p>
    <w:p w14:paraId="669B8904">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(三)甲方开票信息</w:t>
      </w:r>
    </w:p>
    <w:p w14:paraId="0E4D0A62">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 xml:space="preserve">公司名称： </w:t>
      </w:r>
    </w:p>
    <w:p w14:paraId="04F90286">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地    址：</w:t>
      </w:r>
    </w:p>
    <w:p w14:paraId="53BFFFD3">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开户银行：</w:t>
      </w:r>
    </w:p>
    <w:p w14:paraId="7E232485">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账    号：</w:t>
      </w:r>
    </w:p>
    <w:p w14:paraId="11716F4B">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电    话：</w:t>
      </w:r>
    </w:p>
    <w:p w14:paraId="7E4A4C03">
      <w:pPr>
        <w:adjustRightInd w:val="0"/>
        <w:snapToGrid w:val="0"/>
        <w:spacing w:line="360" w:lineRule="auto"/>
        <w:ind w:firstLine="480" w:firstLineChars="200"/>
        <w:rPr>
          <w:rFonts w:ascii="宋体" w:hAnsi="宋体" w:cs="宋体"/>
          <w:bCs/>
          <w:sz w:val="24"/>
          <w:szCs w:val="24"/>
        </w:rPr>
      </w:pPr>
      <w:r>
        <w:rPr>
          <w:rFonts w:hint="eastAsia" w:ascii="宋体" w:hAnsi="宋体" w:cs="宋体"/>
          <w:sz w:val="24"/>
          <w:szCs w:val="24"/>
        </w:rPr>
        <w:t>传    真：</w:t>
      </w:r>
    </w:p>
    <w:p w14:paraId="7ED235B2">
      <w:pPr>
        <w:adjustRightInd w:val="0"/>
        <w:snapToGrid w:val="0"/>
        <w:spacing w:line="360" w:lineRule="auto"/>
        <w:ind w:firstLine="480" w:firstLineChars="200"/>
        <w:rPr>
          <w:rFonts w:ascii="宋体" w:hAnsi="宋体" w:cs="宋体"/>
          <w:bCs/>
          <w:sz w:val="24"/>
          <w:szCs w:val="24"/>
        </w:rPr>
      </w:pPr>
      <w:r>
        <w:rPr>
          <w:rFonts w:hint="eastAsia" w:ascii="宋体" w:hAnsi="宋体" w:cs="宋体"/>
          <w:bCs/>
          <w:sz w:val="24"/>
          <w:szCs w:val="24"/>
        </w:rPr>
        <w:t>三、服务项目要求</w:t>
      </w:r>
    </w:p>
    <w:p w14:paraId="7EBF4655">
      <w:pPr>
        <w:adjustRightInd w:val="0"/>
        <w:snapToGri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乙方为甲方提供线上及线下招聘及人力资源相关服务。负责资格复审</w:t>
      </w:r>
      <w:r>
        <w:rPr>
          <w:rFonts w:hint="eastAsia" w:ascii="宋体" w:hAnsi="宋体" w:cs="宋体"/>
          <w:bCs/>
          <w:sz w:val="24"/>
          <w:szCs w:val="24"/>
          <w:lang w:eastAsia="zh-CN"/>
        </w:rPr>
        <w:t>、</w:t>
      </w:r>
      <w:r>
        <w:rPr>
          <w:rFonts w:hint="eastAsia" w:ascii="宋体" w:hAnsi="宋体" w:cs="宋体"/>
          <w:bCs/>
          <w:sz w:val="24"/>
          <w:szCs w:val="24"/>
        </w:rPr>
        <w:t>面试组织、征信调查、体能测试及无犯罪记录排查、落聘临聘人员培训评估工作及其他人力资源相关增值服务。</w:t>
      </w:r>
    </w:p>
    <w:p w14:paraId="5C3A376C">
      <w:pPr>
        <w:adjustRightInd w:val="0"/>
        <w:snapToGri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在上述服务的基础上，乙方向甲方提供与甲方人才招聘相关的服务，包括但不限于：</w:t>
      </w:r>
    </w:p>
    <w:p w14:paraId="0B6D74FB">
      <w:pPr>
        <w:adjustRightInd w:val="0"/>
        <w:snapToGri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（1）笔试组织与笔试题目采购；并对从出题到笔试实施所涉及的保密信息均予以有效保护，甲方予以监督；</w:t>
      </w:r>
    </w:p>
    <w:p w14:paraId="2605E863">
      <w:pPr>
        <w:adjustRightInd w:val="0"/>
        <w:snapToGri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（2）针对通过笔试候选人进行电话邀约面试；</w:t>
      </w:r>
    </w:p>
    <w:p w14:paraId="10F02735">
      <w:pPr>
        <w:adjustRightInd w:val="0"/>
        <w:snapToGri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（3）面试组织与面试题目采购；并对从出题到面试实施所涉及的保密信息均予以有效保护，甲方予以监督；</w:t>
      </w:r>
    </w:p>
    <w:p w14:paraId="31DE7529">
      <w:pPr>
        <w:adjustRightInd w:val="0"/>
        <w:snapToGri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（4）按照甲方要求聘请面试专家；</w:t>
      </w:r>
    </w:p>
    <w:p w14:paraId="2CA3ED5D">
      <w:pPr>
        <w:adjustRightInd w:val="0"/>
        <w:snapToGri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（5）组织工作人员提供资格审查、笔试、面试支持；</w:t>
      </w:r>
    </w:p>
    <w:p w14:paraId="02AB46BD">
      <w:pPr>
        <w:adjustRightInd w:val="0"/>
        <w:snapToGri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（6）为甲方及时提供本项目进展信息。</w:t>
      </w:r>
    </w:p>
    <w:p w14:paraId="74B3F10C">
      <w:pPr>
        <w:adjustRightInd w:val="0"/>
        <w:snapToGrid w:val="0"/>
        <w:spacing w:line="360" w:lineRule="auto"/>
        <w:ind w:firstLine="480" w:firstLineChars="200"/>
        <w:rPr>
          <w:rFonts w:hint="default" w:ascii="宋体" w:hAnsi="宋体" w:eastAsia="宋体" w:cs="宋体"/>
          <w:bCs/>
          <w:sz w:val="24"/>
          <w:szCs w:val="24"/>
          <w:lang w:val="en-US" w:eastAsia="zh-CN"/>
        </w:rPr>
      </w:pPr>
      <w:r>
        <w:rPr>
          <w:rFonts w:hint="eastAsia" w:ascii="宋体" w:hAnsi="宋体" w:cs="宋体"/>
          <w:bCs/>
          <w:sz w:val="24"/>
          <w:szCs w:val="24"/>
        </w:rPr>
        <w:t>四、双方责任</w:t>
      </w:r>
      <w:r>
        <w:rPr>
          <w:rFonts w:hint="eastAsia" w:ascii="宋体" w:hAnsi="宋体" w:cs="宋体"/>
          <w:bCs/>
          <w:sz w:val="24"/>
          <w:szCs w:val="24"/>
          <w:lang w:val="en-US" w:eastAsia="zh-CN"/>
        </w:rPr>
        <w:t>与义务</w:t>
      </w:r>
    </w:p>
    <w:p w14:paraId="7F46FA28">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（一）甲方</w:t>
      </w:r>
    </w:p>
    <w:p w14:paraId="486B1184">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1、甲方有权督促乙方完成合同中协议的所有工作内容及其工作进度；</w:t>
      </w:r>
    </w:p>
    <w:p w14:paraId="1C0CB46C">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2、甲方应主动提供有利于项目顺利执行实施的相关资源及便利；</w:t>
      </w:r>
    </w:p>
    <w:p w14:paraId="1A811454">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3、甲方有权向乙方提出整改建议和意见。</w:t>
      </w:r>
    </w:p>
    <w:p w14:paraId="004571DA">
      <w:pPr>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4、甲方负责监督、检查乙方提供服务的工作进度、质量情况。</w:t>
      </w:r>
    </w:p>
    <w:p w14:paraId="5F5C6F1B">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（二）乙方</w:t>
      </w:r>
    </w:p>
    <w:p w14:paraId="24012B17">
      <w:pPr>
        <w:adjustRightInd w:val="0"/>
        <w:snapToGri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1、对本合同规定的委托范围内的项目享有管理权及服务义务。</w:t>
      </w:r>
    </w:p>
    <w:p w14:paraId="742E72D3">
      <w:pPr>
        <w:adjustRightInd w:val="0"/>
        <w:snapToGri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2、根据本合同的规定向甲方收取相关服务费用，并有权在本项目管理范围内管理及合理使用。</w:t>
      </w:r>
    </w:p>
    <w:p w14:paraId="79C90DA3">
      <w:pPr>
        <w:adjustRightInd w:val="0"/>
        <w:snapToGri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3、及时向甲方通告本项目执行范围内有关的重大事项，及时配合处理投诉。</w:t>
      </w:r>
    </w:p>
    <w:p w14:paraId="22F22F9F">
      <w:pPr>
        <w:adjustRightInd w:val="0"/>
        <w:snapToGri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4、接受项目行业管理部门及政府有关部门的指导，接受甲方的监督。</w:t>
      </w:r>
    </w:p>
    <w:p w14:paraId="642F5FB3">
      <w:pPr>
        <w:adjustRightInd w:val="0"/>
        <w:snapToGrid w:val="0"/>
        <w:spacing w:line="360" w:lineRule="auto"/>
        <w:ind w:firstLine="480" w:firstLineChars="200"/>
        <w:rPr>
          <w:rFonts w:hint="eastAsia" w:ascii="宋体" w:hAnsi="宋体" w:cs="宋体"/>
          <w:bCs/>
          <w:sz w:val="24"/>
          <w:szCs w:val="24"/>
        </w:rPr>
      </w:pPr>
      <w:r>
        <w:rPr>
          <w:rFonts w:hint="eastAsia" w:ascii="宋体" w:hAnsi="宋体" w:cs="宋体"/>
          <w:bCs/>
          <w:sz w:val="24"/>
          <w:szCs w:val="24"/>
        </w:rPr>
        <w:t>5、国家法律、法规所规定由乙方承担的其它责任。</w:t>
      </w:r>
    </w:p>
    <w:p w14:paraId="46D3CB59">
      <w:pPr>
        <w:adjustRightInd w:val="0"/>
        <w:snapToGrid w:val="0"/>
        <w:spacing w:line="360" w:lineRule="auto"/>
        <w:ind w:firstLine="480" w:firstLineChars="200"/>
        <w:rPr>
          <w:rFonts w:ascii="宋体" w:hAnsi="宋体" w:cs="宋体"/>
          <w:sz w:val="24"/>
          <w:szCs w:val="24"/>
        </w:rPr>
      </w:pPr>
      <w:r>
        <w:rPr>
          <w:rFonts w:hint="eastAsia" w:ascii="宋体" w:hAnsi="宋体" w:cs="宋体"/>
          <w:bCs/>
          <w:sz w:val="24"/>
          <w:szCs w:val="24"/>
        </w:rPr>
        <w:t>五、违约责任及合同的解除</w:t>
      </w:r>
    </w:p>
    <w:p w14:paraId="5584BB30">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（一）因法定不可抗力因素导致本合同无法履行，不视为违约，由甲乙双方各自承担损失。</w:t>
      </w:r>
    </w:p>
    <w:p w14:paraId="143F21BD">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（二）如甲方未能及时提供合法、真实、准确及必要的资料，造成乙方工作延误的，乙方工作期限顺延。</w:t>
      </w:r>
    </w:p>
    <w:p w14:paraId="233B4E87">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（三）若乙方未按照合同约定时间向甲方提交约定工作成果，每逾期一日，乙方应按合同约定服务费总额3‰向甲方支付违约金，甲方有权单方面解除合同。</w:t>
      </w:r>
    </w:p>
    <w:p w14:paraId="1B71EDFB">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（四）若乙方所提供发票存在金额错误、虚假等等，应按照票面金额承担5%的违约金并及时予以重开。</w:t>
      </w:r>
    </w:p>
    <w:p w14:paraId="449A1F2E">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（五）若乙方未按照合同约定履行其他义务，甲方有权单方面解除合同；</w:t>
      </w:r>
    </w:p>
    <w:p w14:paraId="30EDAA6E">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（六）若乙方未经甲方认可擅自更换团队人员或经甲方要求更换团队人员而拒不更换，则应自擅自更换或拒绝更换团队组人员之日起，按合同约定服务费总额承担日3‰的违约责任，且甲方有权单方面解除合同。</w:t>
      </w:r>
    </w:p>
    <w:p w14:paraId="2208A7FF">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七）因乙方的原因导致合同终止或解除的，乙方应按合同约定总价款的100%赔偿由此给甲方造成的损失，上述赔偿不足以弥补甲方损失的，乙方应予以补足，损失范围包括但不限于调查费、公证费、律师费、诉讼费、人工费等所有费用。</w:t>
      </w:r>
    </w:p>
    <w:p w14:paraId="5C23ABAB">
      <w:pPr>
        <w:adjustRightInd w:val="0"/>
        <w:snapToGrid w:val="0"/>
        <w:spacing w:line="360" w:lineRule="auto"/>
        <w:ind w:firstLine="480" w:firstLineChars="200"/>
        <w:jc w:val="left"/>
        <w:rPr>
          <w:rFonts w:ascii="宋体" w:hAnsi="宋体" w:cs="宋体"/>
          <w:sz w:val="24"/>
          <w:szCs w:val="24"/>
        </w:rPr>
      </w:pPr>
      <w:r>
        <w:rPr>
          <w:rFonts w:hint="eastAsia" w:ascii="宋体" w:hAnsi="宋体" w:cs="宋体"/>
          <w:bCs/>
          <w:sz w:val="24"/>
          <w:szCs w:val="24"/>
        </w:rPr>
        <w:t>六、争议解决方法</w:t>
      </w:r>
    </w:p>
    <w:p w14:paraId="445FB62F">
      <w:pPr>
        <w:adjustRightInd w:val="0"/>
        <w:snapToGrid w:val="0"/>
        <w:spacing w:line="360" w:lineRule="auto"/>
        <w:ind w:firstLine="480" w:firstLineChars="200"/>
        <w:rPr>
          <w:rFonts w:ascii="宋体" w:hAnsi="宋体" w:cs="宋体"/>
          <w:bCs/>
          <w:sz w:val="24"/>
          <w:szCs w:val="24"/>
        </w:rPr>
      </w:pPr>
      <w:r>
        <w:rPr>
          <w:rFonts w:hint="eastAsia" w:ascii="宋体" w:hAnsi="宋体" w:cs="宋体"/>
          <w:sz w:val="24"/>
          <w:szCs w:val="24"/>
        </w:rPr>
        <w:t>在本合同履行过程中，与合同有关的一切争端应通过双方友好协商解决。如果友好协商不能达成一致时，任意一方均可向本合同签订地有管辖权的人民法院提起诉讼。</w:t>
      </w:r>
    </w:p>
    <w:p w14:paraId="3106DB6D">
      <w:pPr>
        <w:adjustRightInd w:val="0"/>
        <w:snapToGrid w:val="0"/>
        <w:spacing w:line="360" w:lineRule="auto"/>
        <w:ind w:firstLine="480" w:firstLineChars="200"/>
        <w:jc w:val="left"/>
        <w:rPr>
          <w:rFonts w:ascii="宋体" w:hAnsi="宋体" w:cs="宋体"/>
          <w:bCs/>
          <w:sz w:val="24"/>
          <w:szCs w:val="24"/>
        </w:rPr>
      </w:pPr>
      <w:r>
        <w:rPr>
          <w:rFonts w:hint="eastAsia" w:ascii="宋体" w:hAnsi="宋体" w:cs="宋体"/>
          <w:bCs/>
          <w:sz w:val="24"/>
          <w:szCs w:val="24"/>
        </w:rPr>
        <w:t>七、合同生效及其它</w:t>
      </w:r>
    </w:p>
    <w:p w14:paraId="22FBD617">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1、本合同在双方授权代表签字、单位盖章后生效；</w:t>
      </w:r>
    </w:p>
    <w:p w14:paraId="514E8E2C">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2、本合同一式陆份，甲方执肆份、乙方执贰份，具有同等法律效力；</w:t>
      </w:r>
    </w:p>
    <w:p w14:paraId="3924108C">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3、如履行合同过程中需对本合同内容做修改或补充，须由双方授权代表签订补充协议。</w:t>
      </w:r>
    </w:p>
    <w:p w14:paraId="0B454996">
      <w:pPr>
        <w:adjustRightInd w:val="0"/>
        <w:snapToGrid w:val="0"/>
        <w:spacing w:line="360" w:lineRule="auto"/>
        <w:ind w:firstLine="480" w:firstLineChars="200"/>
        <w:rPr>
          <w:rFonts w:ascii="宋体" w:hAnsi="宋体" w:cs="宋体"/>
          <w:sz w:val="24"/>
          <w:szCs w:val="24"/>
        </w:rPr>
      </w:pPr>
      <w:r>
        <w:rPr>
          <w:rFonts w:hint="eastAsia" w:ascii="宋体" w:hAnsi="宋体" w:cs="宋体"/>
          <w:sz w:val="24"/>
          <w:szCs w:val="24"/>
        </w:rPr>
        <w:t>4、本合同未尽事宜按国家相关法律法规标准执行。</w:t>
      </w:r>
    </w:p>
    <w:tbl>
      <w:tblPr>
        <w:tblStyle w:val="8"/>
        <w:tblpPr w:leftFromText="180" w:rightFromText="180" w:vertAnchor="text" w:horzAnchor="page" w:tblpX="1658" w:tblpY="562"/>
        <w:tblOverlap w:val="never"/>
        <w:tblW w:w="5000" w:type="pct"/>
        <w:tblInd w:w="0" w:type="dxa"/>
        <w:tblLayout w:type="autofit"/>
        <w:tblCellMar>
          <w:top w:w="0" w:type="dxa"/>
          <w:left w:w="108" w:type="dxa"/>
          <w:bottom w:w="0" w:type="dxa"/>
          <w:right w:w="108" w:type="dxa"/>
        </w:tblCellMar>
      </w:tblPr>
      <w:tblGrid>
        <w:gridCol w:w="4261"/>
        <w:gridCol w:w="4261"/>
      </w:tblGrid>
      <w:tr w14:paraId="3D5BDAA1">
        <w:tblPrEx>
          <w:tblCellMar>
            <w:top w:w="0" w:type="dxa"/>
            <w:left w:w="108" w:type="dxa"/>
            <w:bottom w:w="0" w:type="dxa"/>
            <w:right w:w="108" w:type="dxa"/>
          </w:tblCellMar>
        </w:tblPrEx>
        <w:trPr>
          <w:trHeight w:val="702" w:hRule="atLeast"/>
        </w:trPr>
        <w:tc>
          <w:tcPr>
            <w:tcW w:w="2500" w:type="pct"/>
          </w:tcPr>
          <w:p w14:paraId="3FC18C7F">
            <w:pPr>
              <w:adjustRightInd w:val="0"/>
              <w:snapToGrid w:val="0"/>
              <w:spacing w:line="360" w:lineRule="auto"/>
              <w:ind w:left="1560" w:hanging="1560" w:hangingChars="650"/>
              <w:rPr>
                <w:rFonts w:ascii="宋体" w:hAnsi="宋体" w:cs="宋体"/>
                <w:sz w:val="24"/>
                <w:szCs w:val="24"/>
              </w:rPr>
            </w:pPr>
            <w:r>
              <w:rPr>
                <w:rFonts w:hint="eastAsia" w:ascii="宋体" w:hAnsi="宋体" w:cs="宋体"/>
                <w:sz w:val="24"/>
                <w:szCs w:val="24"/>
              </w:rPr>
              <w:t>采购方（甲方）：</w:t>
            </w:r>
          </w:p>
          <w:p w14:paraId="583CEE2B">
            <w:pPr>
              <w:adjustRightInd w:val="0"/>
              <w:snapToGrid w:val="0"/>
              <w:spacing w:line="360" w:lineRule="auto"/>
              <w:ind w:left="1560" w:hanging="1560" w:hangingChars="650"/>
              <w:rPr>
                <w:rFonts w:ascii="宋体" w:hAnsi="宋体" w:cs="宋体"/>
                <w:sz w:val="24"/>
                <w:szCs w:val="24"/>
              </w:rPr>
            </w:pPr>
          </w:p>
        </w:tc>
        <w:tc>
          <w:tcPr>
            <w:tcW w:w="2500" w:type="pct"/>
          </w:tcPr>
          <w:p w14:paraId="291CFE8C">
            <w:pPr>
              <w:adjustRightInd w:val="0"/>
              <w:snapToGrid w:val="0"/>
              <w:spacing w:line="360" w:lineRule="auto"/>
              <w:jc w:val="left"/>
              <w:rPr>
                <w:rFonts w:ascii="宋体" w:hAnsi="宋体" w:cs="宋体"/>
                <w:sz w:val="24"/>
                <w:szCs w:val="24"/>
              </w:rPr>
            </w:pPr>
            <w:r>
              <w:rPr>
                <w:rFonts w:hint="eastAsia" w:ascii="宋体" w:hAnsi="宋体" w:cs="宋体"/>
                <w:sz w:val="24"/>
                <w:szCs w:val="24"/>
              </w:rPr>
              <w:t>服务方（乙方）：</w:t>
            </w:r>
          </w:p>
        </w:tc>
      </w:tr>
      <w:tr w14:paraId="298B172C">
        <w:tblPrEx>
          <w:tblCellMar>
            <w:top w:w="0" w:type="dxa"/>
            <w:left w:w="108" w:type="dxa"/>
            <w:bottom w:w="0" w:type="dxa"/>
            <w:right w:w="108" w:type="dxa"/>
          </w:tblCellMar>
        </w:tblPrEx>
        <w:trPr>
          <w:trHeight w:val="1014" w:hRule="atLeast"/>
        </w:trPr>
        <w:tc>
          <w:tcPr>
            <w:tcW w:w="2500" w:type="pct"/>
            <w:vAlign w:val="center"/>
          </w:tcPr>
          <w:p w14:paraId="5EC21C0C">
            <w:pPr>
              <w:adjustRightInd w:val="0"/>
              <w:snapToGrid w:val="0"/>
              <w:spacing w:line="360" w:lineRule="auto"/>
              <w:jc w:val="center"/>
              <w:rPr>
                <w:rFonts w:ascii="宋体" w:hAnsi="宋体" w:cs="宋体"/>
                <w:sz w:val="24"/>
                <w:szCs w:val="24"/>
              </w:rPr>
            </w:pPr>
            <w:r>
              <w:rPr>
                <w:rFonts w:hint="eastAsia" w:ascii="宋体" w:hAnsi="宋体" w:cs="宋体"/>
                <w:sz w:val="24"/>
                <w:szCs w:val="24"/>
              </w:rPr>
              <w:t>（公章）</w:t>
            </w:r>
          </w:p>
        </w:tc>
        <w:tc>
          <w:tcPr>
            <w:tcW w:w="2500" w:type="pct"/>
            <w:vAlign w:val="center"/>
          </w:tcPr>
          <w:p w14:paraId="4758C5B0">
            <w:pPr>
              <w:adjustRightInd w:val="0"/>
              <w:snapToGrid w:val="0"/>
              <w:spacing w:line="360" w:lineRule="auto"/>
              <w:jc w:val="center"/>
              <w:rPr>
                <w:rFonts w:ascii="宋体" w:hAnsi="宋体" w:cs="宋体"/>
                <w:sz w:val="24"/>
                <w:szCs w:val="24"/>
              </w:rPr>
            </w:pPr>
            <w:r>
              <w:rPr>
                <w:rFonts w:hint="eastAsia" w:ascii="宋体" w:hAnsi="宋体" w:cs="宋体"/>
                <w:sz w:val="24"/>
                <w:szCs w:val="24"/>
              </w:rPr>
              <w:t>（公章）</w:t>
            </w:r>
          </w:p>
        </w:tc>
      </w:tr>
      <w:tr w14:paraId="04745424">
        <w:tblPrEx>
          <w:tblCellMar>
            <w:top w:w="0" w:type="dxa"/>
            <w:left w:w="108" w:type="dxa"/>
            <w:bottom w:w="0" w:type="dxa"/>
            <w:right w:w="108" w:type="dxa"/>
          </w:tblCellMar>
        </w:tblPrEx>
        <w:trPr>
          <w:trHeight w:val="603" w:hRule="atLeast"/>
        </w:trPr>
        <w:tc>
          <w:tcPr>
            <w:tcW w:w="2500" w:type="pct"/>
          </w:tcPr>
          <w:p w14:paraId="1D1738E4">
            <w:pPr>
              <w:adjustRightInd w:val="0"/>
              <w:snapToGrid w:val="0"/>
              <w:spacing w:line="360" w:lineRule="auto"/>
              <w:jc w:val="left"/>
              <w:rPr>
                <w:rFonts w:ascii="宋体" w:hAnsi="宋体" w:cs="宋体"/>
                <w:sz w:val="24"/>
                <w:szCs w:val="24"/>
              </w:rPr>
            </w:pPr>
            <w:r>
              <w:rPr>
                <w:rFonts w:hint="eastAsia" w:ascii="宋体" w:hAnsi="宋体" w:cs="宋体"/>
                <w:sz w:val="24"/>
                <w:szCs w:val="24"/>
              </w:rPr>
              <w:t>法定代表/授权代表（签字）：</w:t>
            </w:r>
          </w:p>
        </w:tc>
        <w:tc>
          <w:tcPr>
            <w:tcW w:w="2500" w:type="pct"/>
          </w:tcPr>
          <w:p w14:paraId="40B67E12">
            <w:pPr>
              <w:adjustRightInd w:val="0"/>
              <w:snapToGrid w:val="0"/>
              <w:spacing w:line="360" w:lineRule="auto"/>
              <w:jc w:val="left"/>
              <w:rPr>
                <w:rFonts w:ascii="宋体" w:hAnsi="宋体" w:cs="宋体"/>
                <w:sz w:val="24"/>
                <w:szCs w:val="24"/>
              </w:rPr>
            </w:pPr>
            <w:r>
              <w:rPr>
                <w:rFonts w:hint="eastAsia" w:ascii="宋体" w:hAnsi="宋体" w:cs="宋体"/>
                <w:sz w:val="24"/>
                <w:szCs w:val="24"/>
              </w:rPr>
              <w:t>法定代表/授权代表（签字）：</w:t>
            </w:r>
          </w:p>
        </w:tc>
      </w:tr>
    </w:tbl>
    <w:p w14:paraId="45608414">
      <w:pPr>
        <w:adjustRightInd w:val="0"/>
        <w:snapToGrid w:val="0"/>
        <w:spacing w:line="360" w:lineRule="auto"/>
        <w:ind w:firstLine="420" w:firstLineChars="200"/>
        <w:rPr>
          <w:rFonts w:ascii="Calibri" w:hAnsi="Calibri" w:cs="Calibri"/>
          <w:szCs w:val="21"/>
        </w:rPr>
      </w:pPr>
    </w:p>
    <w:p w14:paraId="648D31AB">
      <w:pPr>
        <w:adjustRightInd w:val="0"/>
        <w:snapToGrid w:val="0"/>
        <w:spacing w:line="360" w:lineRule="auto"/>
        <w:ind w:firstLine="420" w:firstLineChars="200"/>
        <w:rPr>
          <w:rFonts w:ascii="Calibri" w:hAnsi="Calibri" w:cs="Calibri"/>
          <w:szCs w:val="21"/>
        </w:rPr>
      </w:pPr>
    </w:p>
    <w:p w14:paraId="17488CA6">
      <w:r>
        <w:rPr>
          <w:rFonts w:hint="eastAsia" w:ascii="宋体" w:hAnsi="宋体" w:cs="宋体"/>
          <w:sz w:val="24"/>
          <w:szCs w:val="24"/>
        </w:rPr>
        <w:t xml:space="preserve">                                     签订日期：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3A208F"/>
    <w:multiLevelType w:val="multilevel"/>
    <w:tmpl w:val="113A208F"/>
    <w:lvl w:ilvl="0" w:tentative="0">
      <w:start w:val="1"/>
      <w:numFmt w:val="japaneseCounting"/>
      <w:suff w:val="space"/>
      <w:lvlText w:val="%1、"/>
      <w:lvlJc w:val="left"/>
      <w:pPr>
        <w:ind w:left="0" w:firstLine="0"/>
      </w:pPr>
      <w:rPr>
        <w:rFonts w:ascii="Times New Roman" w:hAnsi="Times New Roman" w:eastAsia="黑体" w:cs="Times New Roman"/>
        <w:sz w:val="44"/>
        <w:lang w:val="en-US"/>
      </w:rPr>
    </w:lvl>
    <w:lvl w:ilvl="1" w:tentative="0">
      <w:start w:val="1"/>
      <w:numFmt w:val="decimal"/>
      <w:isLgl/>
      <w:suff w:val="space"/>
      <w:lvlText w:val="%1.%2"/>
      <w:lvlJc w:val="left"/>
      <w:pPr>
        <w:ind w:left="0" w:firstLine="0"/>
      </w:pPr>
      <w:rPr>
        <w:rFonts w:hint="default" w:ascii="Arial" w:hAnsi="Arial"/>
        <w:b/>
      </w:rPr>
    </w:lvl>
    <w:lvl w:ilvl="2" w:tentative="0">
      <w:start w:val="1"/>
      <w:numFmt w:val="decimal"/>
      <w:isLgl/>
      <w:suff w:val="space"/>
      <w:lvlText w:val="%1.%2.%3"/>
      <w:lvlJc w:val="left"/>
      <w:pPr>
        <w:ind w:left="0" w:firstLine="0"/>
      </w:pPr>
      <w:rPr>
        <w:rFonts w:hint="default" w:ascii="Arial" w:hAnsi="Arial"/>
        <w:b/>
      </w:rPr>
    </w:lvl>
    <w:lvl w:ilvl="3" w:tentative="0">
      <w:start w:val="1"/>
      <w:numFmt w:val="decimal"/>
      <w:pStyle w:val="6"/>
      <w:isLgl/>
      <w:suff w:val="space"/>
      <w:lvlText w:val="%1.%2.%3.%4"/>
      <w:lvlJc w:val="left"/>
      <w:pPr>
        <w:ind w:left="0" w:firstLine="0"/>
      </w:pPr>
      <w:rPr>
        <w:rFonts w:hint="eastAsia"/>
      </w:rPr>
    </w:lvl>
    <w:lvl w:ilvl="4" w:tentative="0">
      <w:start w:val="1"/>
      <w:numFmt w:val="decimal"/>
      <w:isLgl/>
      <w:suff w:val="space"/>
      <w:lvlText w:val="%1.%2.%3.%4.%5"/>
      <w:lvlJc w:val="left"/>
      <w:pPr>
        <w:ind w:left="0" w:firstLine="0"/>
      </w:pPr>
      <w:rPr>
        <w:rFonts w:hint="default" w:ascii="Arial" w:hAnsi="Arial"/>
      </w:rPr>
    </w:lvl>
    <w:lvl w:ilvl="5" w:tentative="0">
      <w:start w:val="1"/>
      <w:numFmt w:val="decimal"/>
      <w:isLgl/>
      <w:suff w:val="space"/>
      <w:lvlText w:val="%1.%2.%3.%4.%5.%6"/>
      <w:lvlJc w:val="left"/>
      <w:pPr>
        <w:ind w:left="0" w:firstLine="0"/>
      </w:pPr>
      <w:rPr>
        <w:rFonts w:hint="eastAsia"/>
      </w:rPr>
    </w:lvl>
    <w:lvl w:ilvl="6" w:tentative="0">
      <w:start w:val="1"/>
      <w:numFmt w:val="decimal"/>
      <w:isLgl/>
      <w:suff w:val="nothing"/>
      <w:lvlText w:val="%1.%2.%3.%4.%5.%6.%7"/>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hYmNkNmUxNDkzMWRhYjlkMWIwZDBlY2QwNmM4OTEifQ=="/>
  </w:docVars>
  <w:rsids>
    <w:rsidRoot w:val="00000000"/>
    <w:rsid w:val="183A1CE0"/>
    <w:rsid w:val="24EF675B"/>
    <w:rsid w:val="2F883BCB"/>
    <w:rsid w:val="478A3502"/>
    <w:rsid w:val="52A0608C"/>
    <w:rsid w:val="64762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5"/>
    <w:next w:val="1"/>
    <w:link w:val="10"/>
    <w:qFormat/>
    <w:uiPriority w:val="0"/>
    <w:pPr>
      <w:keepNext/>
      <w:keepLines/>
      <w:spacing w:before="340" w:after="330" w:line="576" w:lineRule="auto"/>
    </w:pPr>
    <w:rPr>
      <w:rFonts w:ascii="Times New Roman" w:hAnsi="Times New Roman"/>
      <w:kern w:val="44"/>
      <w:sz w:val="36"/>
    </w:rPr>
  </w:style>
  <w:style w:type="paragraph" w:styleId="6">
    <w:name w:val="heading 4"/>
    <w:basedOn w:val="1"/>
    <w:next w:val="1"/>
    <w:qFormat/>
    <w:uiPriority w:val="9"/>
    <w:pPr>
      <w:keepNext/>
      <w:keepLines/>
      <w:numPr>
        <w:ilvl w:val="3"/>
        <w:numId w:val="1"/>
      </w:numPr>
      <w:adjustRightInd w:val="0"/>
      <w:snapToGrid w:val="0"/>
      <w:spacing w:before="120" w:after="120"/>
      <w:outlineLvl w:val="3"/>
    </w:pPr>
    <w:rPr>
      <w:rFonts w:ascii="Arial" w:hAnsi="Arial"/>
      <w:b/>
      <w:bCs/>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标书正文1"/>
    <w:basedOn w:val="1"/>
    <w:next w:val="3"/>
    <w:qFormat/>
    <w:uiPriority w:val="0"/>
    <w:pPr>
      <w:spacing w:line="520" w:lineRule="exact"/>
      <w:ind w:firstLine="640" w:firstLineChars="200"/>
    </w:pPr>
  </w:style>
  <w:style w:type="paragraph" w:styleId="3">
    <w:name w:val="Body Text"/>
    <w:basedOn w:val="1"/>
    <w:next w:val="1"/>
    <w:qFormat/>
    <w:uiPriority w:val="0"/>
    <w:pPr>
      <w:spacing w:after="120"/>
    </w:pPr>
  </w:style>
  <w:style w:type="paragraph" w:styleId="5">
    <w:name w:val="Title"/>
    <w:basedOn w:val="1"/>
    <w:qFormat/>
    <w:uiPriority w:val="10"/>
    <w:pPr>
      <w:spacing w:before="240" w:after="60"/>
      <w:jc w:val="center"/>
      <w:outlineLvl w:val="0"/>
    </w:pPr>
    <w:rPr>
      <w:rFonts w:ascii="Arial" w:hAnsi="Arial"/>
      <w:b/>
      <w:sz w:val="32"/>
    </w:rPr>
  </w:style>
  <w:style w:type="paragraph" w:styleId="7">
    <w:name w:val="Body Text First Indent"/>
    <w:basedOn w:val="3"/>
    <w:semiHidden/>
    <w:qFormat/>
    <w:uiPriority w:val="99"/>
    <w:pPr>
      <w:spacing w:after="120"/>
      <w:ind w:left="0" w:firstLine="420" w:firstLineChars="100"/>
      <w:jc w:val="both"/>
    </w:pPr>
    <w:rPr>
      <w:rFonts w:ascii="等线" w:hAnsi="等线" w:eastAsia="等线" w:cs="等线"/>
      <w:kern w:val="2"/>
      <w:sz w:val="21"/>
      <w:szCs w:val="21"/>
      <w:lang w:eastAsia="zh-CN"/>
    </w:rPr>
  </w:style>
  <w:style w:type="character" w:customStyle="1" w:styleId="10">
    <w:name w:val="标题 1 Char"/>
    <w:link w:val="4"/>
    <w:qFormat/>
    <w:uiPriority w:val="0"/>
    <w:rPr>
      <w:rFonts w:ascii="Times New Roman" w:hAnsi="Times New Roman"/>
      <w:kern w:val="44"/>
      <w:sz w:val="36"/>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1729</Words>
  <Characters>1739</Characters>
  <Lines>0</Lines>
  <Paragraphs>0</Paragraphs>
  <TotalTime>0</TotalTime>
  <ScaleCrop>false</ScaleCrop>
  <LinksUpToDate>false</LinksUpToDate>
  <CharactersWithSpaces>2043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2025-04-29T10:15:00Z</dcterms:created>
  <dc:creator>Administrator</dc:creator>
  <cp:lastModifiedBy>大十三哥</cp:lastModifiedBy>
  <dcterms:modified xsi:type="dcterms:W3CDTF">2026-05-07T13:03:27Z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KSOTemplateDocerSaveRecord">
    <vt:lpwstr>eyJoZGlkIjoiMDhhOTM4Y2Q0YmI4MDMyODcwNGYxNTBhYmEzNGI4NjgiLCJ1c2VySWQiOiI0MTg4NTM5OTcifQ==</vt:lpwstr>
  </property>
  <property fmtid="{D5CDD505-2E9C-101B-9397-08002B2CF9AE}" pid="4" name="ICV">
    <vt:lpwstr>20B2AE3AD8894313A7049F5916AB770B_12</vt:lpwstr>
  </property>
</Properties>
</file>