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版本号：DS2026-CS-04320260816001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兴隆街道西电污水厂清表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DS2026-CS-043</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兴隆街道西电污水厂清表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DS2026-CS-043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兴隆街道西电污水厂清表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该项目位于位于西安高新区兴隆街道东甘河村规划三十六路道路红线范围内，拆除水厂相关厂房与水池，清理地块区域内项目用地上的拆除垃圾、建筑垃圾、堆积垃圾、苗木等地面附着物。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采购包1（兴隆街道西电污水厂清表）：属于专门面向中小企业采购。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2、信用中国截图：未被列入“信用中国”及“中国政府采购网”失信行为记录。</w:t>
      </w:r>
    </w:p>
    <w:p>
      <w:pPr>
        <w:pStyle w:val="null3"/>
      </w:pPr>
      <w:r>
        <w:rPr>
          <w:rFonts w:ascii="仿宋_GB2312" w:hAnsi="仿宋_GB2312" w:cs="仿宋_GB2312" w:eastAsia="仿宋_GB2312"/>
        </w:rPr>
        <w:t>3、企业资质：供应商具备建设行政主管部门颁发的建筑工程施工总承包三级及以上资质，同时具有合格有效的安全生产许可证。</w:t>
      </w:r>
    </w:p>
    <w:p>
      <w:pPr>
        <w:pStyle w:val="null3"/>
      </w:pPr>
      <w:r>
        <w:rPr>
          <w:rFonts w:ascii="仿宋_GB2312" w:hAnsi="仿宋_GB2312" w:cs="仿宋_GB2312" w:eastAsia="仿宋_GB2312"/>
        </w:rPr>
        <w:t>4、项目经理要求：拟派项目经理须具有建筑工程专业二级及以上注册建造师证书和有效的安全生产考核证书（B证）在本单位注册且无在建工程（提供无在建承诺）。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西安市高新区兴隆街道西太路与南横线交叉口西北角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刘姣姣、秦刚、张栋栋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采购包1：1,641,390.45元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工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供应商应保证投标服务及货物不会出现因第三方提出侵犯其专利权、商标权或其它知 识产权而引发法律或经济纠纷，否则由供应商承担全部责任。任何被供应商用于未经授权的商业目的行为所造成的违约或侵权责任由供应商承但。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联系人：张栋栋</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地址：陕西省西安市雁塔区科技西路2825号绿地鸿海大厦7幢20704室</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1,641,390.45</w:t>
      </w:r>
    </w:p>
    <w:p>
      <w:pPr>
        <w:pStyle w:val="null3"/>
      </w:pPr>
      <w:r>
        <w:rPr>
          <w:rFonts w:ascii="仿宋_GB2312" w:hAnsi="仿宋_GB2312" w:cs="仿宋_GB2312" w:eastAsia="仿宋_GB2312"/>
        </w:rPr>
        <w:t>采购包最高限价（元）: 1,641,390.45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工地平整和清理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1,641,390.45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标的名称：工地平整和清理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一、项目概况</w:t>
            </w:r>
          </w:p>
          <w:p>
            <w:pPr>
              <w:pStyle w:val="null3"/>
              <w:ind w:firstLine="440"/>
              <w:jc w:val="both"/>
            </w:pPr>
            <w:r>
              <w:rPr>
                <w:rFonts w:ascii="仿宋_GB2312" w:hAnsi="仿宋_GB2312" w:cs="仿宋_GB2312" w:eastAsia="仿宋_GB2312"/>
                <w:sz w:val="22"/>
                <w:b/>
              </w:rPr>
              <w:t>该项目位于西安高新区兴隆街道东甘河村规划三十六路道路红线范围内。</w:t>
            </w:r>
          </w:p>
          <w:p>
            <w:pPr>
              <w:pStyle w:val="null3"/>
              <w:jc w:val="both"/>
            </w:pPr>
            <w:r>
              <w:rPr>
                <w:rFonts w:ascii="仿宋_GB2312" w:hAnsi="仿宋_GB2312" w:cs="仿宋_GB2312" w:eastAsia="仿宋_GB2312"/>
                <w:sz w:val="22"/>
                <w:b/>
              </w:rPr>
              <w:t>因响应政府治污减霾要求，对施工现场环境整治和扬尘污染治理工作常抓不懈，故对本工程施工要求：符合现行《安全生产管理条例》的标准；符合西安市建筑工地创卫达标条件和高新区环卫部门要求。</w:t>
            </w:r>
          </w:p>
          <w:p>
            <w:pPr>
              <w:pStyle w:val="null3"/>
              <w:jc w:val="both"/>
            </w:pPr>
            <w:r>
              <w:rPr>
                <w:rFonts w:ascii="仿宋_GB2312" w:hAnsi="仿宋_GB2312" w:cs="仿宋_GB2312" w:eastAsia="仿宋_GB2312"/>
                <w:sz w:val="22"/>
                <w:b/>
              </w:rPr>
              <w:t>二、工程内容</w:t>
            </w:r>
          </w:p>
          <w:p>
            <w:pPr>
              <w:pStyle w:val="null3"/>
              <w:ind w:firstLine="440"/>
              <w:jc w:val="both"/>
            </w:pPr>
            <w:r>
              <w:rPr>
                <w:rFonts w:ascii="仿宋_GB2312" w:hAnsi="仿宋_GB2312" w:cs="仿宋_GB2312" w:eastAsia="仿宋_GB2312"/>
                <w:sz w:val="22"/>
                <w:b/>
              </w:rPr>
              <w:t>拆除水厂相关厂房与水池，清理地块区域内项目用地上的拆除垃圾、建筑垃圾、堆积垃圾、苗木等地面附着物，并按照测量报告及建设单位要求清理挖至所需高程将场平后的相应垃圾清运至城管执法局指定的垃圾消纳场，使项目用地达到自然平整。垃圾清运距离暂时按照</w:t>
            </w:r>
            <w:r>
              <w:rPr>
                <w:rFonts w:ascii="仿宋_GB2312" w:hAnsi="仿宋_GB2312" w:cs="仿宋_GB2312" w:eastAsia="仿宋_GB2312"/>
                <w:sz w:val="22"/>
                <w:b/>
              </w:rPr>
              <w:t>78KM计算。清运完成状态应达到甲方要求的验收标准，验收不合格的不予结算工程款。本工程施工期内伤人及伤物等问题由乙方负责并承担相关责任及费用且报价时应充分考虑回收费用。</w:t>
            </w:r>
          </w:p>
          <w:p>
            <w:pPr>
              <w:pStyle w:val="null3"/>
              <w:jc w:val="both"/>
            </w:pPr>
            <w:r>
              <w:rPr>
                <w:rFonts w:ascii="仿宋_GB2312" w:hAnsi="仿宋_GB2312" w:cs="仿宋_GB2312" w:eastAsia="仿宋_GB2312"/>
                <w:sz w:val="22"/>
                <w:b/>
              </w:rPr>
              <w:t>三、</w:t>
            </w:r>
            <w:r>
              <w:rPr>
                <w:rFonts w:ascii="仿宋_GB2312" w:hAnsi="仿宋_GB2312" w:cs="仿宋_GB2312" w:eastAsia="仿宋_GB2312"/>
                <w:sz w:val="22"/>
                <w:b/>
              </w:rPr>
              <w:t>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270"/>
              <w:gridCol w:w="632"/>
              <w:gridCol w:w="270"/>
              <w:gridCol w:w="452"/>
              <w:gridCol w:w="929"/>
            </w:tblGrid>
            <w:tr>
              <w:tc>
                <w:tcPr>
                  <w:tcW w:type="dxa" w:w="2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6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清单项目</w:t>
                  </w:r>
                </w:p>
              </w:tc>
              <w:tc>
                <w:tcPr>
                  <w:tcW w:type="dxa" w:w="2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4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工程量</w:t>
                  </w:r>
                </w:p>
              </w:tc>
              <w:tc>
                <w:tcPr>
                  <w:tcW w:type="dxa" w:w="9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270"/>
                  <w:vMerge/>
                  <w:tcBorders>
                    <w:top w:val="single" w:color="000000" w:sz="4"/>
                    <w:left w:val="single" w:color="000000" w:sz="4"/>
                    <w:bottom w:val="single" w:color="000000" w:sz="4"/>
                    <w:right w:val="single" w:color="000000" w:sz="4"/>
                  </w:tcBorders>
                </w:tcPr>
                <w:p/>
              </w:tc>
              <w:tc>
                <w:tcPr>
                  <w:tcW w:type="dxa" w:w="632"/>
                  <w:vMerge/>
                  <w:tcBorders>
                    <w:top w:val="single" w:color="000000" w:sz="4"/>
                    <w:left w:val="non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452"/>
                  <w:vMerge/>
                  <w:tcBorders>
                    <w:top w:val="single" w:color="000000" w:sz="4"/>
                    <w:left w:val="none" w:color="000000" w:sz="4"/>
                    <w:bottom w:val="single" w:color="000000" w:sz="4"/>
                    <w:right w:val="single" w:color="000000" w:sz="4"/>
                  </w:tcBorders>
                </w:tcPr>
                <w:p/>
              </w:tc>
              <w:tc>
                <w:tcPr>
                  <w:tcW w:type="dxa" w:w="929"/>
                  <w:vMerge/>
                  <w:tcBorders>
                    <w:top w:val="single" w:color="000000" w:sz="4"/>
                    <w:left w:val="non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砖混结构拆除</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m²</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484.00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硬化路面拆除</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m²</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3425.10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下挖深度</w:t>
                  </w:r>
                  <w:r>
                    <w:rPr>
                      <w:rFonts w:ascii="仿宋_GB2312" w:hAnsi="仿宋_GB2312" w:cs="仿宋_GB2312" w:eastAsia="仿宋_GB2312"/>
                      <w:sz w:val="22"/>
                      <w:b/>
                    </w:rPr>
                    <w:t>≥0.4m至黄</w:t>
                  </w:r>
                  <w:r>
                    <w:br/>
                  </w:r>
                  <w:r>
                    <w:rPr>
                      <w:rFonts w:ascii="仿宋_GB2312" w:hAnsi="仿宋_GB2312" w:cs="仿宋_GB2312" w:eastAsia="仿宋_GB2312"/>
                      <w:sz w:val="22"/>
                      <w:b/>
                    </w:rPr>
                    <w:t>土裸露</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硬化立面拆除</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m²</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1116.00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拆除污水池壁高度</w:t>
                  </w:r>
                  <w:r>
                    <w:rPr>
                      <w:rFonts w:ascii="仿宋_GB2312" w:hAnsi="仿宋_GB2312" w:cs="仿宋_GB2312" w:eastAsia="仿宋_GB2312"/>
                      <w:sz w:val="22"/>
                      <w:b/>
                    </w:rPr>
                    <w:t>≥</w:t>
                  </w:r>
                  <w:r>
                    <w:br/>
                  </w:r>
                  <w:r>
                    <w:rPr>
                      <w:rFonts w:ascii="仿宋_GB2312" w:hAnsi="仿宋_GB2312" w:cs="仿宋_GB2312" w:eastAsia="仿宋_GB2312"/>
                      <w:sz w:val="22"/>
                      <w:b/>
                    </w:rPr>
                    <w:t>0.2m</w:t>
                  </w:r>
                </w:p>
              </w:tc>
            </w:tr>
            <w:tr>
              <w:tc>
                <w:tcPr>
                  <w:tcW w:type="dxa" w:w="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w:t>
                  </w:r>
                </w:p>
              </w:tc>
              <w:tc>
                <w:tcPr>
                  <w:tcW w:type="dxa" w:w="6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垃圾清运</w:t>
                  </w:r>
                </w:p>
              </w:tc>
              <w:tc>
                <w:tcPr>
                  <w:tcW w:type="dxa" w:w="2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m³</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1988.44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砖混拆除方量</w:t>
                  </w:r>
                  <w:r>
                    <w:rPr>
                      <w:rFonts w:ascii="仿宋_GB2312" w:hAnsi="仿宋_GB2312" w:cs="仿宋_GB2312" w:eastAsia="仿宋_GB2312"/>
                      <w:sz w:val="22"/>
                      <w:b/>
                    </w:rPr>
                    <w:t>+硬化</w:t>
                  </w:r>
                  <w:r>
                    <w:br/>
                  </w:r>
                  <w:r>
                    <w:rPr>
                      <w:rFonts w:ascii="仿宋_GB2312" w:hAnsi="仿宋_GB2312" w:cs="仿宋_GB2312" w:eastAsia="仿宋_GB2312"/>
                      <w:sz w:val="22"/>
                      <w:b/>
                    </w:rPr>
                    <w:t>立面方量</w:t>
                  </w:r>
                  <w:r>
                    <w:rPr>
                      <w:rFonts w:ascii="仿宋_GB2312" w:hAnsi="仿宋_GB2312" w:cs="仿宋_GB2312" w:eastAsia="仿宋_GB2312"/>
                      <w:sz w:val="22"/>
                      <w:b/>
                    </w:rPr>
                    <w:t>(含破除地</w:t>
                  </w:r>
                  <w:r>
                    <w:br/>
                  </w:r>
                  <w:r>
                    <w:rPr>
                      <w:rFonts w:ascii="仿宋_GB2312" w:hAnsi="仿宋_GB2312" w:cs="仿宋_GB2312" w:eastAsia="仿宋_GB2312"/>
                      <w:sz w:val="22"/>
                      <w:b/>
                    </w:rPr>
                    <w:t>面方量</w:t>
                  </w:r>
                  <w:r>
                    <w:rPr>
                      <w:rFonts w:ascii="仿宋_GB2312" w:hAnsi="仿宋_GB2312" w:cs="仿宋_GB2312" w:eastAsia="仿宋_GB2312"/>
                      <w:sz w:val="22"/>
                      <w:b/>
                    </w:rPr>
                    <w:t>)</w:t>
                  </w:r>
                </w:p>
              </w:tc>
            </w:tr>
            <w:tr>
              <w:tc>
                <w:tcPr>
                  <w:tcW w:type="dxa" w:w="270"/>
                  <w:vMerge/>
                  <w:tcBorders>
                    <w:top w:val="none" w:color="000000" w:sz="4"/>
                    <w:left w:val="single" w:color="000000" w:sz="4"/>
                    <w:bottom w:val="single" w:color="000000" w:sz="4"/>
                    <w:right w:val="single" w:color="000000" w:sz="4"/>
                  </w:tcBorders>
                </w:tcPr>
                <w:p/>
              </w:tc>
              <w:tc>
                <w:tcPr>
                  <w:tcW w:type="dxa" w:w="632"/>
                  <w:vMerge/>
                  <w:tcBorders>
                    <w:top w:val="none" w:color="000000" w:sz="4"/>
                    <w:left w:val="none" w:color="000000" w:sz="4"/>
                    <w:bottom w:val="single" w:color="000000" w:sz="4"/>
                    <w:right w:val="single" w:color="000000" w:sz="4"/>
                  </w:tcBorders>
                </w:tcPr>
                <w:p/>
              </w:tc>
              <w:tc>
                <w:tcPr>
                  <w:tcW w:type="dxa" w:w="270"/>
                  <w:vMerge/>
                  <w:tcBorders>
                    <w:top w:val="none" w:color="000000" w:sz="4"/>
                    <w:left w:val="none" w:color="000000" w:sz="4"/>
                    <w:bottom w:val="single" w:color="000000" w:sz="4"/>
                    <w:right w:val="single" w:color="000000" w:sz="4"/>
                  </w:tcBorders>
                </w:tcP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10793.37</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定额规定：淤泥弃运</w:t>
                  </w:r>
                  <w:r>
                    <w:br/>
                  </w:r>
                  <w:r>
                    <w:rPr>
                      <w:rFonts w:ascii="仿宋_GB2312" w:hAnsi="仿宋_GB2312" w:cs="仿宋_GB2312" w:eastAsia="仿宋_GB2312"/>
                      <w:sz w:val="22"/>
                      <w:b/>
                    </w:rPr>
                    <w:t>按土方运输乘以</w:t>
                  </w:r>
                  <w:r>
                    <w:rPr>
                      <w:rFonts w:ascii="仿宋_GB2312" w:hAnsi="仿宋_GB2312" w:cs="仿宋_GB2312" w:eastAsia="仿宋_GB2312"/>
                      <w:sz w:val="22"/>
                      <w:b/>
                    </w:rPr>
                    <w:t>1.7</w:t>
                  </w:r>
                  <w:r>
                    <w:br/>
                  </w:r>
                  <w:r>
                    <w:rPr>
                      <w:rFonts w:ascii="仿宋_GB2312" w:hAnsi="仿宋_GB2312" w:cs="仿宋_GB2312" w:eastAsia="仿宋_GB2312"/>
                      <w:sz w:val="22"/>
                      <w:b/>
                    </w:rPr>
                    <w:t>系数</w:t>
                  </w:r>
                  <w:r>
                    <w:rPr>
                      <w:rFonts w:ascii="仿宋_GB2312" w:hAnsi="仿宋_GB2312" w:cs="仿宋_GB2312" w:eastAsia="仿宋_GB2312"/>
                      <w:sz w:val="22"/>
                      <w:b/>
                    </w:rPr>
                    <w:t>(结算据实)</w:t>
                  </w:r>
                </w:p>
              </w:tc>
            </w:tr>
          </w:tbl>
          <w:p>
            <w:pPr>
              <w:pStyle w:val="null3"/>
            </w:pPr>
            <w:r>
              <w:rPr>
                <w:rFonts w:ascii="仿宋_GB2312" w:hAnsi="仿宋_GB2312" w:cs="仿宋_GB2312" w:eastAsia="仿宋_GB2312"/>
                <w:sz w:val="22"/>
                <w:b/>
              </w:rPr>
              <w:t>注：本工程量为拟定数量，最终以实际工程量为准结算。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范围：工程量清单及采购文件全部内容。2.工期：10日历天。3.质量标准：合格。4.付款方式：1）预付款，项目进场后，达到付款条件起10日内，支付合同总金额的40%。2）进度款，整体项目施工完成后，达到付款条件起10日内，支付合同总金额的40%。3）其他，最终财政结算评审后无质量争议，达到付款条件起10日内，支付合同总金额的20%。5.售后要求：接到采购人售后要求后，6小时内远程响应，24小时内给出解决方案，若远程无法解决问题72小时内安排专人到达现场。6.供应商负责完成本项目建设相关工作，凡涉及与本项目相关的施工、设备安装、人员保险、税金、验收等，所有费用一次性计入投标总价，合同履约过程中采购人不再支付其他额外费用。7.知识产权归属和处理方式：供应商应保证所建工程及所投的货物及服务不会出现因第三方提出侵犯其专利权、商标权或其它知识产权而引发法律或经济纠纷，否则由供应商承担全部责任。8.验收：1）项目完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9.违约责任与解决争议的方法：1）按照《中华人民共和国民法典》中的相关条款执行。2）供应商提供的工程及服务未达到合同约定标准，或未在约定的工期内完工的，采购人有权终止合同，由此对采购人造成经济损失的，采购人有权要求供应商进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响应文件（格式）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信用中国截图</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拟派项目经理须具有建筑工程专业二级及以上注册建造师证书和有效的安全生产考核证书（B证）在本单位注册且无在建工程（提供无在建承诺）。</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响应文件封面 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响应文件（格式）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供应商提供针对本项目的施工方案，至少包含①施工前检查准备②整体施工流程 ③关键部位施工方案④施工工艺⑤劳动力配置计划⑥施工现场设施保护及成品保护方案⑦环境保护及扬尘管控方案。 满足项目实施要求，无瑕疵：14分；内容每存在1处瑕疵扣1分； 内容存在14处及以上瑕疵或未提供计0分。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供应商针对本项目工期要求及施工特点，提供施工进度计划，至少包含①工程各阶段进度施工计划②提供施工进度计划横道图③进度控制保证措施。 满足项目实施要求，无瑕疵：3分；内容每存在1处瑕疵扣1分； 内容存在处及以上瑕疵或未提供计0分。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供应商提供针对本项目的项目组织机构，至少包括①组织机构框架②项目人员构成情况（岗位设置、专业种类及能力、有技术职称的人员比例）。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施工机械设备配置</w:t>
            </w:r>
          </w:p>
        </w:tc>
        <w:tc>
          <w:tcPr>
            <w:tcW w:type="dxa" w:w="2492"/>
          </w:tcPr>
          <w:p>
            <w:pPr>
              <w:pStyle w:val="null3"/>
            </w:pPr>
            <w:r>
              <w:rPr>
                <w:rFonts w:ascii="仿宋_GB2312" w:hAnsi="仿宋_GB2312" w:cs="仿宋_GB2312" w:eastAsia="仿宋_GB2312"/>
              </w:rPr>
              <w:t>1.提供挖掘机、装载机、自卸运输车三类设备有效证明（自有/租赁证明材料），三类齐全得 6 分，缺任意一项此项不得分。 2.在三类基础设备齐全前提下，每多1台挖掘机（带破碎锤）得2分，最高得4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污水厂厂区特殊工况应急处置</w:t>
            </w:r>
          </w:p>
        </w:tc>
        <w:tc>
          <w:tcPr>
            <w:tcW w:type="dxa" w:w="2492"/>
          </w:tcPr>
          <w:p>
            <w:pPr>
              <w:pStyle w:val="null3"/>
            </w:pPr>
            <w:r>
              <w:rPr>
                <w:rFonts w:ascii="仿宋_GB2312" w:hAnsi="仿宋_GB2312" w:cs="仿宋_GB2312" w:eastAsia="仿宋_GB2312"/>
              </w:rPr>
              <w:t>提供加盖公章书面承诺，须同时包含：①厂区管线、现有构筑物保护措施；②汛期、厂区积水应急处置；③施工扰动产生污水溢流、异味突发情况处置；④机械故障替补保障，保障 10 天工期不受设备故障影响。全部条款完整响应得 6 分；缺任意一项承诺内容，本项不得分。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农民工工资保障承诺</w:t>
            </w:r>
          </w:p>
        </w:tc>
        <w:tc>
          <w:tcPr>
            <w:tcW w:type="dxa" w:w="2492"/>
          </w:tcPr>
          <w:p>
            <w:pPr>
              <w:pStyle w:val="null3"/>
            </w:pPr>
            <w:r>
              <w:rPr>
                <w:rFonts w:ascii="仿宋_GB2312" w:hAnsi="仿宋_GB2312" w:cs="仿宋_GB2312" w:eastAsia="仿宋_GB2312"/>
              </w:rPr>
              <w:t>供应商提供农民工工资专项承诺书，至少包含：①专户发放 ②按月足额支付 ③杜绝拖欠、承担违约责任。 三项要素齐全得满分，每缺失一项扣2分，未提供0分。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供应商提供针对本项目的质量技术组织措施，包括①质量目标②施工前期、中期、后期质量保障措施③质量全过程检查制度④材料质量保障体系⑤施工质量保证承诺。 满足项目实施要求，无瑕疵：5分； 内容每存在1处瑕疵扣1分； 内容存在5处及以上瑕疵或未提供计0分。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供应商提供针对本项目的施工组织设计，内容至少包括①施工资源投入计划②雨季施工方案③新技术、新产品、新工艺、新材料的应用④工程竣工验收、结算、移交的组织和配合措施。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安全施工方案</w:t>
            </w:r>
          </w:p>
        </w:tc>
        <w:tc>
          <w:tcPr>
            <w:tcW w:type="dxa" w:w="2492"/>
          </w:tcPr>
          <w:p>
            <w:pPr>
              <w:pStyle w:val="null3"/>
            </w:pPr>
            <w:r>
              <w:rPr>
                <w:rFonts w:ascii="仿宋_GB2312" w:hAnsi="仿宋_GB2312" w:cs="仿宋_GB2312" w:eastAsia="仿宋_GB2312"/>
              </w:rPr>
              <w:t>安全施工供应商提供针对本项目的安全文明施工方案，内容至少包括①安全管理体系②安全保障措施③现场安全管控方案及应急处理能力。 满足项目实施要求，无瑕疵：3分； 内容每存在1处瑕疵扣1分； 内容存在3处及以上瑕疵或未提供计0分。方案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安全文明措施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供应商结合工程环境、特点，提供针对本项目的安全文明施工措施，包括①施工过程中安全保护措施②文明施工控制措施③工程废弃物处理方案等。 满足项目实施要求，无瑕疵：3分； 内容每存在1处瑕疵扣1分；内容存在3处及以上瑕疵或未提供计0分。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已完工），扫描件必须清晰体现签约主体和日期、项目名称及内容、合同金额等核心要素，否则不计为有效业绩。每提供1个有效业绩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 其价格分为满分。其他供应商的价格分统一按照下列公式计算：磋商报价得分=（磋商基准价/最后磋商报价）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