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版本号：SDZC2026-12420260902003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多艺术场景空间创设与示范基地建设项目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SDZC2026-124</w:t>
      </w:r>
      <w:r>
        <w:br/>
      </w:r>
      <w:r>
        <w:br/>
      </w:r>
      <w:r>
        <w:br/>
      </w:r>
    </w:p>
    <w:p>
      <w:pPr>
        <w:pStyle w:val="null3"/>
        <w:jc w:val="center"/>
        <w:outlineLvl w:val="2"/>
      </w:pPr>
      <w:r>
        <w:rPr>
          <w:rFonts w:ascii="仿宋_GB2312" w:hAnsi="仿宋_GB2312" w:cs="仿宋_GB2312" w:eastAsia="仿宋_GB2312"/>
          <w:sz w:val="28"/>
          <w:b/>
        </w:rPr>
        <w:t>长安画派艺术中心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长安画派艺术中心</w:t>
      </w:r>
      <w:r>
        <w:rPr>
          <w:rFonts w:ascii="仿宋_GB2312" w:hAnsi="仿宋_GB2312" w:cs="仿宋_GB2312" w:eastAsia="仿宋_GB2312"/>
        </w:rPr>
        <w:t>委托，拟对</w:t>
      </w:r>
      <w:r>
        <w:rPr>
          <w:rFonts w:ascii="仿宋_GB2312" w:hAnsi="仿宋_GB2312" w:cs="仿宋_GB2312" w:eastAsia="仿宋_GB2312"/>
        </w:rPr>
        <w:t>多艺术场景空间创设与示范基地建设项目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多艺术场景空间创设与示范基地建设项目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多艺术场景空间创设与示范基地建设项目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采购包1（多艺术场景空间创设与示范基地建设项目）：属于专门面向中小企业采购。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文件）</w:t>
      </w:r>
    </w:p>
    <w:p>
      <w:pPr>
        <w:pStyle w:val="null3"/>
      </w:pPr>
      <w:r>
        <w:rPr>
          <w:rFonts w:ascii="仿宋_GB2312" w:hAnsi="仿宋_GB2312" w:cs="仿宋_GB2312" w:eastAsia="仿宋_GB2312"/>
        </w:rPr>
        <w:t>5、履行合同承诺：提供具有履行本合同所必需的设备和专业技术能力的说明及承诺（提供书面说明及承诺，加盖供应商公章）；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6、无违法声明：提供参加政府采购活动前三年内在经营活动中没有重大违法记录的书面声明（提供书面声明，加盖供应商公章）；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8、企业资质：具备建设行政主管部门颁发的建筑工程施工总承包二级（含二级）以上资质或建筑装修装饰工程专业承包二级（含二级）以上资质, 同时具有合格有效的安全生产许可证；</w:t>
      </w:r>
    </w:p>
    <w:p>
      <w:pPr>
        <w:pStyle w:val="null3"/>
      </w:pPr>
      <w:r>
        <w:rPr>
          <w:rFonts w:ascii="仿宋_GB2312" w:hAnsi="仿宋_GB2312" w:cs="仿宋_GB2312" w:eastAsia="仿宋_GB2312"/>
        </w:rPr>
        <w:t>9、项目经理资质：拟派项目经理须具备建筑工程专业二级或以上注册建造师资质并具有有效的安全生产考核合格证（B证），在本单位注册且无在建工程、无不良记录；（提供无在建工程、无不良记录承诺书）</w:t>
      </w:r>
    </w:p>
    <w:p>
      <w:pPr>
        <w:pStyle w:val="null3"/>
      </w:pPr>
      <w:r>
        <w:rPr>
          <w:rFonts w:ascii="仿宋_GB2312" w:hAnsi="仿宋_GB2312" w:cs="仿宋_GB2312" w:eastAsia="仿宋_GB2312"/>
        </w:rPr>
        <w:t>10、磋商保证金或担保函：磋商保证金交纳凭证或担保函；（磋商保证金交纳凭证为银行凭证及基本账户证明资料，担保函为财政部门认可的政府采购信用担保机构出具）</w:t>
      </w:r>
    </w:p>
    <w:p>
      <w:pPr>
        <w:pStyle w:val="null3"/>
      </w:pPr>
      <w:r>
        <w:rPr>
          <w:rFonts w:ascii="仿宋_GB2312" w:hAnsi="仿宋_GB2312" w:cs="仿宋_GB2312" w:eastAsia="仿宋_GB2312"/>
        </w:rPr>
        <w:t>11、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资审小组在磋商截止日当天在“信用中国”网站和中国政府采购网站进行查询，截图留档；如网站无供应商信息的，供应商须提供相关证明资料或书面声明，并附在响应文件中）</w:t>
      </w:r>
    </w:p>
    <w:p>
      <w:pPr>
        <w:pStyle w:val="null3"/>
      </w:pPr>
      <w:r>
        <w:rPr>
          <w:rFonts w:ascii="仿宋_GB2312" w:hAnsi="仿宋_GB2312" w:cs="仿宋_GB2312" w:eastAsia="仿宋_GB2312"/>
        </w:rPr>
        <w:t>12、控股关系：单位负责人为同一人或者存在直接控股、管理关系的不同供应商，不得参加同一合同项下的政府采购活动。（此项由资审小组在磋商截止日当天在“国家企业信用信息公示系统”进行查询，截图留档；如网站无供应商信息的，供应商须提供相关证明资料或书面声明，并附在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长安画派艺术中心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西安市东大街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17629230738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陕西省西安市经开区张家堡转盘东南角正尚国际金融广场A座7层703室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郅龙（8号工位）、姚文霄、王丽娇、魏蕾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标准执行。 账户信息：1.开户行名称：陕西上德招标有限公司 2.开 户 行：中国建设银行股份有限公司西安武警路支行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长安画派艺术中心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长安画派艺术中心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长安画派艺术中心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1.关于发包人提供给承包人的图纸、发包人为实施工程自行编制或委托编制的技术规范以及反映发包人关于合同要求或其他类似性质的文件的著作权的归属：归发包人所有。 关于发包人提供的上述文件的使用限制的要求：合同签订后至项目竣工验收。2.关于承包人为实施工程所编制文件的著作权的归属：归发包人所有。关于承包人提供的上述文件的使用限制的要求：合同签订后至项目竣工验收。3.承包人在施工过程中所采用的专利、专有技术、技术秘密的使用费的承担方式：由承包人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联系电话：029-86673953转808</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797,106.96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多艺术场景空间创设与示范基地建设项目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标的名称：多艺术场景空间创设与示范基地建设项目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照国家及西安市现行施工规程、规范和标准，符合《建筑工程施工质量统一验收标准》（GB50300-2013）等现行相关标准合格等级。确保整体工程、各专业工程和分部工程均达到合格标准。1.项目在竣工后，成交人应向采购人提交工程竣工报告，申请工程竣工验收，并将施工过程中相关资料提交采购人。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自合同签订之日起60个日历日内完成全部项目施工。2、运输、施工：成交人负责材料的运输、施工及其他伴随服务。3、付款条件说明：3.1合同签订后，达到付款条件起30日内，支付合同总金额的40.00%。3.2根据施工进度付款，施工进度分别达到50%、80%时进行付款，付款金额不超过当次进度工程量造价的85% ，达到付款条件起30日内，支付合同总金额的45.00%。3.3竣工决算审计后，达到付款条件起30日内，支付合同总金额的12.00%。3.4 余款作为工程质量保修金，保修期满后结清，达到付款条件起30日内，支付合同总金额的3.00%。4、施工要求：4.1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4.2成交人应配合项目建设进度,向采购人提供施工组织计划、进度计划和施工作业计划，并签订施工安全责任书。4.3采购人只提供电源、水源。成交人在施工期间不得破坏原有建筑。5、质量保证和售后服务：质保期符合国家标准要求。成交人承诺的质保时间超过文件要求的，按其承诺时间质保。成交人承诺的质保期起始时间为终验合格之日起。5.2工程质量等级达到合格或以上标准。5.3成交人应遵照国家规范规定的建筑工程施工质量标准及要求作出明确承诺。5.4在质量保证期内，成交人应具有良好、迅速的售后服务能力。6、磋商响应文件中提供的资质证书等材料在合同签订及履行期间持续有效，否则采购人有权终止合同并要求赔偿。7、合同实施：7.1成交人应在合同签订后，7个日历日内安排人员（项目组成人员简历表所列）就施工工作等进行安排、部署。7.2若因成交人原因未能在规定工期内完成合同规定的义务，由此对采购人造成的延误和一切损失，由成交人承担和赔偿。8、违约责任：8.1按《中华人民共和国民法典》中的相关条款执行；8.2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装订：纸质竞争性磋商响应文件采用书籍（胶装）方式装订成册，与电子版文件一致的签字、盖章的完整版本。2.磋商保证金应当按照法定形式提交。以电汇、转账等形式交纳保证金的投标人，磋商保证金仅限于通过基本账户以转账形式交纳，招标结束后以转账形式退至供应商基本账户内。磋商保证金以银行凭证及基本账户证明资料为准。未成交的供应商保证金将在成交公告发布后五个工作日内退还，成交人的保证金将在合同签订后五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社会保障资金缴纳证明：提供截止至开标时间前六个月内任意一个月的社保缴纳凭据或社保机构开具的社会保险参保缴纳情况证明；（依法不需要缴纳社会保障资金的供应商应提供相关证明文件）</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具备建设行政主管部门颁发的建筑工程施工总承包二级（含二级）以上资质或建筑装修装饰工程专业承包二级（含二级）以上资质, 同时具有合格有效的安全生产许可证；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拟派项目经理须具备建筑工程专业二级或以上注册建造师资质并具有有效的安全生产考核合格证（B证），在本单位注册且无在建工程、无不良记录；（提供无在建工程、无不良记录承诺书）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磋商保证金或担保函</w:t>
            </w:r>
          </w:p>
        </w:tc>
        <w:tc>
          <w:tcPr>
            <w:tcW w:type="dxa" w:w="3322"/>
          </w:tcPr>
          <w:p>
            <w:pPr>
              <w:pStyle w:val="null3"/>
            </w:pPr>
            <w:r>
              <w:rPr>
                <w:rFonts w:ascii="仿宋_GB2312" w:hAnsi="仿宋_GB2312" w:cs="仿宋_GB2312" w:eastAsia="仿宋_GB2312"/>
              </w:rPr>
              <w:t>磋商保证金交纳凭证或担保函；（磋商保证金交纳凭证为银行凭证及基本账户证明资料，担保函为财政部门认可的政府采购信用担保机构出具）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资审小组在磋商截止日当天在“信用中国”网站和中国政府采购网站进行查询，截图留档；如网站无供应商信息的，供应商须提供相关证明资料或书面声明，并附在响应文件中）</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资审小组在磋商截止日当天在“国家企业信用信息公示系统”进行查询，截图留档；如网站无供应商信息的，供应商须提供相关证明资料或书面声明，并附在响应文件中）</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响应文件封面 技术标附表.docx 残疾人福利性单位声明函 拒绝政府采购领域商业贿赂承诺书.docx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响应文件封面 技术标附表.docx 残疾人福利性单位声明函 拒绝政府采购领域商业贿赂承诺书.docx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商务响应及技术响应</w:t>
            </w:r>
          </w:p>
        </w:tc>
        <w:tc>
          <w:tcPr>
            <w:tcW w:type="dxa" w:w="3322"/>
          </w:tcPr>
          <w:p>
            <w:pPr>
              <w:pStyle w:val="null3"/>
            </w:pPr>
            <w:r>
              <w:rPr>
                <w:rFonts w:ascii="仿宋_GB2312" w:hAnsi="仿宋_GB2312" w:cs="仿宋_GB2312" w:eastAsia="仿宋_GB2312"/>
              </w:rPr>
              <w:t>对磋商文件商务要求是否作出明确且实质性响应；对磋商文件技术要求是否作出明确响应，对不得偏离的要求是否作出实质性响应；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响应文件封面 技术标附表.docx 残疾人福利性单位声明函 拒绝政府采购领域商业贿赂承诺书.docx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响应文件封面 技术标附表.docx 残疾人福利性单位声明函 拒绝政府采购领域商业贿赂承诺书.docx 响应函 供应商认为有必要补充说明的事宜.docx 资质证明文件.docx 监狱企业的证明文件 技术、服务、商务及其他要求响应偏离表.docx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供应商针对本项目编制完善的工程质量技术组织措施，内容包含但不限于：①质量目标管理体系、②施工质量的检验制度、③确保质量的技术组织措施、④材料储存方案。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①安全文明施工目标及施工现场的临时管理措施、②文明施工保障措施、③环境保护管理体系及环保控制措施、④污染物及废弃物处理的排放、噪音控制及防尘及扬尘的控制措施。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供应商针对本项目编制完善的安全生产的技术组织措施，内容包含但不限于：①安全管理体系、②安全责任归属划分、③安全标识（安全警戒标语、施工人员安全警示服和安全帽穿配要求、安全教育培训）。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供应商针对本项目编制完善的工期的技术组织措施，内容包含但不限于：①施工组织与工期保证措施、②特殊情况保证（夜间、雨季、高温）。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供应商针对本项目编制完善的施工方案，内容包含但不限于：①具体施工内容、②施工次序、③施工方法（工艺）、④成品保护措施。 评审标准 上述4项内容无缺项、无缺陷的得10分，每缺少一项扣2.5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供应商针对本项目编制完善的施工机械及材料投入计划，内容包含但不限于：①拟投入的主要施工机械设备计划、②主要材料进场计划。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供应商针对本项目编制完善的施工进度网络图或施工进度表，内容包含但不限于：①施工总进度、②施工进度目标和施工总进度计划表/图、③施工进度保障措施。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供应商针对本项目编制完善的劳动力安排计划及劳务分包情况，内容包含但不限于：①劳动力投入计划②劳动力保障措施。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供应商针对本项目编制完善的项目经理部组织机构，内容包含但不限于：①项目成员配置清单及架构、②项目组配备人员的专业素质、③人员结构、④项目成员的主要职责及工作内容。 评审标准 上述4项内容无缺项、无缺陷的得6分，每缺少一项扣1.5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以合同形式提供供应商2023年08月至今类似项目业绩，每份计2分，计满6分为止。（以合同签订时间为准，附合同复印件）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供应商针对本项目编制完善的服务承诺，内容包含但不限于：①对招标文件和合同条款的响应承诺、②针对本项目实际需求提供实质性服务承诺及保障措施、③针对本项目的施工验收后期的质保承诺。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