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4B9BA">
      <w:pPr>
        <w:jc w:val="center"/>
        <w:rPr>
          <w:rFonts w:hint="eastAsia"/>
          <w:sz w:val="28"/>
          <w:szCs w:val="36"/>
          <w:lang w:val="en-US" w:eastAsia="zh-CN"/>
        </w:rPr>
      </w:pPr>
      <w:r>
        <w:rPr>
          <w:rFonts w:hint="eastAsia"/>
          <w:sz w:val="28"/>
          <w:szCs w:val="36"/>
          <w:lang w:val="en-US" w:eastAsia="zh-CN"/>
        </w:rPr>
        <w:t>采购需求</w:t>
      </w:r>
    </w:p>
    <w:p w14:paraId="68C4DEDB">
      <w:pPr>
        <w:pStyle w:val="4"/>
        <w:ind w:left="420"/>
        <w:jc w:val="left"/>
      </w:pPr>
      <w:r>
        <w:rPr>
          <w:rFonts w:ascii="仿宋_GB2312" w:hAnsi="仿宋_GB2312" w:eastAsia="仿宋_GB2312" w:cs="仿宋_GB2312"/>
          <w:sz w:val="24"/>
        </w:rPr>
        <w:t>定制开发内容</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284"/>
        <w:gridCol w:w="3892"/>
        <w:gridCol w:w="2338"/>
      </w:tblGrid>
      <w:tr w14:paraId="620F9EBE">
        <w:tc>
          <w:tcPr>
            <w:tcW w:w="134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D7535B">
            <w:pPr>
              <w:pStyle w:val="4"/>
              <w:ind w:firstLine="380"/>
              <w:jc w:val="center"/>
            </w:pPr>
            <w:r>
              <w:rPr>
                <w:rFonts w:ascii="仿宋_GB2312" w:hAnsi="仿宋_GB2312" w:eastAsia="仿宋_GB2312" w:cs="仿宋_GB2312"/>
                <w:b/>
                <w:sz w:val="24"/>
              </w:rPr>
              <w:t>序号</w:t>
            </w:r>
          </w:p>
        </w:tc>
        <w:tc>
          <w:tcPr>
            <w:tcW w:w="228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B45355">
            <w:pPr>
              <w:pStyle w:val="4"/>
              <w:jc w:val="center"/>
            </w:pPr>
            <w:r>
              <w:rPr>
                <w:rFonts w:ascii="仿宋_GB2312" w:hAnsi="仿宋_GB2312" w:eastAsia="仿宋_GB2312" w:cs="仿宋_GB2312"/>
                <w:b/>
                <w:sz w:val="24"/>
              </w:rPr>
              <w:t>名称</w:t>
            </w:r>
          </w:p>
        </w:tc>
        <w:tc>
          <w:tcPr>
            <w:tcW w:w="137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7C55B5">
            <w:pPr>
              <w:pStyle w:val="4"/>
              <w:jc w:val="center"/>
            </w:pPr>
            <w:r>
              <w:rPr>
                <w:rFonts w:ascii="仿宋_GB2312" w:hAnsi="仿宋_GB2312" w:eastAsia="仿宋_GB2312" w:cs="仿宋_GB2312"/>
                <w:b/>
                <w:sz w:val="24"/>
              </w:rPr>
              <w:t>数量</w:t>
            </w:r>
          </w:p>
        </w:tc>
      </w:tr>
      <w:tr w14:paraId="540234EF">
        <w:tc>
          <w:tcPr>
            <w:tcW w:w="13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9D7C3">
            <w:pPr>
              <w:pStyle w:val="4"/>
              <w:ind w:firstLine="380"/>
              <w:jc w:val="center"/>
            </w:pPr>
            <w:r>
              <w:rPr>
                <w:rFonts w:ascii="仿宋_GB2312" w:hAnsi="仿宋_GB2312" w:eastAsia="仿宋_GB2312" w:cs="仿宋_GB2312"/>
                <w:sz w:val="24"/>
              </w:rPr>
              <w:t>1</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F6491">
            <w:pPr>
              <w:pStyle w:val="4"/>
              <w:jc w:val="center"/>
            </w:pPr>
            <w:r>
              <w:rPr>
                <w:rFonts w:ascii="仿宋_GB2312" w:hAnsi="仿宋_GB2312" w:eastAsia="仿宋_GB2312" w:cs="仿宋_GB2312"/>
                <w:sz w:val="24"/>
              </w:rPr>
              <w:t>垂类大平台门户</w:t>
            </w:r>
          </w:p>
        </w:tc>
        <w:tc>
          <w:tcPr>
            <w:tcW w:w="13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B6BC74">
            <w:pPr>
              <w:pStyle w:val="4"/>
              <w:jc w:val="center"/>
            </w:pPr>
            <w:r>
              <w:rPr>
                <w:rFonts w:ascii="仿宋_GB2312" w:hAnsi="仿宋_GB2312" w:eastAsia="仿宋_GB2312" w:cs="仿宋_GB2312"/>
                <w:sz w:val="24"/>
              </w:rPr>
              <w:t>1套</w:t>
            </w:r>
          </w:p>
        </w:tc>
      </w:tr>
      <w:tr w14:paraId="05EC5C18">
        <w:tc>
          <w:tcPr>
            <w:tcW w:w="13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24890">
            <w:pPr>
              <w:pStyle w:val="4"/>
              <w:ind w:firstLine="380"/>
              <w:jc w:val="center"/>
            </w:pPr>
            <w:r>
              <w:rPr>
                <w:rFonts w:ascii="仿宋_GB2312" w:hAnsi="仿宋_GB2312" w:eastAsia="仿宋_GB2312" w:cs="仿宋_GB2312"/>
                <w:sz w:val="24"/>
              </w:rPr>
              <w:t>2</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A32D4">
            <w:pPr>
              <w:pStyle w:val="4"/>
              <w:jc w:val="center"/>
            </w:pPr>
            <w:r>
              <w:rPr>
                <w:rFonts w:ascii="仿宋_GB2312" w:hAnsi="仿宋_GB2312" w:eastAsia="仿宋_GB2312" w:cs="仿宋_GB2312"/>
                <w:sz w:val="24"/>
              </w:rPr>
              <w:t>区域国别垂类大模型基座</w:t>
            </w:r>
          </w:p>
        </w:tc>
        <w:tc>
          <w:tcPr>
            <w:tcW w:w="13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1DB75">
            <w:pPr>
              <w:pStyle w:val="4"/>
              <w:jc w:val="center"/>
            </w:pPr>
            <w:r>
              <w:rPr>
                <w:rFonts w:ascii="仿宋_GB2312" w:hAnsi="仿宋_GB2312" w:eastAsia="仿宋_GB2312" w:cs="仿宋_GB2312"/>
                <w:sz w:val="24"/>
              </w:rPr>
              <w:t>1套</w:t>
            </w:r>
          </w:p>
        </w:tc>
      </w:tr>
      <w:tr w14:paraId="619C8D99">
        <w:tc>
          <w:tcPr>
            <w:tcW w:w="13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0E40D6">
            <w:pPr>
              <w:pStyle w:val="4"/>
              <w:ind w:firstLine="380"/>
              <w:jc w:val="center"/>
            </w:pPr>
            <w:r>
              <w:rPr>
                <w:rFonts w:ascii="仿宋_GB2312" w:hAnsi="仿宋_GB2312" w:eastAsia="仿宋_GB2312" w:cs="仿宋_GB2312"/>
                <w:sz w:val="24"/>
              </w:rPr>
              <w:t>3</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3CA379">
            <w:pPr>
              <w:pStyle w:val="4"/>
              <w:jc w:val="center"/>
            </w:pPr>
            <w:r>
              <w:rPr>
                <w:rFonts w:ascii="仿宋_GB2312" w:hAnsi="仿宋_GB2312" w:eastAsia="仿宋_GB2312" w:cs="仿宋_GB2312"/>
                <w:sz w:val="24"/>
              </w:rPr>
              <w:t>区域国别知识库</w:t>
            </w:r>
          </w:p>
        </w:tc>
        <w:tc>
          <w:tcPr>
            <w:tcW w:w="13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21601">
            <w:pPr>
              <w:pStyle w:val="4"/>
              <w:jc w:val="center"/>
            </w:pPr>
            <w:r>
              <w:rPr>
                <w:rFonts w:ascii="仿宋_GB2312" w:hAnsi="仿宋_GB2312" w:eastAsia="仿宋_GB2312" w:cs="仿宋_GB2312"/>
                <w:sz w:val="24"/>
              </w:rPr>
              <w:t>1套</w:t>
            </w:r>
          </w:p>
        </w:tc>
      </w:tr>
      <w:tr w14:paraId="150CE302">
        <w:tc>
          <w:tcPr>
            <w:tcW w:w="13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45DFF">
            <w:pPr>
              <w:pStyle w:val="4"/>
              <w:ind w:firstLine="380"/>
              <w:jc w:val="center"/>
            </w:pPr>
            <w:r>
              <w:rPr>
                <w:rFonts w:ascii="仿宋_GB2312" w:hAnsi="仿宋_GB2312" w:eastAsia="仿宋_GB2312" w:cs="仿宋_GB2312"/>
                <w:sz w:val="24"/>
              </w:rPr>
              <w:t>4</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08361F">
            <w:pPr>
              <w:pStyle w:val="4"/>
              <w:jc w:val="center"/>
            </w:pPr>
            <w:r>
              <w:rPr>
                <w:rFonts w:ascii="仿宋_GB2312" w:hAnsi="仿宋_GB2312" w:eastAsia="仿宋_GB2312" w:cs="仿宋_GB2312"/>
                <w:sz w:val="24"/>
              </w:rPr>
              <w:t>科研创新智能体</w:t>
            </w:r>
          </w:p>
        </w:tc>
        <w:tc>
          <w:tcPr>
            <w:tcW w:w="13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6D62F">
            <w:pPr>
              <w:pStyle w:val="4"/>
              <w:jc w:val="center"/>
            </w:pPr>
            <w:r>
              <w:rPr>
                <w:rFonts w:ascii="仿宋_GB2312" w:hAnsi="仿宋_GB2312" w:eastAsia="仿宋_GB2312" w:cs="仿宋_GB2312"/>
                <w:sz w:val="24"/>
              </w:rPr>
              <w:t>1套</w:t>
            </w:r>
          </w:p>
        </w:tc>
      </w:tr>
      <w:tr w14:paraId="20B3A7A3">
        <w:tc>
          <w:tcPr>
            <w:tcW w:w="13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74F478">
            <w:pPr>
              <w:pStyle w:val="4"/>
              <w:ind w:firstLine="380"/>
              <w:jc w:val="center"/>
            </w:pPr>
            <w:r>
              <w:rPr>
                <w:rFonts w:ascii="仿宋_GB2312" w:hAnsi="仿宋_GB2312" w:eastAsia="仿宋_GB2312" w:cs="仿宋_GB2312"/>
                <w:sz w:val="24"/>
              </w:rPr>
              <w:t>5</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23EEE">
            <w:pPr>
              <w:pStyle w:val="4"/>
              <w:jc w:val="center"/>
            </w:pPr>
            <w:r>
              <w:rPr>
                <w:rFonts w:ascii="仿宋_GB2312" w:hAnsi="仿宋_GB2312" w:eastAsia="仿宋_GB2312" w:cs="仿宋_GB2312"/>
                <w:sz w:val="24"/>
              </w:rPr>
              <w:t>智库智能体</w:t>
            </w:r>
          </w:p>
        </w:tc>
        <w:tc>
          <w:tcPr>
            <w:tcW w:w="13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1569B">
            <w:pPr>
              <w:pStyle w:val="4"/>
              <w:jc w:val="center"/>
            </w:pPr>
            <w:r>
              <w:rPr>
                <w:rFonts w:ascii="仿宋_GB2312" w:hAnsi="仿宋_GB2312" w:eastAsia="仿宋_GB2312" w:cs="仿宋_GB2312"/>
                <w:sz w:val="24"/>
              </w:rPr>
              <w:t>1套</w:t>
            </w:r>
          </w:p>
        </w:tc>
      </w:tr>
      <w:tr w14:paraId="61C00365">
        <w:tc>
          <w:tcPr>
            <w:tcW w:w="13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0C3A6">
            <w:pPr>
              <w:pStyle w:val="4"/>
              <w:ind w:firstLine="380"/>
              <w:jc w:val="center"/>
            </w:pPr>
            <w:r>
              <w:rPr>
                <w:rFonts w:ascii="仿宋_GB2312" w:hAnsi="仿宋_GB2312" w:eastAsia="仿宋_GB2312" w:cs="仿宋_GB2312"/>
                <w:sz w:val="24"/>
              </w:rPr>
              <w:t>6</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569BB">
            <w:pPr>
              <w:pStyle w:val="4"/>
              <w:jc w:val="center"/>
            </w:pPr>
            <w:r>
              <w:rPr>
                <w:rFonts w:ascii="仿宋_GB2312" w:hAnsi="仿宋_GB2312" w:eastAsia="仿宋_GB2312" w:cs="仿宋_GB2312"/>
                <w:sz w:val="24"/>
              </w:rPr>
              <w:t>数字分身智能体</w:t>
            </w:r>
          </w:p>
        </w:tc>
        <w:tc>
          <w:tcPr>
            <w:tcW w:w="13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208957">
            <w:pPr>
              <w:pStyle w:val="4"/>
              <w:jc w:val="center"/>
            </w:pPr>
            <w:r>
              <w:rPr>
                <w:rFonts w:ascii="仿宋_GB2312" w:hAnsi="仿宋_GB2312" w:eastAsia="仿宋_GB2312" w:cs="仿宋_GB2312"/>
                <w:sz w:val="24"/>
              </w:rPr>
              <w:t>1套</w:t>
            </w:r>
          </w:p>
        </w:tc>
      </w:tr>
    </w:tbl>
    <w:p w14:paraId="57FB4ABB">
      <w:pPr>
        <w:pStyle w:val="4"/>
        <w:ind w:left="420"/>
        <w:jc w:val="left"/>
      </w:pPr>
      <w:r>
        <w:rPr>
          <w:rFonts w:ascii="仿宋_GB2312" w:hAnsi="仿宋_GB2312" w:eastAsia="仿宋_GB2312" w:cs="仿宋_GB2312"/>
          <w:sz w:val="24"/>
        </w:rPr>
        <w:t>定制开发内容详细参数</w:t>
      </w:r>
    </w:p>
    <w:p w14:paraId="244C8CA1">
      <w:pPr>
        <w:pStyle w:val="4"/>
        <w:ind w:firstLine="480"/>
        <w:jc w:val="both"/>
      </w:pPr>
      <w:r>
        <w:rPr>
          <w:rFonts w:ascii="仿宋_GB2312" w:hAnsi="仿宋_GB2312" w:eastAsia="仿宋_GB2312" w:cs="仿宋_GB2312"/>
          <w:b/>
          <w:sz w:val="24"/>
        </w:rPr>
        <w:t>一、技术要求</w:t>
      </w:r>
      <w:bookmarkStart w:id="0" w:name="_GoBack"/>
      <w:bookmarkEnd w:id="0"/>
    </w:p>
    <w:p w14:paraId="6B6E407A">
      <w:pPr>
        <w:pStyle w:val="4"/>
        <w:jc w:val="both"/>
      </w:pPr>
      <w:r>
        <w:rPr>
          <w:rFonts w:ascii="仿宋_GB2312" w:hAnsi="仿宋_GB2312" w:eastAsia="仿宋_GB2312" w:cs="仿宋_GB2312"/>
          <w:sz w:val="24"/>
        </w:rPr>
        <w:t>（一）垂类大平台门户</w:t>
      </w:r>
    </w:p>
    <w:p w14:paraId="6BB208A0">
      <w:pPr>
        <w:pStyle w:val="4"/>
        <w:ind w:firstLine="420"/>
        <w:jc w:val="both"/>
      </w:pPr>
      <w:r>
        <w:rPr>
          <w:rFonts w:ascii="仿宋_GB2312" w:hAnsi="仿宋_GB2312" w:eastAsia="仿宋_GB2312" w:cs="仿宋_GB2312"/>
          <w:sz w:val="21"/>
        </w:rPr>
        <w:t>1.</w:t>
      </w:r>
      <w:r>
        <w:rPr>
          <w:rFonts w:ascii="仿宋_GB2312" w:hAnsi="仿宋_GB2312" w:eastAsia="仿宋_GB2312" w:cs="仿宋_GB2312"/>
          <w:sz w:val="24"/>
        </w:rPr>
        <w:t>定制开发大模型应用统一门户，作为全场景应用入口，实现底层技术集约化建设。</w:t>
      </w:r>
    </w:p>
    <w:p w14:paraId="3031D047">
      <w:pPr>
        <w:pStyle w:val="4"/>
        <w:ind w:firstLine="480"/>
        <w:jc w:val="both"/>
      </w:pPr>
      <w:r>
        <w:rPr>
          <w:rFonts w:ascii="仿宋_GB2312" w:hAnsi="仿宋_GB2312" w:eastAsia="仿宋_GB2312" w:cs="仿宋_GB2312"/>
          <w:sz w:val="24"/>
        </w:rPr>
        <w:t>2.定制开发标准化API接口、算力调度及模型管理服务，支撑各类业务场景接入大模型能力。</w:t>
      </w:r>
    </w:p>
    <w:p w14:paraId="2B4C0693">
      <w:pPr>
        <w:pStyle w:val="4"/>
        <w:ind w:firstLine="480"/>
        <w:jc w:val="both"/>
      </w:pPr>
      <w:r>
        <w:rPr>
          <w:rFonts w:ascii="仿宋_GB2312" w:hAnsi="仿宋_GB2312" w:eastAsia="仿宋_GB2312" w:cs="仿宋_GB2312"/>
          <w:sz w:val="24"/>
        </w:rPr>
        <w:t>3.需基于主流技术架构定制开发，支持插件化热插拔扩展。</w:t>
      </w:r>
    </w:p>
    <w:p w14:paraId="27ED4A84">
      <w:pPr>
        <w:pStyle w:val="4"/>
        <w:ind w:firstLine="480"/>
        <w:jc w:val="both"/>
      </w:pPr>
      <w:r>
        <w:rPr>
          <w:rFonts w:ascii="仿宋_GB2312" w:hAnsi="仿宋_GB2312" w:eastAsia="仿宋_GB2312" w:cs="仿宋_GB2312"/>
          <w:sz w:val="24"/>
        </w:rPr>
        <w:t>4.支持全链路私有化部署，具备定制开发多模型并行服务能力。</w:t>
      </w:r>
    </w:p>
    <w:p w14:paraId="33878BFC">
      <w:pPr>
        <w:pStyle w:val="4"/>
        <w:ind w:firstLine="480"/>
        <w:jc w:val="both"/>
      </w:pPr>
      <w:r>
        <w:rPr>
          <w:rFonts w:ascii="仿宋_GB2312" w:hAnsi="仿宋_GB2312" w:eastAsia="仿宋_GB2312" w:cs="仿宋_GB2312"/>
          <w:sz w:val="24"/>
        </w:rPr>
        <w:t>5.开发权限管理机制与内容评价机制。</w:t>
      </w:r>
    </w:p>
    <w:p w14:paraId="46040DEE">
      <w:pPr>
        <w:pStyle w:val="4"/>
        <w:ind w:firstLine="480"/>
        <w:jc w:val="both"/>
      </w:pPr>
      <w:r>
        <w:rPr>
          <w:rFonts w:ascii="仿宋_GB2312" w:hAnsi="仿宋_GB2312" w:eastAsia="仿宋_GB2312" w:cs="仿宋_GB2312"/>
          <w:sz w:val="24"/>
        </w:rPr>
        <w:t>（二）区域国别垂类大模型基座</w:t>
      </w:r>
    </w:p>
    <w:p w14:paraId="397F0359">
      <w:pPr>
        <w:pStyle w:val="4"/>
        <w:ind w:firstLine="480"/>
        <w:jc w:val="both"/>
      </w:pPr>
      <w:r>
        <w:rPr>
          <w:rFonts w:ascii="仿宋_GB2312" w:hAnsi="仿宋_GB2312" w:eastAsia="仿宋_GB2312" w:cs="仿宋_GB2312"/>
          <w:sz w:val="24"/>
        </w:rPr>
        <w:t>1.通用大模型</w:t>
      </w:r>
    </w:p>
    <w:p w14:paraId="35B9C184">
      <w:pPr>
        <w:pStyle w:val="4"/>
        <w:ind w:firstLine="480"/>
        <w:jc w:val="both"/>
      </w:pPr>
      <w:r>
        <w:rPr>
          <w:rFonts w:ascii="仿宋_GB2312" w:hAnsi="仿宋_GB2312" w:eastAsia="仿宋_GB2312" w:cs="仿宋_GB2312"/>
          <w:sz w:val="24"/>
        </w:rPr>
        <w:t>（1）具备自然语言理解、通用知识推理、基础逻辑分析及通用文本生成能力。</w:t>
      </w:r>
    </w:p>
    <w:p w14:paraId="6028EB7D">
      <w:pPr>
        <w:pStyle w:val="4"/>
        <w:ind w:firstLine="480"/>
        <w:jc w:val="both"/>
      </w:pPr>
      <w:r>
        <w:rPr>
          <w:rFonts w:ascii="仿宋_GB2312" w:hAnsi="仿宋_GB2312" w:eastAsia="仿宋_GB2312" w:cs="仿宋_GB2312"/>
          <w:sz w:val="24"/>
        </w:rPr>
        <w:t>（2）掌握人类通用常识、基础逻辑、母语语法，负责解决通用层面的语言组织、逻辑校验、基础推理。</w:t>
      </w:r>
    </w:p>
    <w:p w14:paraId="2BD2E7CD">
      <w:pPr>
        <w:pStyle w:val="4"/>
        <w:ind w:firstLine="480"/>
        <w:jc w:val="both"/>
      </w:pPr>
      <w:r>
        <w:rPr>
          <w:rFonts w:ascii="仿宋_GB2312" w:hAnsi="仿宋_GB2312" w:eastAsia="仿宋_GB2312" w:cs="仿宋_GB2312"/>
          <w:sz w:val="24"/>
        </w:rPr>
        <w:t>（3）能够弥补垂类模型基础语言能力短板，实现双模型协同互补。</w:t>
      </w:r>
    </w:p>
    <w:p w14:paraId="4E9D5A74">
      <w:pPr>
        <w:pStyle w:val="4"/>
        <w:ind w:firstLine="480"/>
        <w:jc w:val="both"/>
      </w:pPr>
      <w:r>
        <w:rPr>
          <w:rFonts w:ascii="仿宋_GB2312" w:hAnsi="仿宋_GB2312" w:eastAsia="仿宋_GB2312" w:cs="仿宋_GB2312"/>
          <w:sz w:val="24"/>
        </w:rPr>
        <w:t>2.区域国别垂类大模型构建</w:t>
      </w:r>
    </w:p>
    <w:p w14:paraId="0F0524F5">
      <w:pPr>
        <w:pStyle w:val="4"/>
        <w:ind w:firstLine="480"/>
        <w:jc w:val="both"/>
      </w:pPr>
      <w:r>
        <w:rPr>
          <w:rFonts w:ascii="仿宋_GB2312" w:hAnsi="仿宋_GB2312" w:eastAsia="仿宋_GB2312" w:cs="仿宋_GB2312"/>
          <w:sz w:val="24"/>
        </w:rPr>
        <w:t>（1）原生支持汉语、英语、俄语、波斯语、哈萨克语等≥5种关键语言的深度理解与专业文本生成。</w:t>
      </w:r>
    </w:p>
    <w:p w14:paraId="511D9828">
      <w:pPr>
        <w:pStyle w:val="4"/>
        <w:ind w:firstLine="480"/>
        <w:jc w:val="both"/>
      </w:pPr>
      <w:r>
        <w:rPr>
          <w:rFonts w:ascii="仿宋_GB2312" w:hAnsi="仿宋_GB2312" w:eastAsia="仿宋_GB2312" w:cs="仿宋_GB2312"/>
          <w:sz w:val="24"/>
        </w:rPr>
        <w:t>（2）专门学习国别政治、经济、历史、本地文化、小语种及国别专业术语，具备跨文化洞察能力。</w:t>
      </w:r>
    </w:p>
    <w:p w14:paraId="678C202D">
      <w:pPr>
        <w:pStyle w:val="4"/>
        <w:ind w:firstLine="480"/>
        <w:jc w:val="both"/>
      </w:pPr>
      <w:r>
        <w:rPr>
          <w:rFonts w:ascii="仿宋_GB2312" w:hAnsi="仿宋_GB2312" w:eastAsia="仿宋_GB2312" w:cs="仿宋_GB2312"/>
          <w:sz w:val="24"/>
        </w:rPr>
        <w:t>（3）垂类大模型训练数据规模≥5万条数据，包含≥100种核心期刊、≥100本奠基性图书及≥1000位核心学者的相关语料等。</w:t>
      </w:r>
    </w:p>
    <w:p w14:paraId="10593DFF">
      <w:pPr>
        <w:pStyle w:val="4"/>
        <w:ind w:firstLine="480"/>
        <w:jc w:val="both"/>
      </w:pPr>
      <w:r>
        <w:rPr>
          <w:rFonts w:ascii="仿宋_GB2312" w:hAnsi="仿宋_GB2312" w:eastAsia="仿宋_GB2312" w:cs="仿宋_GB2312"/>
          <w:sz w:val="24"/>
        </w:rPr>
        <w:t>3.模型精调数据要求</w:t>
      </w:r>
    </w:p>
    <w:p w14:paraId="565319CA">
      <w:pPr>
        <w:pStyle w:val="4"/>
        <w:ind w:firstLine="480"/>
        <w:jc w:val="both"/>
      </w:pPr>
      <w:r>
        <w:rPr>
          <w:rFonts w:ascii="仿宋_GB2312" w:hAnsi="仿宋_GB2312" w:eastAsia="仿宋_GB2312" w:cs="仿宋_GB2312"/>
          <w:sz w:val="24"/>
        </w:rPr>
        <w:t>（1）领域问答对：≥20,000条</w:t>
      </w:r>
    </w:p>
    <w:p w14:paraId="181AD9DF">
      <w:pPr>
        <w:pStyle w:val="4"/>
        <w:ind w:firstLine="480"/>
        <w:jc w:val="both"/>
      </w:pPr>
      <w:r>
        <w:rPr>
          <w:rFonts w:ascii="仿宋_GB2312" w:hAnsi="仿宋_GB2312" w:eastAsia="仿宋_GB2312" w:cs="仿宋_GB2312"/>
          <w:sz w:val="24"/>
        </w:rPr>
        <w:t>（2）小语种能力样本：≥10,000条</w:t>
      </w:r>
    </w:p>
    <w:p w14:paraId="48B09210">
      <w:pPr>
        <w:pStyle w:val="4"/>
        <w:ind w:firstLine="480"/>
        <w:jc w:val="both"/>
      </w:pPr>
      <w:r>
        <w:rPr>
          <w:rFonts w:ascii="仿宋_GB2312" w:hAnsi="仿宋_GB2312" w:eastAsia="仿宋_GB2312" w:cs="仿宋_GB2312"/>
          <w:sz w:val="24"/>
        </w:rPr>
        <w:t>（3）格式/风格遵循：≥8,000条</w:t>
      </w:r>
    </w:p>
    <w:p w14:paraId="4F9927C7">
      <w:pPr>
        <w:pStyle w:val="4"/>
        <w:ind w:firstLine="480"/>
        <w:jc w:val="both"/>
      </w:pPr>
      <w:r>
        <w:rPr>
          <w:rFonts w:ascii="仿宋_GB2312" w:hAnsi="仿宋_GB2312" w:eastAsia="仿宋_GB2312" w:cs="仿宋_GB2312"/>
          <w:sz w:val="24"/>
        </w:rPr>
        <w:t>（4）边界/拒答：≥2,000条（覆盖汉语、英语、俄语、波斯语、哈萨克语等≥5种语言文献稀缺方向的知识盲区）</w:t>
      </w:r>
    </w:p>
    <w:p w14:paraId="15AEC727">
      <w:pPr>
        <w:pStyle w:val="4"/>
        <w:ind w:firstLine="480"/>
        <w:jc w:val="both"/>
      </w:pPr>
      <w:r>
        <w:rPr>
          <w:rFonts w:ascii="仿宋_GB2312" w:hAnsi="仿宋_GB2312" w:eastAsia="仿宋_GB2312" w:cs="仿宋_GB2312"/>
          <w:sz w:val="24"/>
        </w:rPr>
        <w:t>（三）区域国别知识库</w:t>
      </w:r>
    </w:p>
    <w:p w14:paraId="341162A4">
      <w:pPr>
        <w:pStyle w:val="4"/>
        <w:ind w:firstLine="480"/>
        <w:jc w:val="both"/>
      </w:pPr>
      <w:r>
        <w:rPr>
          <w:rFonts w:ascii="仿宋_GB2312" w:hAnsi="仿宋_GB2312" w:eastAsia="仿宋_GB2312" w:cs="仿宋_GB2312"/>
          <w:sz w:val="24"/>
        </w:rPr>
        <w:t>1.技术架构要求</w:t>
      </w:r>
    </w:p>
    <w:p w14:paraId="0ACD38CB">
      <w:pPr>
        <w:pStyle w:val="4"/>
        <w:ind w:firstLine="480"/>
        <w:jc w:val="both"/>
      </w:pPr>
      <w:r>
        <w:rPr>
          <w:rFonts w:ascii="仿宋_GB2312" w:hAnsi="仿宋_GB2312" w:eastAsia="仿宋_GB2312" w:cs="仿宋_GB2312"/>
          <w:sz w:val="24"/>
        </w:rPr>
        <w:t>（1）采用检索增强生成（RAG）技术，将专业区域国别数据转化为结构化、可检索的知识资产。</w:t>
      </w:r>
    </w:p>
    <w:p w14:paraId="3B6B2913">
      <w:pPr>
        <w:pStyle w:val="4"/>
        <w:ind w:firstLine="480"/>
        <w:jc w:val="both"/>
      </w:pPr>
      <w:r>
        <w:rPr>
          <w:rFonts w:ascii="仿宋_GB2312" w:hAnsi="仿宋_GB2312" w:eastAsia="仿宋_GB2312" w:cs="仿宋_GB2312"/>
          <w:sz w:val="24"/>
        </w:rPr>
        <w:t>（2）融合向量检索与全文检索，兼顾语义理解深度与关键词匹配广度。</w:t>
      </w:r>
    </w:p>
    <w:p w14:paraId="32C3719D">
      <w:pPr>
        <w:pStyle w:val="4"/>
        <w:ind w:firstLine="480"/>
        <w:jc w:val="both"/>
      </w:pPr>
      <w:r>
        <w:rPr>
          <w:rFonts w:ascii="仿宋_GB2312" w:hAnsi="仿宋_GB2312" w:eastAsia="仿宋_GB2312" w:cs="仿宋_GB2312"/>
          <w:sz w:val="24"/>
        </w:rPr>
        <w:t>（3）通过实时检索与动态更新机制。</w:t>
      </w:r>
    </w:p>
    <w:p w14:paraId="3E62B91E">
      <w:pPr>
        <w:pStyle w:val="4"/>
        <w:ind w:firstLine="480"/>
        <w:jc w:val="both"/>
      </w:pPr>
      <w:r>
        <w:rPr>
          <w:rFonts w:ascii="仿宋_GB2312" w:hAnsi="仿宋_GB2312" w:eastAsia="仿宋_GB2312" w:cs="仿宋_GB2312"/>
          <w:sz w:val="24"/>
        </w:rPr>
        <w:t>2.知识库数据规模要求</w:t>
      </w:r>
    </w:p>
    <w:p w14:paraId="2DD71426">
      <w:pPr>
        <w:pStyle w:val="4"/>
        <w:ind w:firstLine="480"/>
        <w:jc w:val="both"/>
      </w:pPr>
      <w:r>
        <w:rPr>
          <w:rFonts w:ascii="仿宋_GB2312" w:hAnsi="仿宋_GB2312" w:eastAsia="仿宋_GB2312" w:cs="仿宋_GB2312"/>
          <w:sz w:val="24"/>
        </w:rPr>
        <w:t>（1）学术文献全文（期刊/图书/报告）：≥5,000篇/册。</w:t>
      </w:r>
    </w:p>
    <w:p w14:paraId="0835C9A6">
      <w:pPr>
        <w:pStyle w:val="4"/>
        <w:ind w:firstLine="480"/>
        <w:jc w:val="both"/>
      </w:pPr>
      <w:r>
        <w:rPr>
          <w:rFonts w:ascii="仿宋_GB2312" w:hAnsi="仿宋_GB2312" w:eastAsia="仿宋_GB2312" w:cs="仿宋_GB2312"/>
          <w:sz w:val="24"/>
        </w:rPr>
        <w:t>（2）元数据/书目信息：≥300,000条。</w:t>
      </w:r>
    </w:p>
    <w:p w14:paraId="47F751D0">
      <w:pPr>
        <w:pStyle w:val="4"/>
        <w:ind w:firstLine="480"/>
        <w:jc w:val="both"/>
      </w:pPr>
      <w:r>
        <w:rPr>
          <w:rFonts w:ascii="仿宋_GB2312" w:hAnsi="仿宋_GB2312" w:eastAsia="仿宋_GB2312" w:cs="仿宋_GB2312"/>
          <w:sz w:val="24"/>
        </w:rPr>
        <w:t>（3）统计数据：≥100,000条。</w:t>
      </w:r>
    </w:p>
    <w:p w14:paraId="37350BBA">
      <w:pPr>
        <w:pStyle w:val="4"/>
        <w:ind w:firstLine="480"/>
        <w:jc w:val="both"/>
      </w:pPr>
      <w:r>
        <w:rPr>
          <w:rFonts w:ascii="仿宋_GB2312" w:hAnsi="仿宋_GB2312" w:eastAsia="仿宋_GB2312" w:cs="仿宋_GB2312"/>
          <w:sz w:val="24"/>
        </w:rPr>
        <w:t>（4）国际组织文件：≥10,000条。</w:t>
      </w:r>
    </w:p>
    <w:p w14:paraId="2016C048">
      <w:pPr>
        <w:pStyle w:val="4"/>
        <w:ind w:firstLine="480"/>
        <w:jc w:val="both"/>
      </w:pPr>
      <w:r>
        <w:rPr>
          <w:rFonts w:ascii="仿宋_GB2312" w:hAnsi="仿宋_GB2312" w:eastAsia="仿宋_GB2312" w:cs="仿宋_GB2312"/>
          <w:sz w:val="24"/>
        </w:rPr>
        <w:t>（5）档案文献：≥500种/卷。</w:t>
      </w:r>
    </w:p>
    <w:p w14:paraId="0E5F0EED">
      <w:pPr>
        <w:pStyle w:val="4"/>
        <w:ind w:firstLine="480"/>
        <w:jc w:val="both"/>
      </w:pPr>
      <w:r>
        <w:rPr>
          <w:rFonts w:ascii="仿宋_GB2312" w:hAnsi="仿宋_GB2312" w:eastAsia="仿宋_GB2312" w:cs="仿宋_GB2312"/>
          <w:sz w:val="24"/>
        </w:rPr>
        <w:t>（6）学者/机构名录：≥500位核心学者。</w:t>
      </w:r>
    </w:p>
    <w:p w14:paraId="66692126">
      <w:pPr>
        <w:pStyle w:val="4"/>
        <w:ind w:firstLine="480"/>
        <w:jc w:val="both"/>
      </w:pPr>
      <w:r>
        <w:rPr>
          <w:rFonts w:ascii="仿宋_GB2312" w:hAnsi="仿宋_GB2312" w:eastAsia="仿宋_GB2312" w:cs="仿宋_GB2312"/>
          <w:sz w:val="24"/>
        </w:rPr>
        <w:t>3.知识图谱能力要求</w:t>
      </w:r>
    </w:p>
    <w:p w14:paraId="6420AD58">
      <w:pPr>
        <w:pStyle w:val="4"/>
        <w:ind w:firstLine="480"/>
        <w:jc w:val="both"/>
      </w:pPr>
      <w:r>
        <w:rPr>
          <w:rFonts w:ascii="仿宋_GB2312" w:hAnsi="仿宋_GB2312" w:eastAsia="仿宋_GB2312" w:cs="仿宋_GB2312"/>
          <w:sz w:val="24"/>
        </w:rPr>
        <w:t>（1）上传资源（word、pdf等格式）可自动挖掘图谱；（演示项）</w:t>
      </w:r>
    </w:p>
    <w:p w14:paraId="567699FE">
      <w:pPr>
        <w:pStyle w:val="4"/>
        <w:ind w:firstLine="480"/>
        <w:jc w:val="both"/>
      </w:pPr>
      <w:r>
        <w:rPr>
          <w:rFonts w:ascii="仿宋_GB2312" w:hAnsi="仿宋_GB2312" w:eastAsia="仿宋_GB2312" w:cs="仿宋_GB2312"/>
          <w:sz w:val="24"/>
        </w:rPr>
        <w:t>（2）构建知识图谱增强，建设覆盖目标区域的多语种实体—关系知识图谱；</w:t>
      </w:r>
    </w:p>
    <w:p w14:paraId="182C64F8">
      <w:pPr>
        <w:pStyle w:val="4"/>
        <w:ind w:firstLine="480"/>
        <w:jc w:val="both"/>
      </w:pPr>
      <w:r>
        <w:rPr>
          <w:rFonts w:ascii="仿宋_GB2312" w:hAnsi="仿宋_GB2312" w:eastAsia="仿宋_GB2312" w:cs="仿宋_GB2312"/>
          <w:sz w:val="24"/>
        </w:rPr>
        <w:t>（3）基于图谱构造三元组语料与问答对，纳入SFT数据明细，量化条数；</w:t>
      </w:r>
    </w:p>
    <w:p w14:paraId="3C5B5614">
      <w:pPr>
        <w:pStyle w:val="4"/>
        <w:ind w:firstLine="480"/>
        <w:jc w:val="both"/>
      </w:pPr>
      <w:r>
        <w:rPr>
          <w:rFonts w:ascii="仿宋_GB2312" w:hAnsi="仿宋_GB2312" w:eastAsia="仿宋_GB2312" w:cs="仿宋_GB2312"/>
          <w:sz w:val="24"/>
        </w:rPr>
        <w:t>（4）采用向量检索+图谱多跳检索混合引擎，支持N跳关系召回，检索准确率≥90%；</w:t>
      </w:r>
    </w:p>
    <w:p w14:paraId="218696E8">
      <w:pPr>
        <w:pStyle w:val="4"/>
        <w:ind w:firstLine="480"/>
        <w:jc w:val="both"/>
      </w:pPr>
      <w:r>
        <w:rPr>
          <w:rFonts w:ascii="仿宋_GB2312" w:hAnsi="仿宋_GB2312" w:eastAsia="仿宋_GB2312" w:cs="仿宋_GB2312"/>
          <w:sz w:val="24"/>
        </w:rPr>
        <w:t>（5）图谱用于生成结果的事实校验与可溯源标注，用于国别动态监测、智库知识图谱、外交情景推演等智能体。</w:t>
      </w:r>
    </w:p>
    <w:p w14:paraId="0B0B110B">
      <w:pPr>
        <w:pStyle w:val="4"/>
        <w:ind w:firstLine="480"/>
        <w:jc w:val="both"/>
      </w:pPr>
      <w:r>
        <w:rPr>
          <w:rFonts w:ascii="仿宋_GB2312" w:hAnsi="仿宋_GB2312" w:eastAsia="仿宋_GB2312" w:cs="仿宋_GB2312"/>
          <w:sz w:val="24"/>
        </w:rPr>
        <w:t>（四）科研创新智能体构建</w:t>
      </w:r>
    </w:p>
    <w:p w14:paraId="372D36CC">
      <w:pPr>
        <w:pStyle w:val="4"/>
        <w:ind w:firstLine="480"/>
        <w:jc w:val="both"/>
      </w:pPr>
      <w:r>
        <w:rPr>
          <w:rFonts w:ascii="仿宋_GB2312" w:hAnsi="仿宋_GB2312" w:eastAsia="仿宋_GB2312" w:cs="仿宋_GB2312"/>
          <w:sz w:val="24"/>
        </w:rPr>
        <w:t>1.提供符合国内外区域国别学核心期刊规范的论文结构模板，支持文献综述自动生成、多语种摘要翻译、学术语言润色及参考文献自动格式化。（演示项）</w:t>
      </w:r>
    </w:p>
    <w:p w14:paraId="521F6B80">
      <w:pPr>
        <w:pStyle w:val="4"/>
        <w:ind w:firstLine="480"/>
        <w:jc w:val="both"/>
      </w:pPr>
      <w:r>
        <w:rPr>
          <w:rFonts w:ascii="仿宋_GB2312" w:hAnsi="仿宋_GB2312" w:eastAsia="仿宋_GB2312" w:cs="仿宋_GB2312"/>
          <w:sz w:val="24"/>
        </w:rPr>
        <w:t>▲2.内置国家级、省部级社科基金及智库项目申报书模板，支持基于研究基础智能生成研究意义、研究内容、创新点及预期成果等核心章节。</w:t>
      </w:r>
    </w:p>
    <w:p w14:paraId="10DEE4DE">
      <w:pPr>
        <w:pStyle w:val="4"/>
        <w:ind w:firstLine="480"/>
        <w:jc w:val="both"/>
      </w:pPr>
      <w:r>
        <w:rPr>
          <w:rFonts w:ascii="仿宋_GB2312" w:hAnsi="仿宋_GB2312" w:eastAsia="仿宋_GB2312" w:cs="仿宋_GB2312"/>
          <w:sz w:val="24"/>
        </w:rPr>
        <w:t>▲3.支持中外文文献的批量导入与解析，具备跨语言文献翻译、核心观点自动提取及研究脉络梳理功能。</w:t>
      </w:r>
    </w:p>
    <w:p w14:paraId="27E7B600">
      <w:pPr>
        <w:pStyle w:val="4"/>
        <w:ind w:firstLine="480"/>
        <w:jc w:val="both"/>
      </w:pPr>
      <w:r>
        <w:rPr>
          <w:rFonts w:ascii="仿宋_GB2312" w:hAnsi="仿宋_GB2312" w:eastAsia="仿宋_GB2312" w:cs="仿宋_GB2312"/>
          <w:sz w:val="24"/>
        </w:rPr>
        <w:t>4.支持对区域国别领域中外文核心期刊、智库报告、学术会议动态的实时抓取与主题聚类，自动识别研究前沿、热点演化路径及学者合作网络，生成可视化研究趋势图谱。</w:t>
      </w:r>
    </w:p>
    <w:p w14:paraId="26BB25CF">
      <w:pPr>
        <w:pStyle w:val="4"/>
        <w:ind w:firstLine="480"/>
        <w:jc w:val="both"/>
      </w:pPr>
      <w:r>
        <w:rPr>
          <w:rFonts w:ascii="仿宋_GB2312" w:hAnsi="仿宋_GB2312" w:eastAsia="仿宋_GB2312" w:cs="仿宋_GB2312"/>
          <w:sz w:val="24"/>
        </w:rPr>
        <w:t>5.支持基于研究方向智能推荐选题方向，自动生成研究框架、技术路线与可行性论证，辅助构建理论模型、研究假设与创新点提炼。</w:t>
      </w:r>
    </w:p>
    <w:p w14:paraId="49307C0A">
      <w:pPr>
        <w:pStyle w:val="4"/>
        <w:ind w:firstLine="480"/>
        <w:jc w:val="both"/>
      </w:pPr>
      <w:r>
        <w:rPr>
          <w:rFonts w:ascii="仿宋_GB2312" w:hAnsi="仿宋_GB2312" w:eastAsia="仿宋_GB2312" w:cs="仿宋_GB2312"/>
          <w:sz w:val="24"/>
        </w:rPr>
        <w:t>6.支持汉语、英语、俄语、波斯语、哈萨克语等≥5种语言学术文本双向互译，保持专业术语一致性与学术风格统一，提供译文对照、术语库管理与引用标注保持功能。</w:t>
      </w:r>
    </w:p>
    <w:p w14:paraId="2552A273">
      <w:pPr>
        <w:pStyle w:val="4"/>
        <w:ind w:firstLine="480"/>
        <w:jc w:val="both"/>
      </w:pPr>
      <w:r>
        <w:rPr>
          <w:rFonts w:ascii="仿宋_GB2312" w:hAnsi="仿宋_GB2312" w:eastAsia="仿宋_GB2312" w:cs="仿宋_GB2312"/>
          <w:sz w:val="24"/>
        </w:rPr>
        <w:t>7.内置参考文献格式校验、引用逻辑核查与学术不端检测，自动识别引用错误、格式违规及表述不规范问题，并输出逐项修订建议。</w:t>
      </w:r>
    </w:p>
    <w:p w14:paraId="6D33DC92">
      <w:pPr>
        <w:pStyle w:val="4"/>
        <w:ind w:firstLine="480"/>
        <w:jc w:val="both"/>
      </w:pPr>
      <w:r>
        <w:rPr>
          <w:rFonts w:ascii="仿宋_GB2312" w:hAnsi="仿宋_GB2312" w:eastAsia="仿宋_GB2312" w:cs="仿宋_GB2312"/>
          <w:sz w:val="24"/>
        </w:rPr>
        <w:t>8.支持课题申报、立项、开题、中期检查、结题验收全流程在线管理。</w:t>
      </w:r>
    </w:p>
    <w:p w14:paraId="7F5EA64F">
      <w:pPr>
        <w:pStyle w:val="4"/>
        <w:ind w:firstLine="480"/>
        <w:jc w:val="both"/>
      </w:pPr>
      <w:r>
        <w:rPr>
          <w:rFonts w:ascii="仿宋_GB2312" w:hAnsi="仿宋_GB2312" w:eastAsia="仿宋_GB2312" w:cs="仿宋_GB2312"/>
          <w:sz w:val="24"/>
        </w:rPr>
        <w:t>9.科研项目文件审计工具</w:t>
      </w:r>
    </w:p>
    <w:p w14:paraId="798D27DA">
      <w:pPr>
        <w:pStyle w:val="4"/>
        <w:ind w:firstLine="480"/>
        <w:jc w:val="both"/>
      </w:pPr>
      <w:r>
        <w:rPr>
          <w:rFonts w:ascii="仿宋_GB2312" w:hAnsi="仿宋_GB2312" w:eastAsia="仿宋_GB2312" w:cs="仿宋_GB2312"/>
          <w:sz w:val="24"/>
        </w:rPr>
        <w:t>（1）支持ZIP等格式压缩包批量上传，兼容PDF、Word、Excel、OFD、图片等多种文件格式；至少支持按项目名称、编号、类型进行资料分类管理；上传过程提供实时进度反馈。（演示项）</w:t>
      </w:r>
    </w:p>
    <w:p w14:paraId="171BB1E4">
      <w:pPr>
        <w:pStyle w:val="4"/>
        <w:ind w:firstLine="480"/>
        <w:jc w:val="both"/>
      </w:pPr>
      <w:r>
        <w:rPr>
          <w:rFonts w:ascii="仿宋_GB2312" w:hAnsi="仿宋_GB2312" w:eastAsia="仿宋_GB2312" w:cs="仿宋_GB2312"/>
          <w:sz w:val="24"/>
        </w:rPr>
        <w:t>（2）支持上传后的文件列表可人工复核后修改，删除、重新上传。</w:t>
      </w:r>
    </w:p>
    <w:p w14:paraId="4FB5597E">
      <w:pPr>
        <w:pStyle w:val="4"/>
        <w:ind w:firstLine="480"/>
        <w:jc w:val="both"/>
      </w:pPr>
      <w:r>
        <w:rPr>
          <w:rFonts w:ascii="仿宋_GB2312" w:hAnsi="仿宋_GB2312" w:eastAsia="仿宋_GB2312" w:cs="仿宋_GB2312"/>
          <w:sz w:val="24"/>
        </w:rPr>
        <w:t>（3）系统应具备多格式文档接入、版面分析、表格结构化、图文联合信息提取、语义理解与关键要素抽取能力；能够识别标题、段落、表格、图表、印章、签名等文档结构，输出可定位、可检索、可审查的结构化数据，并支持后续合规规则匹配与审计留痕。</w:t>
      </w:r>
    </w:p>
    <w:p w14:paraId="1A635F07">
      <w:pPr>
        <w:pStyle w:val="4"/>
        <w:ind w:firstLine="480"/>
        <w:jc w:val="both"/>
      </w:pPr>
      <w:r>
        <w:rPr>
          <w:rFonts w:ascii="仿宋_GB2312" w:hAnsi="仿宋_GB2312" w:eastAsia="仿宋_GB2312" w:cs="仿宋_GB2312"/>
          <w:sz w:val="24"/>
        </w:rPr>
        <w:t>（4）支持审计规则，基于确定性与语义理解混合执行；每条规则对应制度依据、版本和维护责任，支持版本追溯与持续迭代；</w:t>
      </w:r>
    </w:p>
    <w:p w14:paraId="6FDA0024">
      <w:pPr>
        <w:pStyle w:val="4"/>
        <w:ind w:firstLine="480"/>
        <w:jc w:val="both"/>
      </w:pPr>
      <w:r>
        <w:rPr>
          <w:rFonts w:ascii="仿宋_GB2312" w:hAnsi="仿宋_GB2312" w:eastAsia="仿宋_GB2312" w:cs="仿宋_GB2312"/>
          <w:sz w:val="24"/>
        </w:rPr>
        <w:t>（5）审查报告生成：支持自动汇总问题清单、证据与结论，支持按项目、规则多维统计；支持一键导出Excel、Markdown等格式报告。（演示项）</w:t>
      </w:r>
    </w:p>
    <w:p w14:paraId="7293499A">
      <w:pPr>
        <w:pStyle w:val="4"/>
        <w:ind w:firstLine="480"/>
        <w:jc w:val="both"/>
      </w:pPr>
      <w:r>
        <w:rPr>
          <w:rFonts w:ascii="仿宋_GB2312" w:hAnsi="仿宋_GB2312" w:eastAsia="仿宋_GB2312" w:cs="仿宋_GB2312"/>
          <w:sz w:val="24"/>
        </w:rPr>
        <w:t>（五）智库智能体构建</w:t>
      </w:r>
    </w:p>
    <w:p w14:paraId="1452D743">
      <w:pPr>
        <w:pStyle w:val="4"/>
        <w:ind w:firstLine="480"/>
        <w:jc w:val="both"/>
      </w:pPr>
      <w:r>
        <w:rPr>
          <w:rFonts w:ascii="仿宋_GB2312" w:hAnsi="仿宋_GB2312" w:eastAsia="仿宋_GB2312" w:cs="仿宋_GB2312"/>
          <w:sz w:val="24"/>
        </w:rPr>
        <w:t>1.支持对目标国家/地区政策文件、法律法规进行深度语义解析，自动提炼政策核心要点、影响因子及演变趋势，提供政策对比分析视图。（演示项）</w:t>
      </w:r>
    </w:p>
    <w:p w14:paraId="221D0F58">
      <w:pPr>
        <w:pStyle w:val="4"/>
        <w:ind w:firstLine="480"/>
        <w:jc w:val="both"/>
      </w:pPr>
      <w:r>
        <w:rPr>
          <w:rFonts w:ascii="仿宋_GB2312" w:hAnsi="仿宋_GB2312" w:eastAsia="仿宋_GB2312" w:cs="仿宋_GB2312"/>
          <w:sz w:val="24"/>
        </w:rPr>
        <w:t>▲2.基于多源数据与智库知识图谱，支持一键生成区域国别动态简报、风险评估报告。</w:t>
      </w:r>
    </w:p>
    <w:p w14:paraId="6E0DCE2B">
      <w:pPr>
        <w:pStyle w:val="4"/>
        <w:ind w:firstLine="480"/>
        <w:jc w:val="both"/>
      </w:pPr>
      <w:r>
        <w:rPr>
          <w:rFonts w:ascii="仿宋_GB2312" w:hAnsi="仿宋_GB2312" w:eastAsia="仿宋_GB2312" w:cs="仿宋_GB2312"/>
          <w:sz w:val="24"/>
        </w:rPr>
        <w:t>3.支持对目标国家/地区政治、经济、安全、社会等领域热点及突发事件开展7×24小时持续监测，基于情感分析与风险模型自动触发分级预警。</w:t>
      </w:r>
    </w:p>
    <w:p w14:paraId="00FC0A56">
      <w:pPr>
        <w:pStyle w:val="4"/>
        <w:ind w:firstLine="480"/>
        <w:jc w:val="both"/>
      </w:pPr>
      <w:r>
        <w:rPr>
          <w:rFonts w:ascii="仿宋_GB2312" w:hAnsi="仿宋_GB2312" w:eastAsia="仿宋_GB2312" w:cs="仿宋_GB2312"/>
          <w:sz w:val="24"/>
        </w:rPr>
        <w:t>4.整合专家、机构、议题、政策、历史事件等多维数据，构建可视化智库知识图谱，支持关联分析、观点溯源与知识网络推演。</w:t>
      </w:r>
    </w:p>
    <w:p w14:paraId="486A47FA">
      <w:pPr>
        <w:pStyle w:val="4"/>
        <w:ind w:firstLine="480"/>
        <w:jc w:val="both"/>
      </w:pPr>
      <w:r>
        <w:rPr>
          <w:rFonts w:ascii="仿宋_GB2312" w:hAnsi="仿宋_GB2312" w:eastAsia="仿宋_GB2312" w:cs="仿宋_GB2312"/>
          <w:sz w:val="24"/>
        </w:rPr>
        <w:t>5.支持按国别、议题、时间等维度构建专题数据库与典型案例库。</w:t>
      </w:r>
    </w:p>
    <w:p w14:paraId="110F8DF4">
      <w:pPr>
        <w:pStyle w:val="4"/>
        <w:ind w:firstLine="480"/>
        <w:jc w:val="both"/>
      </w:pPr>
      <w:r>
        <w:rPr>
          <w:rFonts w:ascii="仿宋_GB2312" w:hAnsi="仿宋_GB2312" w:eastAsia="仿宋_GB2312" w:cs="仿宋_GB2312"/>
          <w:sz w:val="24"/>
        </w:rPr>
        <w:t>6.支持研究报告、决策简报、战略内参等多格式自定义排版与一键导出，适配Word、PDF等主流格式，支持模板管理与对外发布。</w:t>
      </w:r>
    </w:p>
    <w:p w14:paraId="1448B655">
      <w:pPr>
        <w:pStyle w:val="4"/>
        <w:ind w:firstLine="480"/>
        <w:jc w:val="both"/>
      </w:pPr>
      <w:r>
        <w:rPr>
          <w:rFonts w:ascii="仿宋_GB2312" w:hAnsi="仿宋_GB2312" w:eastAsia="仿宋_GB2312" w:cs="仿宋_GB2312"/>
          <w:sz w:val="24"/>
        </w:rPr>
        <w:t>（六）数字分身智能体构建</w:t>
      </w:r>
    </w:p>
    <w:p w14:paraId="6CA98E7B">
      <w:pPr>
        <w:pStyle w:val="4"/>
        <w:ind w:firstLine="480"/>
        <w:jc w:val="both"/>
      </w:pPr>
      <w:r>
        <w:rPr>
          <w:rFonts w:ascii="仿宋_GB2312" w:hAnsi="仿宋_GB2312" w:eastAsia="仿宋_GB2312" w:cs="仿宋_GB2312"/>
          <w:sz w:val="24"/>
        </w:rPr>
        <w:t>1.智库分身：</w:t>
      </w:r>
    </w:p>
    <w:p w14:paraId="729A01C6">
      <w:pPr>
        <w:pStyle w:val="4"/>
        <w:ind w:firstLine="480"/>
        <w:jc w:val="both"/>
      </w:pPr>
      <w:r>
        <w:rPr>
          <w:rFonts w:ascii="仿宋_GB2312" w:hAnsi="仿宋_GB2312" w:eastAsia="仿宋_GB2312" w:cs="仿宋_GB2312"/>
          <w:sz w:val="24"/>
        </w:rPr>
        <w:t>▲(1）支持基于全量智库专家原创研究成果、专项调研报告、行业分析文稿、公开观点资料等多源数据，完成智库数字分身底层知识库的搭建、整合与迭代，保障分身内容输出贴合专家真实研究体系与专业认知。</w:t>
      </w:r>
    </w:p>
    <w:p w14:paraId="009C4C23">
      <w:pPr>
        <w:pStyle w:val="4"/>
        <w:ind w:firstLine="480"/>
        <w:jc w:val="both"/>
      </w:pPr>
      <w:r>
        <w:rPr>
          <w:rFonts w:ascii="仿宋_GB2312" w:hAnsi="仿宋_GB2312" w:eastAsia="仿宋_GB2312" w:cs="仿宋_GB2312"/>
          <w:sz w:val="24"/>
        </w:rPr>
        <w:t>（2）支持对智库专家观点库进行结构化拆解、标签化分类、语义化梳理，可按研究领域、行业赛道、政策维度、问题场景、观点时效等多维度规整数据。</w:t>
      </w:r>
    </w:p>
    <w:p w14:paraId="468E7B6B">
      <w:pPr>
        <w:pStyle w:val="4"/>
        <w:ind w:firstLine="480"/>
        <w:jc w:val="both"/>
      </w:pPr>
      <w:r>
        <w:rPr>
          <w:rFonts w:ascii="仿宋_GB2312" w:hAnsi="仿宋_GB2312" w:eastAsia="仿宋_GB2312" w:cs="仿宋_GB2312"/>
          <w:sz w:val="24"/>
        </w:rPr>
        <w:t>（3）支持全场景专业问答服务能力，可针对行业政策解读、产业趋势分析、项目研判咨询、热点问题解析、专业知识答疑等智库核心业务场景，输出专业、严谨、贴合专家水准的应答内容。</w:t>
      </w:r>
    </w:p>
    <w:p w14:paraId="67D5D275">
      <w:pPr>
        <w:pStyle w:val="4"/>
        <w:ind w:firstLine="480"/>
        <w:jc w:val="both"/>
      </w:pPr>
      <w:r>
        <w:rPr>
          <w:rFonts w:ascii="仿宋_GB2312" w:hAnsi="仿宋_GB2312" w:eastAsia="仿宋_GB2312" w:cs="仿宋_GB2312"/>
          <w:sz w:val="24"/>
        </w:rPr>
        <w:t>（4）支持知识库动态更新迭代，可批量新增、修改、下架智库专家最新研究成果与观点内容，同步完成数字分身模型微调。</w:t>
      </w:r>
    </w:p>
    <w:p w14:paraId="374F07BC">
      <w:pPr>
        <w:pStyle w:val="4"/>
        <w:ind w:firstLine="480"/>
        <w:jc w:val="both"/>
      </w:pPr>
      <w:r>
        <w:rPr>
          <w:rFonts w:ascii="仿宋_GB2312" w:hAnsi="仿宋_GB2312" w:eastAsia="仿宋_GB2312" w:cs="仿宋_GB2312"/>
          <w:sz w:val="24"/>
        </w:rPr>
        <w:t>（5）支持多格式专家成果数据兼容接入，可适配Word、PDF、文档文稿、观点摘录等各类格式的专家研究资料。</w:t>
      </w:r>
    </w:p>
    <w:p w14:paraId="2D80C723">
      <w:pPr>
        <w:pStyle w:val="4"/>
        <w:ind w:firstLine="480"/>
        <w:jc w:val="both"/>
      </w:pPr>
      <w:r>
        <w:rPr>
          <w:rFonts w:ascii="仿宋_GB2312" w:hAnsi="仿宋_GB2312" w:eastAsia="仿宋_GB2312" w:cs="仿宋_GB2312"/>
          <w:sz w:val="24"/>
        </w:rPr>
        <w:t>（6）支持语义理解与智能匹配能力，可识别用户提问的核心诉求、专业关键词与问题维度，匹配智库专家对应研究成果。</w:t>
      </w:r>
    </w:p>
    <w:p w14:paraId="7B0B58F7">
      <w:pPr>
        <w:pStyle w:val="4"/>
        <w:ind w:firstLine="480"/>
        <w:jc w:val="both"/>
      </w:pPr>
      <w:r>
        <w:rPr>
          <w:rFonts w:ascii="仿宋_GB2312" w:hAnsi="仿宋_GB2312" w:eastAsia="仿宋_GB2312" w:cs="仿宋_GB2312"/>
          <w:sz w:val="24"/>
        </w:rPr>
        <w:t>2.学者分身构建：</w:t>
      </w:r>
    </w:p>
    <w:p w14:paraId="0694AF40">
      <w:pPr>
        <w:pStyle w:val="4"/>
        <w:ind w:firstLine="480"/>
        <w:jc w:val="both"/>
      </w:pPr>
      <w:r>
        <w:rPr>
          <w:rFonts w:ascii="仿宋_GB2312" w:hAnsi="仿宋_GB2312" w:eastAsia="仿宋_GB2312" w:cs="仿宋_GB2312"/>
          <w:sz w:val="24"/>
        </w:rPr>
        <w:t>▲(1)支持基于学者个人全量学术成果、科研项目经历、学术从业履历、公开学术观点、论文专著、课题报告等多维学术数据，完成学者专属数字分身的数字化建模与专属模型构建。</w:t>
      </w:r>
    </w:p>
    <w:p w14:paraId="1434235B">
      <w:pPr>
        <w:pStyle w:val="4"/>
        <w:ind w:firstLine="480"/>
        <w:jc w:val="both"/>
      </w:pPr>
      <w:r>
        <w:rPr>
          <w:rFonts w:ascii="仿宋_GB2312" w:hAnsi="仿宋_GB2312" w:eastAsia="仿宋_GB2312" w:cs="仿宋_GB2312"/>
          <w:sz w:val="24"/>
        </w:rPr>
        <w:t>(2)支持学者学术履历结构化建模能力，可对学者研究方向、从业年限、科研课题、获奖成果、学术任职、研究积淀等信息进行系统化梳理入库，形成专属学者学术数字档案。</w:t>
      </w:r>
    </w:p>
    <w:p w14:paraId="7672473F">
      <w:pPr>
        <w:pStyle w:val="4"/>
        <w:ind w:firstLine="480"/>
        <w:jc w:val="both"/>
      </w:pPr>
      <w:r>
        <w:rPr>
          <w:rFonts w:ascii="仿宋_GB2312" w:hAnsi="仿宋_GB2312" w:eastAsia="仿宋_GB2312" w:cs="仿宋_GB2312"/>
          <w:sz w:val="24"/>
        </w:rPr>
        <w:t>(3)支持学者核心学术观点深度萃取与固化建模，可提炼学者长期深耕的研究领域、核心学术主张、专属研究方法、学术研判视角。</w:t>
      </w:r>
    </w:p>
    <w:p w14:paraId="424C38CF">
      <w:pPr>
        <w:pStyle w:val="4"/>
        <w:ind w:firstLine="480"/>
        <w:jc w:val="both"/>
      </w:pPr>
      <w:r>
        <w:rPr>
          <w:rFonts w:ascii="仿宋_GB2312" w:hAnsi="仿宋_GB2312" w:eastAsia="仿宋_GB2312" w:cs="仿宋_GB2312"/>
          <w:sz w:val="24"/>
        </w:rPr>
        <w:t>(4)支持学术成果全维度兼容接入与解析建模，可适配期刊论文、学术专著、会议文稿、课题结题报告、学术演讲稿、科研心得等各类学术资料格式，自动完成内容解析、提取与结构化入库。</w:t>
      </w:r>
    </w:p>
    <w:p w14:paraId="2EBF1E95">
      <w:pPr>
        <w:pStyle w:val="4"/>
        <w:ind w:firstLine="480"/>
        <w:jc w:val="both"/>
      </w:pPr>
      <w:r>
        <w:rPr>
          <w:rFonts w:ascii="仿宋_GB2312" w:hAnsi="仿宋_GB2312" w:eastAsia="仿宋_GB2312" w:cs="仿宋_GB2312"/>
          <w:sz w:val="24"/>
        </w:rPr>
        <w:t>(5)支持学术传承智能化服务能力，可依托学者数字分身，复刻学者学术研究思路、治学理念、科研方法论。</w:t>
      </w:r>
    </w:p>
    <w:p w14:paraId="2632F9D3">
      <w:pPr>
        <w:pStyle w:val="4"/>
        <w:ind w:firstLine="480"/>
        <w:jc w:val="both"/>
      </w:pPr>
      <w:r>
        <w:rPr>
          <w:rFonts w:ascii="仿宋_GB2312" w:hAnsi="仿宋_GB2312" w:eastAsia="仿宋_GB2312" w:cs="仿宋_GB2312"/>
          <w:sz w:val="24"/>
        </w:rPr>
        <w:t>(6)支持个性化学术研究指导功能，可针对学术选题、论文撰写、课题研究、科研难点突破、学术方向研判等科研场景，结合学者本人研究经验，提供定制化、个性化、专业化的研究指导与答疑服务。</w:t>
      </w:r>
    </w:p>
    <w:p w14:paraId="435C1B1B">
      <w:pPr>
        <w:pStyle w:val="4"/>
        <w:ind w:firstLine="480"/>
        <w:jc w:val="both"/>
      </w:pPr>
      <w:r>
        <w:rPr>
          <w:rFonts w:ascii="仿宋_GB2312" w:hAnsi="仿宋_GB2312" w:eastAsia="仿宋_GB2312" w:cs="仿宋_GB2312"/>
          <w:sz w:val="24"/>
        </w:rPr>
        <w:t>(7)支持学者学术体系动态迭代建模，可实时收录学者最新科研成果、新发学术观点、新增研究课题，同步更新数字分身模型。</w:t>
      </w:r>
    </w:p>
    <w:p w14:paraId="2AAABCC3">
      <w:pPr>
        <w:pStyle w:val="4"/>
        <w:ind w:firstLine="480"/>
        <w:jc w:val="both"/>
      </w:pPr>
      <w:r>
        <w:rPr>
          <w:rFonts w:ascii="仿宋_GB2312" w:hAnsi="仿宋_GB2312" w:eastAsia="仿宋_GB2312" w:cs="仿宋_GB2312"/>
          <w:sz w:val="24"/>
        </w:rPr>
        <w:t>(8)支持学术问答专属风格适配，数字分身可复刻学者严谨的学术表述逻辑、专业话语体系与研究思维，输出内容贴合学者个人学术风格。</w:t>
      </w:r>
    </w:p>
    <w:p w14:paraId="23026EC2">
      <w:pPr>
        <w:pStyle w:val="4"/>
        <w:ind w:firstLine="480"/>
        <w:jc w:val="both"/>
      </w:pPr>
      <w:r>
        <w:rPr>
          <w:rFonts w:ascii="仿宋_GB2312" w:hAnsi="仿宋_GB2312" w:eastAsia="仿宋_GB2312" w:cs="仿宋_GB2312"/>
          <w:sz w:val="24"/>
        </w:rPr>
        <w:t>(9)支持学术成果溯源与学术资质关联展示，分身所有学术解答、观点输出均可对应学者个人学术成果、研究经历与课题背景，实现学术观点有据可依、有迹可查。（演示项）</w:t>
      </w:r>
    </w:p>
    <w:p w14:paraId="4D4CB6D2">
      <w:pPr>
        <w:pStyle w:val="4"/>
        <w:ind w:firstLine="480"/>
        <w:jc w:val="both"/>
      </w:pPr>
      <w:r>
        <w:rPr>
          <w:rFonts w:ascii="仿宋_GB2312" w:hAnsi="仿宋_GB2312" w:eastAsia="仿宋_GB2312" w:cs="仿宋_GB2312"/>
          <w:sz w:val="24"/>
        </w:rPr>
        <w:t>3.政要分身：</w:t>
      </w:r>
    </w:p>
    <w:p w14:paraId="7AD4A1F6">
      <w:pPr>
        <w:pStyle w:val="4"/>
        <w:ind w:firstLine="480"/>
        <w:jc w:val="both"/>
      </w:pPr>
      <w:r>
        <w:rPr>
          <w:rFonts w:ascii="仿宋_GB2312" w:hAnsi="仿宋_GB2312" w:eastAsia="仿宋_GB2312" w:cs="仿宋_GB2312"/>
          <w:sz w:val="24"/>
        </w:rPr>
        <w:t>(1)支持管理员、教师、学生、资源创作者多角色独立个性化门户，按角色权限划分专属功能操作界面。</w:t>
      </w:r>
    </w:p>
    <w:p w14:paraId="48E28B9D">
      <w:pPr>
        <w:pStyle w:val="4"/>
        <w:ind w:firstLine="480"/>
        <w:jc w:val="both"/>
      </w:pPr>
      <w:r>
        <w:rPr>
          <w:rFonts w:ascii="仿宋_GB2312" w:hAnsi="仿宋_GB2312" w:eastAsia="仿宋_GB2312" w:cs="仿宋_GB2312"/>
          <w:sz w:val="24"/>
        </w:rPr>
        <w:t>(2)支持VR设备、电脑双端互通，可同步进入同一虚拟环境，虚拟环境、虚拟形象、实训操作、学习数据双向实时同步。</w:t>
      </w:r>
    </w:p>
    <w:p w14:paraId="228014CD">
      <w:pPr>
        <w:pStyle w:val="4"/>
        <w:ind w:firstLine="480"/>
        <w:jc w:val="both"/>
      </w:pPr>
      <w:r>
        <w:rPr>
          <w:rFonts w:ascii="仿宋_GB2312" w:hAnsi="仿宋_GB2312" w:eastAsia="仿宋_GB2312" w:cs="仿宋_GB2312"/>
          <w:sz w:val="24"/>
        </w:rPr>
        <w:t>(3)支持政要分身模拟讲话、立场分析及外交情景推演。</w:t>
      </w:r>
    </w:p>
    <w:p w14:paraId="358B675B">
      <w:pPr>
        <w:pStyle w:val="4"/>
        <w:ind w:firstLine="480"/>
        <w:jc w:val="both"/>
      </w:pPr>
      <w:r>
        <w:rPr>
          <w:rFonts w:ascii="仿宋_GB2312" w:hAnsi="仿宋_GB2312" w:eastAsia="仿宋_GB2312" w:cs="仿宋_GB2312"/>
          <w:sz w:val="24"/>
        </w:rPr>
        <w:t>▲(4)支持自定义三维数字化场景。</w:t>
      </w:r>
    </w:p>
    <w:p w14:paraId="4C2B39BC">
      <w:pPr>
        <w:pStyle w:val="4"/>
        <w:ind w:firstLine="480"/>
        <w:jc w:val="both"/>
      </w:pPr>
      <w:r>
        <w:rPr>
          <w:rFonts w:ascii="仿宋_GB2312" w:hAnsi="仿宋_GB2312" w:eastAsia="仿宋_GB2312" w:cs="仿宋_GB2312"/>
          <w:sz w:val="24"/>
        </w:rPr>
        <w:t>(5)支持多类型资源展示，包括但不限于文档、图片、视频、3D模型、自定义虚拟教学场景、全景素材、虚拟仿真实验。（演示项）</w:t>
      </w:r>
    </w:p>
    <w:p w14:paraId="2CE8DB46">
      <w:pPr>
        <w:pStyle w:val="4"/>
        <w:ind w:firstLine="480"/>
        <w:jc w:val="both"/>
      </w:pPr>
      <w:r>
        <w:rPr>
          <w:rFonts w:ascii="仿宋_GB2312" w:hAnsi="仿宋_GB2312" w:eastAsia="仿宋_GB2312" w:cs="仿宋_GB2312"/>
          <w:sz w:val="24"/>
        </w:rPr>
        <w:t>(6)支持外交实训任务配置，可自定义实训议题、对抗角色、场景约束条件。</w:t>
      </w:r>
    </w:p>
    <w:p w14:paraId="353429A5">
      <w:pPr>
        <w:pStyle w:val="4"/>
        <w:ind w:firstLine="480"/>
        <w:jc w:val="both"/>
      </w:pPr>
      <w:r>
        <w:rPr>
          <w:rFonts w:ascii="仿宋_GB2312" w:hAnsi="仿宋_GB2312" w:eastAsia="仿宋_GB2312" w:cs="仿宋_GB2312"/>
          <w:sz w:val="24"/>
        </w:rPr>
        <w:t>(7)支持过程全流程录屏、对话留痕，完整留存推演过程数据。</w:t>
      </w:r>
    </w:p>
    <w:p w14:paraId="7CD0C52B">
      <w:pPr>
        <w:pStyle w:val="4"/>
        <w:ind w:firstLine="480"/>
        <w:jc w:val="both"/>
      </w:pPr>
      <w:r>
        <w:rPr>
          <w:rFonts w:ascii="仿宋_GB2312" w:hAnsi="仿宋_GB2312" w:eastAsia="仿宋_GB2312" w:cs="仿宋_GB2312"/>
          <w:sz w:val="24"/>
        </w:rPr>
        <w:t>(8)支持实训结果多维度评价输出，包含发言匹配度、立场契合度、逻辑完整度评分。</w:t>
      </w:r>
    </w:p>
    <w:p w14:paraId="38CE0156">
      <w:pPr>
        <w:pStyle w:val="4"/>
        <w:ind w:firstLine="480"/>
        <w:jc w:val="both"/>
      </w:pPr>
      <w:r>
        <w:rPr>
          <w:rFonts w:ascii="仿宋_GB2312" w:hAnsi="仿宋_GB2312" w:eastAsia="仿宋_GB2312" w:cs="仿宋_GB2312"/>
          <w:sz w:val="24"/>
        </w:rPr>
        <w:t>(9)支持虚拟角色外观、语音音色、表达风格自定义调整。</w:t>
      </w:r>
    </w:p>
    <w:p w14:paraId="3DDE4FEA">
      <w:pPr>
        <w:pStyle w:val="4"/>
        <w:ind w:firstLine="480"/>
        <w:jc w:val="both"/>
      </w:pPr>
      <w:r>
        <w:rPr>
          <w:rFonts w:ascii="仿宋_GB2312" w:hAnsi="仿宋_GB2312" w:eastAsia="仿宋_GB2312" w:cs="仿宋_GB2312"/>
          <w:sz w:val="24"/>
        </w:rPr>
        <w:t>(10)支持学情统计报表导出，可按用户、实训项目筛选学习与推演数据。</w:t>
      </w:r>
    </w:p>
    <w:p w14:paraId="422A0CBD">
      <w:pPr>
        <w:pStyle w:val="4"/>
        <w:ind w:firstLine="480"/>
        <w:jc w:val="both"/>
      </w:pPr>
      <w:r>
        <w:rPr>
          <w:rFonts w:ascii="仿宋_GB2312" w:hAnsi="仿宋_GB2312" w:eastAsia="仿宋_GB2312" w:cs="仿宋_GB2312"/>
          <w:sz w:val="24"/>
        </w:rPr>
        <w:t>(11)支持虚拟环境内多人协同交互，多用户可与政要数字分身开展联动对话实训。（演示项）</w:t>
      </w:r>
    </w:p>
    <w:p w14:paraId="6E490E73">
      <w:pPr>
        <w:pStyle w:val="4"/>
        <w:ind w:firstLine="480"/>
        <w:jc w:val="both"/>
      </w:pPr>
      <w:r>
        <w:rPr>
          <w:rFonts w:ascii="仿宋_GB2312" w:hAnsi="仿宋_GB2312" w:eastAsia="仿宋_GB2312" w:cs="仿宋_GB2312"/>
          <w:b/>
          <w:sz w:val="24"/>
        </w:rPr>
        <w:t>二、人员管理要求</w:t>
      </w:r>
    </w:p>
    <w:p w14:paraId="7A602947">
      <w:pPr>
        <w:pStyle w:val="4"/>
        <w:ind w:firstLine="480"/>
        <w:jc w:val="both"/>
      </w:pPr>
      <w:r>
        <w:rPr>
          <w:rFonts w:ascii="仿宋_GB2312" w:hAnsi="仿宋_GB2312" w:eastAsia="仿宋_GB2312" w:cs="仿宋_GB2312"/>
          <w:sz w:val="24"/>
        </w:rPr>
        <w:t>1.中标人须按投标文件承诺配置足额、稳定的服务团队，明确项目负责人、核心技术人员、现场服务人员的岗位职责、从业资质及工作经验要求。项目负责人及核心人员未经采购人书面同意，不得擅自更换；擅自更换核心人员的，采购人有权按合同约定追究违约责任。</w:t>
      </w:r>
    </w:p>
    <w:p w14:paraId="677C73C0">
      <w:pPr>
        <w:pStyle w:val="4"/>
        <w:ind w:firstLine="480"/>
        <w:jc w:val="both"/>
      </w:pPr>
      <w:r>
        <w:rPr>
          <w:rFonts w:ascii="仿宋_GB2312" w:hAnsi="仿宋_GB2312" w:eastAsia="仿宋_GB2312" w:cs="仿宋_GB2312"/>
          <w:sz w:val="24"/>
        </w:rPr>
        <w:t>2.服务人员须具备完成本项目服务所需的专业资质、从业资格证书，无违法违规、行业失信等不良记录。中标人须在服务启动前，向采购人提交全部服务人员的资质证明、社保缴纳证明、无犯罪记录证明等相关材料。</w:t>
      </w:r>
    </w:p>
    <w:p w14:paraId="751BB687">
      <w:pPr>
        <w:pStyle w:val="4"/>
        <w:ind w:firstLine="480"/>
        <w:jc w:val="both"/>
      </w:pPr>
      <w:r>
        <w:rPr>
          <w:rFonts w:ascii="仿宋_GB2312" w:hAnsi="仿宋_GB2312" w:eastAsia="仿宋_GB2312" w:cs="仿宋_GB2312"/>
          <w:sz w:val="24"/>
        </w:rPr>
        <w:t>3.服务人员在服务期间须严格遵守西安外国语大学校园管理有关规定及工作保密要求，佩戴工作证件，做到文明服务、规范作业。因服务人员违规操作、不当行为造成的人身伤亡、财产损失，全部由中标人承担赔偿责任。</w:t>
      </w:r>
    </w:p>
    <w:p w14:paraId="73088973">
      <w:pPr>
        <w:pStyle w:val="4"/>
        <w:ind w:firstLine="480"/>
        <w:jc w:val="both"/>
      </w:pPr>
      <w:r>
        <w:rPr>
          <w:rFonts w:ascii="仿宋_GB2312" w:hAnsi="仿宋_GB2312" w:eastAsia="仿宋_GB2312" w:cs="仿宋_GB2312"/>
          <w:b/>
          <w:sz w:val="24"/>
        </w:rPr>
        <w:t>三、服务实施要求</w:t>
      </w:r>
    </w:p>
    <w:p w14:paraId="048AD950">
      <w:pPr>
        <w:pStyle w:val="4"/>
        <w:ind w:firstLine="480"/>
        <w:jc w:val="both"/>
      </w:pPr>
      <w:r>
        <w:rPr>
          <w:rFonts w:ascii="仿宋_GB2312" w:hAnsi="仿宋_GB2312" w:eastAsia="仿宋_GB2312" w:cs="仿宋_GB2312"/>
          <w:sz w:val="24"/>
        </w:rPr>
        <w:t>1.中标人须严格按照国家法律法规、行业规范、采购文件要求及投标文件承诺，制定详细的服务实施方案、工作计划、质量管控体系，按约定的服务范围、服务标准、服务周期完成全部服务内容，确保服务质量达到采购人要求。</w:t>
      </w:r>
    </w:p>
    <w:p w14:paraId="4766DF9D">
      <w:pPr>
        <w:pStyle w:val="4"/>
        <w:ind w:firstLine="480"/>
        <w:jc w:val="both"/>
      </w:pPr>
      <w:r>
        <w:rPr>
          <w:rFonts w:ascii="仿宋_GB2312" w:hAnsi="仿宋_GB2312" w:eastAsia="仿宋_GB2312" w:cs="仿宋_GB2312"/>
          <w:sz w:val="24"/>
        </w:rPr>
        <w:t>2.中标人须建立常态化的服务沟通机制，指定专人作为日常对接人，定期向采购人报送服务进度、工作成果、问题整改情况等相关材料，接受采购人的日常监督、检查与考核。</w:t>
      </w:r>
    </w:p>
    <w:p w14:paraId="5873395F">
      <w:pPr>
        <w:pStyle w:val="4"/>
        <w:ind w:firstLine="480"/>
        <w:jc w:val="both"/>
      </w:pPr>
      <w:r>
        <w:rPr>
          <w:rFonts w:ascii="仿宋_GB2312" w:hAnsi="仿宋_GB2312" w:eastAsia="仿宋_GB2312" w:cs="仿宋_GB2312"/>
          <w:sz w:val="24"/>
        </w:rPr>
        <w:t>3.服务过程中产生的全部成果文件、数据资料、报告方案等，须按约定的时间、格式、份数交付采购人，成果交付前须经采购人审核确认，未达到要求的，须在采购人指定时限内无偿修改、完善，直至符合验收标准。</w:t>
      </w:r>
    </w:p>
    <w:p w14:paraId="2AB497D0">
      <w:pPr>
        <w:pStyle w:val="4"/>
        <w:ind w:firstLine="480"/>
        <w:jc w:val="both"/>
      </w:pPr>
      <w:r>
        <w:rPr>
          <w:rFonts w:ascii="仿宋_GB2312" w:hAnsi="仿宋_GB2312" w:eastAsia="仿宋_GB2312" w:cs="仿宋_GB2312"/>
          <w:b/>
          <w:sz w:val="24"/>
        </w:rPr>
        <w:t>四、应急保障要求</w:t>
      </w:r>
    </w:p>
    <w:p w14:paraId="10B545C8">
      <w:pPr>
        <w:pStyle w:val="4"/>
        <w:ind w:firstLine="480"/>
        <w:jc w:val="both"/>
      </w:pPr>
      <w:r>
        <w:rPr>
          <w:rFonts w:ascii="仿宋_GB2312" w:hAnsi="仿宋_GB2312" w:eastAsia="仿宋_GB2312" w:cs="仿宋_GB2312"/>
          <w:sz w:val="24"/>
        </w:rPr>
        <w:t>1.中标人须针对本项目服务特点，制定完善的应急预案，明确应急响应流程、处置措施、责任人员及保障资源，应对突发情况、紧急服务需求、服务中断等各类应急场景。</w:t>
      </w:r>
    </w:p>
    <w:p w14:paraId="5E2E7F0C">
      <w:pPr>
        <w:pStyle w:val="4"/>
        <w:ind w:firstLine="480"/>
        <w:jc w:val="both"/>
      </w:pPr>
      <w:r>
        <w:rPr>
          <w:rFonts w:ascii="仿宋_GB2312" w:hAnsi="仿宋_GB2312" w:eastAsia="仿宋_GB2312" w:cs="仿宋_GB2312"/>
          <w:sz w:val="24"/>
        </w:rPr>
        <w:t>2.应急响应时间要求：服务期内提供7×24小时应急响应，接到采购人应急通知后，须在30分钟内给出响应解决方案；需现场处置的，须在3小时内指派专业人员到达现场，12小时内完成应急处置，恢复正常服务。</w:t>
      </w:r>
    </w:p>
    <w:p w14:paraId="3323AFC9">
      <w:pPr>
        <w:pStyle w:val="4"/>
        <w:ind w:firstLine="480"/>
        <w:jc w:val="both"/>
      </w:pPr>
      <w:r>
        <w:rPr>
          <w:rFonts w:ascii="仿宋_GB2312" w:hAnsi="仿宋_GB2312" w:eastAsia="仿宋_GB2312" w:cs="仿宋_GB2312"/>
          <w:sz w:val="24"/>
        </w:rPr>
        <w:t>3.因应急处置不及时、不到位造成采购人损失的，全部由中标人承担赔偿责任。</w:t>
      </w:r>
    </w:p>
    <w:p w14:paraId="583848FF">
      <w:pPr>
        <w:pStyle w:val="4"/>
        <w:ind w:firstLine="480"/>
        <w:jc w:val="both"/>
      </w:pPr>
      <w:r>
        <w:rPr>
          <w:rFonts w:ascii="仿宋_GB2312" w:hAnsi="仿宋_GB2312" w:eastAsia="仿宋_GB2312" w:cs="仿宋_GB2312"/>
          <w:b/>
          <w:sz w:val="24"/>
        </w:rPr>
        <w:t>五、保密要求</w:t>
      </w:r>
    </w:p>
    <w:p w14:paraId="0DCBB216">
      <w:pPr>
        <w:pStyle w:val="4"/>
        <w:ind w:firstLine="480"/>
        <w:jc w:val="both"/>
      </w:pPr>
      <w:r>
        <w:rPr>
          <w:rFonts w:ascii="仿宋_GB2312" w:hAnsi="仿宋_GB2312" w:eastAsia="仿宋_GB2312" w:cs="仿宋_GB2312"/>
          <w:sz w:val="24"/>
        </w:rPr>
        <w:t>1.中标人须对服务过程中接触、知悉的工作秘密、商业秘密、教学科研数据、师生个人信息、项目资料等全部未公开信息承担严格的保密责任。</w:t>
      </w:r>
    </w:p>
    <w:p w14:paraId="2F9B8866">
      <w:pPr>
        <w:pStyle w:val="4"/>
        <w:ind w:firstLine="480"/>
        <w:jc w:val="both"/>
      </w:pPr>
      <w:r>
        <w:rPr>
          <w:rFonts w:ascii="仿宋_GB2312" w:hAnsi="仿宋_GB2312" w:eastAsia="仿宋_GB2312" w:cs="仿宋_GB2312"/>
          <w:sz w:val="24"/>
        </w:rPr>
        <w:t>2.未经采购人书面同意，中标人不得向任何第三方泄露、传播、复制、使用上述保密信息，不得将保密信息用于本项目以外的任何用途。保密义务在服务期结束后持续有效，直至相关信息公开为止。</w:t>
      </w:r>
    </w:p>
    <w:p w14:paraId="25371677">
      <w:pPr>
        <w:pStyle w:val="4"/>
        <w:ind w:firstLine="480"/>
        <w:jc w:val="both"/>
      </w:pPr>
      <w:r>
        <w:rPr>
          <w:rFonts w:ascii="仿宋_GB2312" w:hAnsi="仿宋_GB2312" w:eastAsia="仿宋_GB2312" w:cs="仿宋_GB2312"/>
          <w:sz w:val="24"/>
        </w:rPr>
        <w:t>3.若发生泄密事件，中标人须立即采取补救措施，并承担由此造成的全部法律责任及经济损失，采购人有权单方解除合同，没收履约保证金，并追究中标人相应违约责任。</w:t>
      </w:r>
    </w:p>
    <w:p w14:paraId="4290954B">
      <w:pPr>
        <w:pStyle w:val="4"/>
        <w:ind w:firstLine="480"/>
        <w:jc w:val="both"/>
      </w:pPr>
      <w:r>
        <w:rPr>
          <w:rFonts w:ascii="仿宋_GB2312" w:hAnsi="仿宋_GB2312" w:eastAsia="仿宋_GB2312" w:cs="仿宋_GB2312"/>
          <w:b/>
          <w:sz w:val="24"/>
        </w:rPr>
        <w:t>六、知识产权要求</w:t>
      </w:r>
    </w:p>
    <w:p w14:paraId="673672BB">
      <w:pPr>
        <w:pStyle w:val="4"/>
        <w:ind w:firstLine="480"/>
        <w:jc w:val="both"/>
      </w:pPr>
      <w:r>
        <w:rPr>
          <w:rFonts w:ascii="仿宋_GB2312" w:hAnsi="仿宋_GB2312" w:eastAsia="仿宋_GB2312" w:cs="仿宋_GB2312"/>
          <w:sz w:val="24"/>
        </w:rPr>
        <w:t>1.中标人须保证其提供的服务、交付的成果文件，不存在侵犯任何第三方知识产权、肖像权、名誉权等合法权益的情形。若因此产生任何纠纷、索赔或诉讼，全部由中标人负责处理，并承担由此产生的全部责任及费用，给采购人造成损失的，须全额赔偿。</w:t>
      </w:r>
    </w:p>
    <w:p w14:paraId="64A536B0">
      <w:pPr>
        <w:pStyle w:val="4"/>
        <w:ind w:firstLine="480"/>
        <w:jc w:val="both"/>
      </w:pPr>
      <w:r>
        <w:rPr>
          <w:rFonts w:ascii="仿宋_GB2312" w:hAnsi="仿宋_GB2312" w:eastAsia="仿宋_GB2312" w:cs="仿宋_GB2312"/>
          <w:sz w:val="24"/>
        </w:rPr>
        <w:t>2.本项目服务过程中产生的全部成果文件、研究报告、数据资料、定制化方案等成果的知识产权、所有权、使用权、改编权等全部权利，自成果交付之日起归西安外国语大学独家所有，中标人仅享有署名权，未经采购人书面同意，不得擅自使用、发表、传播或向第三方提供。</w:t>
      </w:r>
    </w:p>
    <w:p w14:paraId="5AB9DA8C">
      <w:pPr>
        <w:pStyle w:val="4"/>
        <w:ind w:firstLine="480"/>
        <w:jc w:val="both"/>
      </w:pPr>
      <w:r>
        <w:rPr>
          <w:rFonts w:ascii="仿宋_GB2312" w:hAnsi="仿宋_GB2312" w:eastAsia="仿宋_GB2312" w:cs="仿宋_GB2312"/>
          <w:b/>
          <w:sz w:val="24"/>
        </w:rPr>
        <w:t>七、服务保障与售后要求</w:t>
      </w:r>
    </w:p>
    <w:p w14:paraId="11F32C3B">
      <w:pPr>
        <w:pStyle w:val="4"/>
        <w:ind w:firstLine="480"/>
        <w:jc w:val="both"/>
      </w:pPr>
      <w:r>
        <w:rPr>
          <w:rFonts w:ascii="仿宋_GB2312" w:hAnsi="仿宋_GB2312" w:eastAsia="仿宋_GB2312" w:cs="仿宋_GB2312"/>
          <w:sz w:val="24"/>
        </w:rPr>
        <w:t>1.运维服务期：自系统最终验收合格之日起24个月。运维服务期内，中标人须对交付的成果提供修改、完善、更新、技术支持、咨询答疑等服务，确保成果符合采购人使用需求，所需费用已包含在本次采购报价内，采购人不承担任何额外费用。软件运维服务要求中标人确保系统稳定运行。服务内容至少包括：故障响应与处理、系统更新、数据备份与恢复、安全漏洞修复及系统优化建议。</w:t>
      </w:r>
    </w:p>
    <w:p w14:paraId="690E27E6">
      <w:pPr>
        <w:pStyle w:val="4"/>
        <w:ind w:firstLine="480"/>
        <w:jc w:val="both"/>
      </w:pPr>
      <w:r>
        <w:rPr>
          <w:rFonts w:ascii="仿宋_GB2312" w:hAnsi="仿宋_GB2312" w:eastAsia="仿宋_GB2312" w:cs="仿宋_GB2312"/>
          <w:sz w:val="24"/>
        </w:rPr>
        <w:t>2.保障期内服务响应要求：7×24即时响应（包括电话响应），电话响应无法解决的，24小时内指派专人对接处理，48小时内完成成果修改、问题整改，确保满足采购人使用要求。</w:t>
      </w:r>
    </w:p>
    <w:p w14:paraId="2599F760">
      <w:pPr>
        <w:pStyle w:val="4"/>
        <w:ind w:firstLine="480"/>
        <w:jc w:val="both"/>
      </w:pPr>
      <w:r>
        <w:rPr>
          <w:rFonts w:ascii="仿宋_GB2312" w:hAnsi="仿宋_GB2312" w:eastAsia="仿宋_GB2312" w:cs="仿宋_GB2312"/>
          <w:sz w:val="24"/>
        </w:rPr>
        <w:t>3.培训要求：中标人须按采购人要求，提供针对服务成果使用、系统操作、业务流程等相关内容的培训服务，制定详细的培训方案，明确培训时间、地点、内容、师资、参训人员等，确保采购人相关人员能够熟练掌握相关内容。所需费用已包含在本次采购报价内，采购人不承担任何额外费用。</w:t>
      </w:r>
    </w:p>
    <w:p w14:paraId="059E504D">
      <w:pPr>
        <w:pStyle w:val="4"/>
        <w:ind w:firstLine="480"/>
        <w:jc w:val="both"/>
      </w:pPr>
      <w:r>
        <w:rPr>
          <w:rFonts w:ascii="仿宋_GB2312" w:hAnsi="仿宋_GB2312" w:eastAsia="仿宋_GB2312" w:cs="仿宋_GB2312"/>
          <w:b/>
          <w:sz w:val="24"/>
        </w:rPr>
        <w:t>八、项目团队配置要求</w:t>
      </w:r>
    </w:p>
    <w:p w14:paraId="734D7BDF">
      <w:pPr>
        <w:pStyle w:val="4"/>
        <w:ind w:firstLine="480"/>
        <w:jc w:val="both"/>
      </w:pPr>
      <w:r>
        <w:rPr>
          <w:rFonts w:ascii="仿宋_GB2312" w:hAnsi="仿宋_GB2312" w:eastAsia="仿宋_GB2312" w:cs="仿宋_GB2312"/>
          <w:sz w:val="24"/>
        </w:rPr>
        <w:t>1.供应商为本项目组建专属项目团队，团队人员须稳定投入本项目，未经招标人书面同意，不得擅自更换项目负责人及核心成员。</w:t>
      </w:r>
    </w:p>
    <w:p w14:paraId="0FCE3B3A">
      <w:pPr>
        <w:pStyle w:val="4"/>
        <w:ind w:firstLine="480"/>
        <w:jc w:val="both"/>
      </w:pPr>
      <w:r>
        <w:rPr>
          <w:rFonts w:ascii="仿宋_GB2312" w:hAnsi="仿宋_GB2312" w:eastAsia="仿宋_GB2312" w:cs="仿宋_GB2312"/>
          <w:sz w:val="24"/>
        </w:rPr>
        <w:t>2.项目负责人要求：</w:t>
      </w:r>
    </w:p>
    <w:p w14:paraId="078764EF">
      <w:pPr>
        <w:pStyle w:val="4"/>
        <w:ind w:firstLine="480"/>
        <w:jc w:val="both"/>
      </w:pPr>
      <w:r>
        <w:rPr>
          <w:rFonts w:ascii="仿宋_GB2312" w:hAnsi="仿宋_GB2312" w:eastAsia="仿宋_GB2312" w:cs="仿宋_GB2312"/>
          <w:sz w:val="24"/>
        </w:rPr>
        <w:t>（1）近3年内，作为项目负责人主持过至少1个同类项目；</w:t>
      </w:r>
    </w:p>
    <w:p w14:paraId="74ED8C80">
      <w:pPr>
        <w:pStyle w:val="4"/>
        <w:ind w:firstLine="480"/>
        <w:jc w:val="both"/>
      </w:pPr>
      <w:r>
        <w:rPr>
          <w:rFonts w:ascii="仿宋_GB2312" w:hAnsi="仿宋_GB2312" w:eastAsia="仿宋_GB2312" w:cs="仿宋_GB2312"/>
          <w:sz w:val="24"/>
        </w:rPr>
        <w:t>（2）项目负责人全程统筹项目实施、对接甲方，作为双方主要联络人。</w:t>
      </w:r>
    </w:p>
    <w:p w14:paraId="40A799F6">
      <w:pPr>
        <w:pStyle w:val="4"/>
        <w:ind w:firstLine="480"/>
        <w:jc w:val="both"/>
      </w:pPr>
      <w:r>
        <w:rPr>
          <w:rFonts w:ascii="仿宋_GB2312" w:hAnsi="仿宋_GB2312" w:eastAsia="仿宋_GB2312" w:cs="仿宋_GB2312"/>
          <w:sz w:val="24"/>
        </w:rPr>
        <w:t>3.核心团队成员（技术 / 实施 / 运维等）：配置不少于6名专职人员，具备对应岗位从业经验，提供在职社保证明。</w:t>
      </w:r>
    </w:p>
    <w:p w14:paraId="7A44ECFC">
      <w:pPr>
        <w:jc w:val="both"/>
        <w:rPr>
          <w:rFonts w:hint="eastAsia"/>
          <w:sz w:val="28"/>
          <w:szCs w:val="36"/>
          <w:lang w:val="en-US" w:eastAsia="zh-CN"/>
        </w:rPr>
      </w:pPr>
      <w:r>
        <w:rPr>
          <w:rFonts w:ascii="仿宋_GB2312" w:hAnsi="仿宋_GB2312" w:eastAsia="仿宋_GB2312" w:cs="仿宋_GB2312"/>
          <w:sz w:val="24"/>
        </w:rPr>
        <w:t>4.团队在岗要求：项目实施期间，项目负责人及核心人员须按招标人要求到场参加例会、现场实施、验收等工作，无故缺席达到3次，招标人有权进行履约考核。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D975598"/>
    <w:rsid w:val="ED975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Office_12.1.29182.29182_F1E327BC-269C-435d-A152-05C5408002CA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2026-11-02T19:16:00Z</dcterms:created>
  <dc:creator>H</dc:creator>
  <cp:lastModifiedBy>H</cp:lastModifiedBy>
  <dcterms:modified xsi:type="dcterms:W3CDTF">2026-11-02T19:17:00Z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2052-12.1.29182.29182</vt:lpwstr>
  </property>
  <property fmtid="{D5CDD505-2E9C-101B-9397-08002B2CF9AE}" pid="3" name="ICV">
    <vt:lpwstr>C2731F35262DBFBFFD70E86AB3FC124C_41</vt:lpwstr>
  </property>
</Properties>
</file>