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版本号：HRPDZB-2026083120260901001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镇巴县长岭镇中药材产业发展建设项目-基地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HRPDZB-20260831</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镇巴县长岭镇中药材产业发展建设项目-基地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HRPDZB-20260831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镇巴县长岭镇中药材产业发展建设项目-基地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建设林下淫羊藿种植基地175亩。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采购包1（镇巴县长岭镇中药材产业发展建设项目-基地）：属于专门面向中小企业采购。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15191655567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建设林下淫羊藿种植基地175亩。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1,580,000.00</w:t>
      </w:r>
    </w:p>
    <w:p>
      <w:pPr>
        <w:pStyle w:val="null3"/>
      </w:pPr>
      <w:r>
        <w:rPr>
          <w:rFonts w:ascii="仿宋_GB2312" w:hAnsi="仿宋_GB2312" w:cs="仿宋_GB2312" w:eastAsia="仿宋_GB2312"/>
        </w:rPr>
        <w:t>采购包最高限价（元）: 1,580,000.00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镇巴县长岭镇中药材产业发展建设项目-基地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标的名称：镇巴县长岭镇中药材产业发展建设项目-基地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71"/>
              <w:gridCol w:w="354"/>
              <w:gridCol w:w="1120"/>
              <w:gridCol w:w="198"/>
              <w:gridCol w:w="356"/>
              <w:gridCol w:w="343"/>
            </w:tblGrid>
            <w:tr>
              <w:tc>
                <w:tcPr>
                  <w:tcW w:type="dxa" w:w="1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淫羊藿种苗</w:t>
                  </w:r>
                  <w:r>
                    <w:rPr>
                      <w:rFonts w:ascii="仿宋_GB2312" w:hAnsi="仿宋_GB2312" w:cs="仿宋_GB2312" w:eastAsia="仿宋_GB2312"/>
                      <w:sz w:val="24"/>
                      <w:color w:val="000000"/>
                    </w:rPr>
                    <w:t>采购及</w:t>
                  </w:r>
                  <w:r>
                    <w:rPr>
                      <w:rFonts w:ascii="仿宋_GB2312" w:hAnsi="仿宋_GB2312" w:cs="仿宋_GB2312" w:eastAsia="仿宋_GB2312"/>
                      <w:sz w:val="24"/>
                      <w:color w:val="000000"/>
                    </w:rPr>
                    <w:t>种植</w:t>
                  </w:r>
                  <w:r>
                    <w:rPr>
                      <w:rFonts w:ascii="仿宋_GB2312" w:hAnsi="仿宋_GB2312" w:cs="仿宋_GB2312" w:eastAsia="仿宋_GB2312"/>
                      <w:sz w:val="24"/>
                      <w:color w:val="000000"/>
                    </w:rPr>
                    <w:t>175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亩</w:t>
                  </w:r>
                </w:p>
                <w:p>
                  <w:pPr>
                    <w:pStyle w:val="null3"/>
                    <w:jc w:val="center"/>
                  </w:pPr>
                  <w:r>
                    <w:rPr>
                      <w:rFonts w:ascii="仿宋_GB2312" w:hAnsi="仿宋_GB2312" w:cs="仿宋_GB2312" w:eastAsia="仿宋_GB2312"/>
                      <w:sz w:val="24"/>
                      <w:b/>
                      <w:color w:val="000000"/>
                    </w:rPr>
                    <w:t>分项名称</w:t>
                  </w:r>
                </w:p>
              </w:tc>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淫羊藿种苗</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种苗为淫羊藿种子繁育的实生苗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每株高</w:t>
                  </w:r>
                  <w:r>
                    <w:rPr>
                      <w:rFonts w:ascii="仿宋_GB2312" w:hAnsi="仿宋_GB2312" w:cs="仿宋_GB2312" w:eastAsia="仿宋_GB2312"/>
                      <w:sz w:val="24"/>
                      <w:color w:val="000000"/>
                    </w:rPr>
                    <w:t>10cm以上，分支数3个以上，芽头1个以上</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）无根腐病、</w:t>
                  </w:r>
                  <w:r>
                    <w:rPr>
                      <w:rFonts w:ascii="仿宋_GB2312" w:hAnsi="仿宋_GB2312" w:cs="仿宋_GB2312" w:eastAsia="仿宋_GB2312"/>
                      <w:sz w:val="24"/>
                      <w:color w:val="000000"/>
                    </w:rPr>
                    <w:t>锈病等病虫害</w:t>
                  </w:r>
                  <w:r>
                    <w:rPr>
                      <w:rFonts w:ascii="仿宋_GB2312" w:hAnsi="仿宋_GB2312" w:cs="仿宋_GB2312" w:eastAsia="仿宋_GB2312"/>
                      <w:sz w:val="24"/>
                      <w:color w:val="000000"/>
                    </w:rPr>
                    <w:t>；</w:t>
                  </w:r>
                </w:p>
                <w:p>
                  <w:pPr>
                    <w:pStyle w:val="null3"/>
                    <w:jc w:val="both"/>
                  </w:pP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按</w:t>
                  </w:r>
                  <w:r>
                    <w:rPr>
                      <w:rFonts w:ascii="仿宋_GB2312" w:hAnsi="仿宋_GB2312" w:cs="仿宋_GB2312" w:eastAsia="仿宋_GB2312"/>
                    </w:rPr>
                    <w:t xml:space="preserve"> </w:t>
                  </w:r>
                  <w:r>
                    <w:rPr>
                      <w:rFonts w:ascii="仿宋_GB2312" w:hAnsi="仿宋_GB2312" w:cs="仿宋_GB2312" w:eastAsia="仿宋_GB2312"/>
                      <w:sz w:val="24"/>
                      <w:color w:val="000000"/>
                    </w:rPr>
                    <w:t>175</w:t>
                  </w:r>
                  <w:r>
                    <w:rPr>
                      <w:rFonts w:ascii="仿宋_GB2312" w:hAnsi="仿宋_GB2312" w:cs="仿宋_GB2312" w:eastAsia="仿宋_GB2312"/>
                    </w:rPr>
                    <w:t xml:space="preserve"> </w:t>
                  </w:r>
                  <w:r>
                    <w:rPr>
                      <w:rFonts w:ascii="仿宋_GB2312" w:hAnsi="仿宋_GB2312" w:cs="仿宋_GB2312" w:eastAsia="仿宋_GB2312"/>
                      <w:sz w:val="24"/>
                      <w:color w:val="000000"/>
                    </w:rPr>
                    <w:t>亩</w:t>
                  </w:r>
                  <w:r>
                    <w:rPr>
                      <w:rFonts w:ascii="仿宋_GB2312" w:hAnsi="仿宋_GB2312" w:cs="仿宋_GB2312" w:eastAsia="仿宋_GB2312"/>
                      <w:sz w:val="24"/>
                      <w:color w:val="000000"/>
                    </w:rPr>
                    <w:t>种植密度核</w:t>
                  </w:r>
                  <w:r>
                    <w:rPr>
                      <w:rFonts w:ascii="仿宋_GB2312" w:hAnsi="仿宋_GB2312" w:cs="仿宋_GB2312" w:eastAsia="仿宋_GB2312"/>
                      <w:sz w:val="24"/>
                      <w:color w:val="000000"/>
                    </w:rPr>
                    <w:t>算（每亩</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30</w:t>
                  </w:r>
                  <w:r>
                    <w:rPr>
                      <w:rFonts w:ascii="仿宋_GB2312" w:hAnsi="仿宋_GB2312" w:cs="仿宋_GB2312" w:eastAsia="仿宋_GB2312"/>
                      <w:sz w:val="24"/>
                      <w:color w:val="000000"/>
                    </w:rPr>
                    <w:t>00</w:t>
                  </w:r>
                  <w:r>
                    <w:rPr>
                      <w:rFonts w:ascii="仿宋_GB2312" w:hAnsi="仿宋_GB2312" w:cs="仿宋_GB2312" w:eastAsia="仿宋_GB2312"/>
                    </w:rPr>
                    <w:t xml:space="preserve"> </w:t>
                  </w:r>
                  <w:r>
                    <w:rPr>
                      <w:rFonts w:ascii="仿宋_GB2312" w:hAnsi="仿宋_GB2312" w:cs="仿宋_GB2312" w:eastAsia="仿宋_GB2312"/>
                      <w:sz w:val="24"/>
                      <w:color w:val="000000"/>
                    </w:rPr>
                    <w:t>株</w:t>
                  </w:r>
                  <w:r>
                    <w:rPr>
                      <w:rFonts w:ascii="仿宋_GB2312" w:hAnsi="仿宋_GB2312" w:cs="仿宋_GB2312" w:eastAsia="仿宋_GB2312"/>
                      <w:sz w:val="24"/>
                      <w:color w:val="000000"/>
                    </w:rPr>
                    <w:t>），</w:t>
                  </w:r>
                  <w:r>
                    <w:rPr>
                      <w:rFonts w:ascii="仿宋_GB2312" w:hAnsi="仿宋_GB2312" w:cs="仿宋_GB2312" w:eastAsia="仿宋_GB2312"/>
                      <w:sz w:val="24"/>
                      <w:color w:val="000000"/>
                    </w:rPr>
                    <w:t>总计</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525000</w:t>
                  </w:r>
                  <w:r>
                    <w:rPr>
                      <w:rFonts w:ascii="仿宋_GB2312" w:hAnsi="仿宋_GB2312" w:cs="仿宋_GB2312" w:eastAsia="仿宋_GB2312"/>
                    </w:rPr>
                    <w:t xml:space="preserve"> </w:t>
                  </w:r>
                  <w:r>
                    <w:rPr>
                      <w:rFonts w:ascii="仿宋_GB2312" w:hAnsi="仿宋_GB2312" w:cs="仿宋_GB2312" w:eastAsia="仿宋_GB2312"/>
                      <w:sz w:val="24"/>
                      <w:color w:val="000000"/>
                    </w:rPr>
                    <w:t>株</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采</w:t>
                  </w:r>
                  <w:r>
                    <w:rPr>
                      <w:rFonts w:ascii="仿宋_GB2312" w:hAnsi="仿宋_GB2312" w:cs="仿宋_GB2312" w:eastAsia="仿宋_GB2312"/>
                      <w:sz w:val="24"/>
                      <w:color w:val="000000"/>
                    </w:rPr>
                    <w:t>购、包装、</w:t>
                  </w:r>
                  <w:r>
                    <w:rPr>
                      <w:rFonts w:ascii="仿宋_GB2312" w:hAnsi="仿宋_GB2312" w:cs="仿宋_GB2312" w:eastAsia="仿宋_GB2312"/>
                      <w:sz w:val="24"/>
                      <w:color w:val="000000"/>
                    </w:rPr>
                    <w:t>运输至种植</w:t>
                  </w:r>
                  <w:r>
                    <w:rPr>
                      <w:rFonts w:ascii="仿宋_GB2312" w:hAnsi="仿宋_GB2312" w:cs="仿宋_GB2312" w:eastAsia="仿宋_GB2312"/>
                      <w:sz w:val="24"/>
                      <w:color w:val="000000"/>
                    </w:rPr>
                    <w:t>地块</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种植人工及</w:t>
                  </w:r>
                  <w:r>
                    <w:rPr>
                      <w:rFonts w:ascii="仿宋_GB2312" w:hAnsi="仿宋_GB2312" w:cs="仿宋_GB2312" w:eastAsia="仿宋_GB2312"/>
                    </w:rPr>
                    <w:t xml:space="preserve"> </w:t>
                  </w:r>
                  <w:r>
                    <w:rPr>
                      <w:rFonts w:ascii="仿宋_GB2312" w:hAnsi="仿宋_GB2312" w:cs="仿宋_GB2312" w:eastAsia="仿宋_GB2312"/>
                      <w:sz w:val="24"/>
                      <w:color w:val="000000"/>
                    </w:rPr>
                    <w:t>配套服务</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含种植密度把控、整地</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含疏林</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、定植、浇水、初期</w:t>
                  </w:r>
                  <w:r>
                    <w:rPr>
                      <w:rFonts w:ascii="仿宋_GB2312" w:hAnsi="仿宋_GB2312" w:cs="仿宋_GB2312" w:eastAsia="仿宋_GB2312"/>
                      <w:sz w:val="24"/>
                      <w:color w:val="000000"/>
                    </w:rPr>
                    <w:t>管护指导，</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售后保障（</w:t>
                  </w:r>
                  <w:r>
                    <w:rPr>
                      <w:rFonts w:ascii="仿宋_GB2312" w:hAnsi="仿宋_GB2312" w:cs="仿宋_GB2312" w:eastAsia="仿宋_GB2312"/>
                      <w:sz w:val="24"/>
                      <w:color w:val="000000"/>
                    </w:rPr>
                    <w:t>3 个月质保期内，</w:t>
                  </w:r>
                  <w:r>
                    <w:rPr>
                      <w:rFonts w:ascii="仿宋_GB2312" w:hAnsi="仿宋_GB2312" w:cs="仿宋_GB2312" w:eastAsia="仿宋_GB2312"/>
                    </w:rPr>
                    <w:t xml:space="preserve"> </w:t>
                  </w:r>
                  <w:r>
                    <w:rPr>
                      <w:rFonts w:ascii="仿宋_GB2312" w:hAnsi="仿宋_GB2312" w:cs="仿宋_GB2312" w:eastAsia="仿宋_GB2312"/>
                      <w:sz w:val="24"/>
                      <w:color w:val="000000"/>
                    </w:rPr>
                    <w:t>若因</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质量问题（品种、病虫害、成活率</w:t>
                  </w:r>
                  <w:r>
                    <w:rPr>
                      <w:rFonts w:ascii="仿宋_GB2312" w:hAnsi="仿宋_GB2312" w:cs="仿宋_GB2312" w:eastAsia="仿宋_GB2312"/>
                    </w:rPr>
                    <w:t xml:space="preserve"> </w:t>
                  </w:r>
                  <w:r>
                    <w:rPr>
                      <w:rFonts w:ascii="仿宋_GB2312" w:hAnsi="仿宋_GB2312" w:cs="仿宋_GB2312" w:eastAsia="仿宋_GB2312"/>
                      <w:sz w:val="24"/>
                      <w:color w:val="000000"/>
                    </w:rPr>
                    <w:t>不达标）免费更换、补齐</w:t>
                  </w:r>
                  <w:r>
                    <w:rPr>
                      <w:rFonts w:ascii="仿宋_GB2312" w:hAnsi="仿宋_GB2312" w:cs="仿宋_GB2312" w:eastAsia="仿宋_GB2312"/>
                      <w:sz w:val="24"/>
                      <w:color w:val="000000"/>
                    </w:rPr>
                    <w:t>，</w:t>
                  </w:r>
                  <w:r>
                    <w:rPr>
                      <w:rFonts w:ascii="仿宋_GB2312" w:hAnsi="仿宋_GB2312" w:cs="仿宋_GB2312" w:eastAsia="仿宋_GB2312"/>
                      <w:sz w:val="24"/>
                      <w:color w:val="000000"/>
                    </w:rPr>
                    <w:t>种苗成活率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1）株距：</w:t>
                  </w: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3</w:t>
                  </w:r>
                  <w:r>
                    <w:rPr>
                      <w:rFonts w:ascii="仿宋_GB2312" w:hAnsi="仿宋_GB2312" w:cs="仿宋_GB2312" w:eastAsia="仿宋_GB2312"/>
                      <w:sz w:val="24"/>
                      <w:color w:val="000000"/>
                    </w:rPr>
                    <w:t>0cm；行距：</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4</w:t>
                  </w:r>
                  <w:r>
                    <w:rPr>
                      <w:rFonts w:ascii="仿宋_GB2312" w:hAnsi="仿宋_GB2312" w:cs="仿宋_GB2312" w:eastAsia="仿宋_GB2312"/>
                      <w:sz w:val="24"/>
                      <w:color w:val="000000"/>
                    </w:rPr>
                    <w:t>0cm；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2）穴规格：穴深</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15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3）覆土深度：芽朝上，覆土</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175</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含种植工具</w:t>
                  </w:r>
                  <w:r>
                    <w:rPr>
                      <w:rFonts w:ascii="仿宋_GB2312" w:hAnsi="仿宋_GB2312" w:cs="仿宋_GB2312" w:eastAsia="仿宋_GB2312"/>
                      <w:sz w:val="24"/>
                      <w:color w:val="000000"/>
                    </w:rPr>
                    <w:t>使用、人工</w:t>
                  </w:r>
                  <w:r>
                    <w:rPr>
                      <w:rFonts w:ascii="仿宋_GB2312" w:hAnsi="仿宋_GB2312" w:cs="仿宋_GB2312" w:eastAsia="仿宋_GB2312"/>
                      <w:sz w:val="24"/>
                      <w:color w:val="000000"/>
                    </w:rPr>
                    <w:t>成本</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肥料</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1）生物有机肥</w:t>
                  </w:r>
                </w:p>
                <w:p>
                  <w:pPr>
                    <w:pStyle w:val="null3"/>
                    <w:jc w:val="both"/>
                  </w:pP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175</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种植技术指</w:t>
                  </w:r>
                </w:p>
                <w:p>
                  <w:pPr>
                    <w:pStyle w:val="null3"/>
                    <w:jc w:val="center"/>
                  </w:pPr>
                  <w:r>
                    <w:rPr>
                      <w:rFonts w:ascii="仿宋_GB2312" w:hAnsi="仿宋_GB2312" w:cs="仿宋_GB2312" w:eastAsia="仿宋_GB2312"/>
                      <w:sz w:val="24"/>
                      <w:color w:val="000000"/>
                    </w:rPr>
                    <w:t>导</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含种植前</w:t>
                  </w:r>
                  <w:r>
                    <w:rPr>
                      <w:rFonts w:ascii="仿宋_GB2312" w:hAnsi="仿宋_GB2312" w:cs="仿宋_GB2312" w:eastAsia="仿宋_GB2312"/>
                      <w:sz w:val="24"/>
                      <w:color w:val="000000"/>
                    </w:rPr>
                    <w:t>种植基地勘测</w:t>
                  </w:r>
                  <w:r>
                    <w:rPr>
                      <w:rFonts w:ascii="仿宋_GB2312" w:hAnsi="仿宋_GB2312" w:cs="仿宋_GB2312" w:eastAsia="仿宋_GB2312"/>
                      <w:sz w:val="24"/>
                      <w:color w:val="000000"/>
                    </w:rPr>
                    <w:t>、种植期间水肥管理指</w:t>
                  </w:r>
                  <w:r>
                    <w:rPr>
                      <w:rFonts w:ascii="仿宋_GB2312" w:hAnsi="仿宋_GB2312" w:cs="仿宋_GB2312" w:eastAsia="仿宋_GB2312"/>
                    </w:rPr>
                    <w:t xml:space="preserve">  </w:t>
                  </w:r>
                  <w:r>
                    <w:rPr>
                      <w:rFonts w:ascii="仿宋_GB2312" w:hAnsi="仿宋_GB2312" w:cs="仿宋_GB2312" w:eastAsia="仿宋_GB2312"/>
                      <w:sz w:val="24"/>
                      <w:color w:val="000000"/>
                    </w:rPr>
                    <w:t>导、病虫害防治技术培训（不少于</w:t>
                  </w:r>
                  <w:r>
                    <w:rPr>
                      <w:rFonts w:ascii="仿宋_GB2312" w:hAnsi="仿宋_GB2312" w:cs="仿宋_GB2312" w:eastAsia="仿宋_GB2312"/>
                      <w:sz w:val="24"/>
                      <w:color w:val="000000"/>
                    </w:rPr>
                    <w:t xml:space="preserve"> 3 次上</w:t>
                  </w:r>
                  <w:r>
                    <w:rPr>
                      <w:rFonts w:ascii="仿宋_GB2312" w:hAnsi="仿宋_GB2312" w:cs="仿宋_GB2312" w:eastAsia="仿宋_GB2312"/>
                    </w:rPr>
                    <w:t xml:space="preserve"> </w:t>
                  </w:r>
                  <w:r>
                    <w:rPr>
                      <w:rFonts w:ascii="仿宋_GB2312" w:hAnsi="仿宋_GB2312" w:cs="仿宋_GB2312" w:eastAsia="仿宋_GB2312"/>
                      <w:sz w:val="24"/>
                      <w:color w:val="000000"/>
                    </w:rPr>
                    <w:t>门）</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含技术人员</w:t>
                  </w:r>
                  <w:r>
                    <w:rPr>
                      <w:rFonts w:ascii="仿宋_GB2312" w:hAnsi="仿宋_GB2312" w:cs="仿宋_GB2312" w:eastAsia="仿宋_GB2312"/>
                      <w:sz w:val="24"/>
                      <w:color w:val="000000"/>
                    </w:rPr>
                    <w:t>差旅、培训</w:t>
                  </w:r>
                  <w:r>
                    <w:rPr>
                      <w:rFonts w:ascii="仿宋_GB2312" w:hAnsi="仿宋_GB2312" w:cs="仿宋_GB2312" w:eastAsia="仿宋_GB2312"/>
                      <w:sz w:val="24"/>
                      <w:color w:val="000000"/>
                    </w:rPr>
                    <w:t>资料</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ind w:left="135"/>
              <w:jc w:val="left"/>
            </w:pPr>
            <w:r>
              <w:rPr>
                <w:rFonts w:ascii="仿宋_GB2312" w:hAnsi="仿宋_GB2312" w:cs="仿宋_GB2312" w:eastAsia="仿宋_GB2312"/>
                <w:sz w:val="24"/>
                <w:color w:val="000000"/>
              </w:rPr>
              <w:t>工期</w:t>
            </w:r>
            <w:r>
              <w:rPr>
                <w:rFonts w:ascii="仿宋_GB2312" w:hAnsi="仿宋_GB2312" w:cs="仿宋_GB2312" w:eastAsia="仿宋_GB2312"/>
                <w:sz w:val="24"/>
                <w:color w:val="000000"/>
              </w:rPr>
              <w:t>12</w:t>
            </w:r>
            <w:r>
              <w:rPr>
                <w:rFonts w:ascii="仿宋_GB2312" w:hAnsi="仿宋_GB2312" w:cs="仿宋_GB2312" w:eastAsia="仿宋_GB2312"/>
                <w:sz w:val="24"/>
                <w:color w:val="000000"/>
              </w:rPr>
              <w:t>0日历天</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成活率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95</w:t>
            </w:r>
            <w:r>
              <w:rPr>
                <w:rFonts w:ascii="仿宋_GB2312" w:hAnsi="仿宋_GB2312" w:cs="仿宋_GB2312" w:eastAsia="仿宋_GB2312"/>
                <w:sz w:val="24"/>
                <w:color w:val="000000"/>
              </w:rPr>
              <w:t>%，符合国家及行业相关农业种植标准</w:t>
            </w:r>
            <w:r>
              <w:rPr>
                <w:rFonts w:ascii="仿宋_GB2312" w:hAnsi="仿宋_GB2312" w:cs="仿宋_GB2312" w:eastAsia="仿宋_GB2312"/>
                <w:sz w:val="24"/>
                <w:color w:val="000000"/>
              </w:rPr>
              <w:t>；</w:t>
            </w:r>
          </w:p>
          <w:p>
            <w:pPr>
              <w:pStyle w:val="null3"/>
              <w:spacing w:before="60"/>
              <w:ind w:left="135"/>
              <w:jc w:val="left"/>
            </w:pPr>
            <w:r>
              <w:rPr>
                <w:rFonts w:ascii="仿宋_GB2312" w:hAnsi="仿宋_GB2312" w:cs="仿宋_GB2312" w:eastAsia="仿宋_GB2312"/>
                <w:sz w:val="24"/>
                <w:color w:val="000000"/>
              </w:rPr>
              <w:t>种苗售后保障（</w:t>
            </w:r>
            <w:r>
              <w:rPr>
                <w:rFonts w:ascii="仿宋_GB2312" w:hAnsi="仿宋_GB2312" w:cs="仿宋_GB2312" w:eastAsia="仿宋_GB2312"/>
                <w:sz w:val="24"/>
                <w:color w:val="000000"/>
              </w:rPr>
              <w:t>3 个月质保期内， 若因种苗质量问题（品种、病虫害、成活率 不达标）免费更换、补齐）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进度款，供应商在合同规定的时间内按种植进度拨付下剩70%，达到付款条件起7个工作日内，支付合同总金额的70.0%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磋商文件有法定代表人或授权委托人的签字或盖章并加盖投标供应商公章</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分项报价表.docx 供应商应提交的相关资格证明材料.docx 残疾人福利性单位声明函 服务方案 标的清单 响应函 商务条款偏离表.docx 监狱企业的证明文件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分项报价表.docx 供应商应提交的相关资格证明材料.docx 残疾人福利性单位声明函 服务方案 标的清单 响应函 商务条款偏离表.docx 监狱企业的证明文件 供应商认为需要补充的其他内容.pdf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每项内容分值2分，每缺⼀项内容扣2分，每项内容中每有⼀处缺陷扣1分，单项扣完为⽌。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每项内容分值2分，每缺⼀项内容扣2分，每项内容中每有⼀处缺陷扣1分，单项扣完为⽌。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每项内容分值1分，每缺⼀项内容扣1分，每项内容中每有⼀处缺陷扣0.5分，单项扣完为⽌。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每项内容分值1分，每缺⼀项内容扣1分，每项内容中每有⼀处缺陷扣0.5分，单项扣完为⽌。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团队人员，每提供⼀个服务团队人员，得3分，最多得15分。评审依据：身份证、劳动合同。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供应商提供拟投入本项目的种植养护设备清单及对应权属证明（购置发票或租赁合同），每提供 1 类核心设备得 6 分，满分12分。 核心设备限定范围：①整地类（旋耕机、微耕机、播种机等）②植保类（病虫害防治喷雾器、杀虫灯）；同类别设备不重复计分。 评审依据：设备清单，购置发票或租赁合同（加盖供应商公章）。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评审标准：①书面承诺栽植后种苗成活率＞95%，且免费补植质保管护期不低于6个月的，得6分； ②书面承诺为采购方提供免费后期养护指导的，得6分； 两项可累计得分，未明确承诺对应内容不得分。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提供2023年1月1日至今供应商类似项目的业绩（中药材种植等农业相关业绩），响应文件中附业绩合同复印件，每份3分，满分6分。评审依据：以响应文件中提供的合同复印件为准。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在采购预算内且满足招标文件要求且投标报价最低的投标人的价格为基准价，其价格分为20分。各投标人的价格分统一按照下列公式计算：价格分=（基准价/投标响应报价）*20* 100% 。 注：本项目专门面向中小企业采购，评审时不再进行价格扣除。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详见附件：种苗采购种植合同.docx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