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91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  <w:t>采购需求</w:t>
      </w:r>
    </w:p>
    <w:p w14:paraId="7BAC0F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一、项目范围</w:t>
      </w:r>
    </w:p>
    <w:p w14:paraId="0A465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高新区307.78平方公里，涉及丈八街办、鱼化街办、细柳街办、兴隆街办、五星街办、灵沼街办、东大街办、秦渡街办、草堂街办、庞光街办、周至共建区集贤产业园所辖区域土地。</w:t>
      </w:r>
    </w:p>
    <w:p w14:paraId="18E9E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二、工作要求</w:t>
      </w:r>
    </w:p>
    <w:p w14:paraId="7DF10E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（一）调查分析区域内土地的基本信息、土地利用状况、土地变化情况。</w:t>
      </w:r>
    </w:p>
    <w:p w14:paraId="557C0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（二）通过常规性航拍监测（4次），获取阶段性图形资料，结合系统数据分析，优化调整土地利用现状，满足土地开发利用管理业务需求，实现监管方式从“以数管地”到“以图管地”。</w:t>
      </w:r>
    </w:p>
    <w:p w14:paraId="6976F9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（三）通过调查服务，建立土地利用现状调查数据库。</w:t>
      </w:r>
    </w:p>
    <w:p w14:paraId="3B786C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（四）对已收集数据进行整理、分析、剥离，进一步扩大现状调查对比的数据化，有效保障土地参与国家宏观调控，实现高新区项目落地要素保障。</w:t>
      </w:r>
    </w:p>
    <w:p w14:paraId="2C1A5A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（五）成果提交以有序数值阵列形式表示地形现状，实现精度高、信息丰富、直观逼真、获取快捷等功能。</w:t>
      </w:r>
    </w:p>
    <w:p w14:paraId="6C6134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三、商务要求</w:t>
      </w:r>
    </w:p>
    <w:p w14:paraId="3A30E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（一）服务期：自合同签订之日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起1年。</w:t>
      </w:r>
    </w:p>
    <w:p w14:paraId="4242F5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highlight w:val="none"/>
          <w:lang w:val="en-US" w:eastAsia="zh-CN" w:bidi="ar-SA"/>
        </w:rPr>
        <w:t>（二）服务地点：西安高新区范围内，具体以采购人指定地点为准。</w:t>
      </w:r>
    </w:p>
    <w:p w14:paraId="1B58B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95275"/>
    <w:rsid w:val="18612F04"/>
    <w:rsid w:val="2FA875D1"/>
    <w:rsid w:val="325D0DF0"/>
    <w:rsid w:val="450E6A36"/>
    <w:rsid w:val="45324C7A"/>
    <w:rsid w:val="4D5F6129"/>
    <w:rsid w:val="4FFE3E15"/>
    <w:rsid w:val="51650CB9"/>
    <w:rsid w:val="54D13E0A"/>
    <w:rsid w:val="5655445A"/>
    <w:rsid w:val="5D073A96"/>
    <w:rsid w:val="60AC3457"/>
    <w:rsid w:val="64A95275"/>
    <w:rsid w:val="68C11FB6"/>
    <w:rsid w:val="7143791B"/>
    <w:rsid w:val="777C63FF"/>
    <w:rsid w:val="7B9B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99"/>
    <w:pPr>
      <w:widowControl w:val="0"/>
      <w:suppressAutoHyphens/>
    </w:pPr>
    <w:rPr>
      <w:rFonts w:ascii="Times New Roman" w:hAnsi="Times New Roman" w:eastAsia="宋体" w:cs="Times New Roman"/>
      <w:color w:val="000000"/>
      <w:lang w:val="en-US" w:eastAsia="zh-CN" w:bidi="ar-SA"/>
    </w:rPr>
  </w:style>
  <w:style w:type="paragraph" w:customStyle="1" w:styleId="5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360" w:lineRule="auto"/>
      <w:ind w:firstLine="420" w:firstLineChars="200"/>
      <w:jc w:val="both"/>
    </w:pPr>
    <w:rPr>
      <w:rFonts w:ascii="宋体" w:hAnsi="Calibri" w:eastAsia="宋体" w:cs="Times New Roman"/>
      <w:sz w:val="21"/>
      <w:szCs w:val="21"/>
      <w:lang w:bidi="ar-SA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7">
    <w:name w:val="font2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31"/>
    <w:basedOn w:val="3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9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11"/>
    <w:basedOn w:val="3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1624</Words>
  <Characters>1971</Characters>
  <Lines>0</Lines>
  <Paragraphs>0</Paragraphs>
  <TotalTime>0</TotalTime>
  <ScaleCrop>false</ScaleCrop>
  <LinksUpToDate>false</LinksUpToDate>
  <CharactersWithSpaces>1972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2025-02-28T02:32:00Z</dcterms:created>
  <dc:creator>123</dc:creator>
  <cp:lastModifiedBy>陕西华采招标有限公司</cp:lastModifiedBy>
  <dcterms:modified xsi:type="dcterms:W3CDTF">2026-08-06T09:34:23Z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00662344433640FBB7C98EC8350C184F_13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