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B20F2">
      <w:pPr>
        <w:pStyle w:val="5"/>
        <w:keepNext w:val="0"/>
        <w:keepLines w:val="0"/>
        <w:pageBreakBefore w:val="0"/>
        <w:overflowPunct/>
        <w:topLinePunct w:val="0"/>
        <w:bidi w:val="0"/>
        <w:adjustRightInd w:val="0"/>
        <w:snapToGrid w:val="0"/>
        <w:spacing w:line="360" w:lineRule="auto"/>
        <w:jc w:val="center"/>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拟签订采购合同文本</w:t>
      </w:r>
    </w:p>
    <w:p w14:paraId="32B20C6D">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注：本合同作为合同的基本格式，采购人有权在签订合同时对合同的相关条款及内容作进一步的细化和修改，但不得改变中招标文件及投标文件、中标通知书规定的实质性内容）</w:t>
      </w:r>
    </w:p>
    <w:p w14:paraId="5C56E12C">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西安市教育局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 xml:space="preserve">                                        </w:t>
      </w:r>
    </w:p>
    <w:p w14:paraId="43B70159">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西安市凤城八路109号市政府6号楼</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04266A02">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645943A">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4E206102">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3D47EA6">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3946DADB">
      <w:pPr>
        <w:pStyle w:val="6"/>
        <w:keepNext w:val="0"/>
        <w:keepLines w:val="0"/>
        <w:pageBreakBefore w:val="0"/>
        <w:kinsoku/>
        <w:overflowPunct/>
        <w:topLinePunct w:val="0"/>
        <w:autoSpaceDE/>
        <w:autoSpaceDN/>
        <w:bidi w:val="0"/>
        <w:adjustRightInd w:val="0"/>
        <w:snapToGrid w:val="0"/>
        <w:spacing w:line="360" w:lineRule="auto"/>
        <w:ind w:firstLine="468" w:firstLineChars="19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乙方递交的投标</w:t>
      </w:r>
      <w:r>
        <w:rPr>
          <w:rFonts w:hint="eastAsia" w:ascii="仿宋" w:hAnsi="仿宋" w:eastAsia="仿宋" w:cs="仿宋"/>
          <w:color w:val="auto"/>
          <w:sz w:val="24"/>
          <w:szCs w:val="24"/>
          <w:highlight w:val="none"/>
        </w:rPr>
        <w:t>文件等有关规定，为确保甲方采购项目的顺利实施，甲、乙双方在平等自愿原则下签订本合同，并共同遵守如下条款：</w:t>
      </w:r>
    </w:p>
    <w:p w14:paraId="0B602149">
      <w:pPr>
        <w:keepNext w:val="0"/>
        <w:keepLines w:val="0"/>
        <w:pageBreakBefore w:val="0"/>
        <w:numPr>
          <w:ilvl w:val="0"/>
          <w:numId w:val="1"/>
        </w:numPr>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lang w:val="en-US" w:eastAsia="zh-CN"/>
        </w:rPr>
      </w:pPr>
      <w:bookmarkStart w:id="0" w:name="_Toc8233"/>
      <w:bookmarkStart w:id="1" w:name="_Toc562"/>
      <w:r>
        <w:rPr>
          <w:rFonts w:hint="eastAsia" w:ascii="仿宋" w:hAnsi="仿宋" w:eastAsia="仿宋" w:cs="仿宋"/>
          <w:b/>
          <w:bCs w:val="0"/>
          <w:color w:val="auto"/>
          <w:sz w:val="24"/>
          <w:szCs w:val="24"/>
          <w:highlight w:val="none"/>
          <w:lang w:val="en-US" w:eastAsia="zh-CN"/>
        </w:rPr>
        <w:t>合同采购内容</w:t>
      </w:r>
      <w:bookmarkEnd w:id="0"/>
      <w:bookmarkEnd w:id="1"/>
    </w:p>
    <w:tbl>
      <w:tblPr>
        <w:tblStyle w:val="3"/>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14:paraId="1F49E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FE00FBC">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27D325C7">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2D05A5E">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694316C0">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46A8564">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采购</w:t>
            </w:r>
          </w:p>
          <w:p w14:paraId="2FB890D0">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E97B526">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50502D7">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计量</w:t>
            </w:r>
          </w:p>
          <w:p w14:paraId="558655F9">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652EA3A">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EED163F">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w:t>
            </w:r>
          </w:p>
          <w:p w14:paraId="2C478AF7">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02BB230">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总金额（元）</w:t>
            </w:r>
          </w:p>
        </w:tc>
      </w:tr>
      <w:tr w14:paraId="2FD18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97B2002">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D42908F">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leftChars="0" w:right="0" w:rightChars="0"/>
              <w:jc w:val="center"/>
              <w:textAlignment w:val="center"/>
              <w:outlineLvl w:val="9"/>
              <w:rPr>
                <w:rFonts w:hint="eastAsia" w:ascii="仿宋" w:hAnsi="仿宋" w:eastAsia="仿宋" w:cs="仿宋"/>
                <w:color w:val="auto"/>
                <w:sz w:val="24"/>
                <w:szCs w:val="24"/>
                <w:highlight w:val="none"/>
                <w:lang w:val="en-US" w:eastAsia="zh-CN"/>
              </w:rPr>
            </w:pP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88ABFEC">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leftChars="0" w:right="0" w:rightChars="0"/>
              <w:jc w:val="center"/>
              <w:textAlignment w:val="center"/>
              <w:outlineLvl w:val="9"/>
              <w:rPr>
                <w:rFonts w:hint="eastAsia" w:ascii="仿宋" w:hAnsi="仿宋" w:eastAsia="仿宋" w:cs="仿宋"/>
                <w:color w:val="auto"/>
                <w:sz w:val="24"/>
                <w:szCs w:val="24"/>
                <w:highlight w:val="none"/>
                <w:lang w:val="en-US" w:eastAsia="zh-CN"/>
              </w:rPr>
            </w:pP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BCFABAD">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color w:val="auto"/>
                <w:sz w:val="24"/>
                <w:szCs w:val="24"/>
                <w:highlight w:val="none"/>
              </w:rPr>
            </w:pP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8136CFF">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right="0"/>
              <w:jc w:val="center"/>
              <w:textAlignment w:val="center"/>
              <w:outlineLvl w:val="9"/>
              <w:rPr>
                <w:rFonts w:hint="eastAsia" w:ascii="仿宋" w:hAnsi="仿宋" w:eastAsia="仿宋" w:cs="仿宋"/>
                <w:color w:val="auto"/>
                <w:sz w:val="24"/>
                <w:szCs w:val="24"/>
                <w:highlight w:val="none"/>
              </w:rPr>
            </w:pP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0018EE">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leftChars="0" w:right="0" w:rightChars="0"/>
              <w:jc w:val="center"/>
              <w:textAlignment w:val="center"/>
              <w:outlineLvl w:val="9"/>
              <w:rPr>
                <w:rFonts w:hint="eastAsia" w:ascii="仿宋" w:hAnsi="仿宋" w:eastAsia="仿宋" w:cs="仿宋"/>
                <w:color w:val="auto"/>
                <w:sz w:val="24"/>
                <w:szCs w:val="24"/>
                <w:highlight w:val="none"/>
              </w:rPr>
            </w:pP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C3E5550">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360" w:lineRule="auto"/>
              <w:ind w:left="0" w:leftChars="0" w:right="0" w:rightChars="0"/>
              <w:jc w:val="center"/>
              <w:textAlignment w:val="center"/>
              <w:outlineLvl w:val="9"/>
              <w:rPr>
                <w:rFonts w:hint="eastAsia" w:ascii="仿宋" w:hAnsi="仿宋" w:eastAsia="仿宋" w:cs="仿宋"/>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304F965">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left="0" w:right="0"/>
              <w:jc w:val="right"/>
              <w:textAlignment w:val="center"/>
              <w:outlineLvl w:val="9"/>
              <w:rPr>
                <w:rFonts w:hint="eastAsia" w:ascii="仿宋" w:hAnsi="仿宋" w:eastAsia="仿宋" w:cs="仿宋"/>
                <w:i w:val="0"/>
                <w:iCs w:val="0"/>
                <w:caps w:val="0"/>
                <w:color w:val="0000FF"/>
                <w:spacing w:val="0"/>
                <w:sz w:val="24"/>
                <w:szCs w:val="24"/>
                <w:highlight w:val="none"/>
                <w:shd w:val="clear" w:fill="FFFFFF"/>
                <w:vertAlign w:val="baseline"/>
                <w:lang w:val="en-US" w:eastAsia="zh-CN"/>
              </w:rPr>
            </w:pPr>
          </w:p>
        </w:tc>
      </w:tr>
    </w:tbl>
    <w:p w14:paraId="57D7A639">
      <w:pPr>
        <w:pStyle w:val="7"/>
        <w:keepNext w:val="0"/>
        <w:keepLines w:val="0"/>
        <w:pageBreakBefore w:val="0"/>
        <w:numPr>
          <w:ilvl w:val="0"/>
          <w:numId w:val="0"/>
        </w:numPr>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0000FF"/>
          <w:sz w:val="24"/>
          <w:szCs w:val="24"/>
          <w:highlight w:val="none"/>
          <w:u w:val="none"/>
          <w:lang w:val="en-US" w:eastAsia="zh-CN"/>
        </w:rPr>
      </w:pPr>
      <w:r>
        <w:rPr>
          <w:rFonts w:hint="eastAsia" w:ascii="仿宋" w:hAnsi="仿宋" w:eastAsia="仿宋" w:cs="仿宋"/>
          <w:sz w:val="24"/>
          <w:szCs w:val="24"/>
          <w:highlight w:val="none"/>
          <w:lang w:val="en-US" w:eastAsia="zh-CN"/>
        </w:rPr>
        <w:t>合计金额人民币（大写）：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74D9BE6B">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2" w:name="_Toc17947"/>
      <w:bookmarkStart w:id="3" w:name="_Toc2221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合同价款</w:t>
      </w:r>
      <w:bookmarkEnd w:id="2"/>
      <w:bookmarkEnd w:id="3"/>
    </w:p>
    <w:p w14:paraId="4D098672">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6B2626B">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7F979D3">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14:paraId="425E852A">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4.履约保证金：不涉及</w:t>
      </w:r>
    </w:p>
    <w:p w14:paraId="58E20B73">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lang w:val="en-US" w:eastAsia="zh-CN"/>
        </w:rPr>
      </w:pPr>
      <w:bookmarkStart w:id="4" w:name="_Toc4425"/>
      <w:bookmarkStart w:id="5" w:name="_Toc3190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付款方式、时间及条件</w:t>
      </w:r>
      <w:bookmarkEnd w:id="4"/>
      <w:bookmarkEnd w:id="5"/>
    </w:p>
    <w:p w14:paraId="5E959417">
      <w:pPr>
        <w:pStyle w:val="5"/>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bookmarkStart w:id="6" w:name="_Toc32672"/>
      <w:bookmarkStart w:id="7" w:name="_Toc25736"/>
      <w:r>
        <w:rPr>
          <w:rFonts w:hint="eastAsia" w:ascii="仿宋" w:hAnsi="仿宋" w:eastAsia="仿宋" w:cs="仿宋"/>
          <w:sz w:val="24"/>
          <w:szCs w:val="24"/>
          <w:highlight w:val="none"/>
        </w:rPr>
        <w:t>采购包1： 付款条件说明： 合同签订后 ，达到付款条件起</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日内，支付合同总金额的</w:t>
      </w:r>
      <w:r>
        <w:rPr>
          <w:rFonts w:hint="eastAsia" w:ascii="仿宋" w:hAnsi="仿宋" w:eastAsia="仿宋" w:cs="仿宋"/>
          <w:sz w:val="24"/>
          <w:szCs w:val="24"/>
          <w:highlight w:val="none"/>
          <w:lang w:val="en-US" w:eastAsia="zh-CN"/>
        </w:rPr>
        <w:t>40</w:t>
      </w:r>
      <w:r>
        <w:rPr>
          <w:rFonts w:hint="eastAsia" w:ascii="仿宋" w:hAnsi="仿宋" w:eastAsia="仿宋" w:cs="仿宋"/>
          <w:sz w:val="24"/>
          <w:szCs w:val="24"/>
          <w:highlight w:val="none"/>
        </w:rPr>
        <w:t>.00%。</w:t>
      </w:r>
    </w:p>
    <w:p w14:paraId="5DB7588E">
      <w:pPr>
        <w:pStyle w:val="5"/>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采购包1： 付款条件说明：</w:t>
      </w:r>
      <w:r>
        <w:rPr>
          <w:rFonts w:hint="eastAsia" w:ascii="仿宋" w:hAnsi="仿宋" w:eastAsia="仿宋" w:cs="仿宋"/>
          <w:sz w:val="24"/>
          <w:szCs w:val="24"/>
          <w:highlight w:val="none"/>
          <w:lang w:val="en-US" w:eastAsia="zh-CN"/>
        </w:rPr>
        <w:t>项目完成经采购人验收合格后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达到付款条件起</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日内，支付合同总金额的</w:t>
      </w:r>
      <w:r>
        <w:rPr>
          <w:rFonts w:hint="eastAsia" w:ascii="仿宋" w:hAnsi="仿宋" w:eastAsia="仿宋" w:cs="仿宋"/>
          <w:sz w:val="24"/>
          <w:szCs w:val="24"/>
          <w:highlight w:val="none"/>
          <w:lang w:val="en-US" w:eastAsia="zh-CN"/>
        </w:rPr>
        <w:t>60</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eastAsia="zh-CN"/>
        </w:rPr>
        <w:t>。</w:t>
      </w:r>
    </w:p>
    <w:p w14:paraId="5691716C">
      <w:pPr>
        <w:keepNext w:val="0"/>
        <w:keepLines w:val="0"/>
        <w:pageBreakBefore w:val="0"/>
        <w:widowControl w:val="0"/>
        <w:numPr>
          <w:ilvl w:val="0"/>
          <w:numId w:val="0"/>
        </w:numPr>
        <w:tabs>
          <w:tab w:val="left" w:pos="1379"/>
        </w:tabs>
        <w:kinsoku/>
        <w:wordWrap/>
        <w:overflowPunct/>
        <w:topLinePunct w:val="0"/>
        <w:autoSpaceDE/>
        <w:autoSpaceDN/>
        <w:bidi w:val="0"/>
        <w:adjustRightInd w:val="0"/>
        <w:snapToGrid w:val="0"/>
        <w:spacing w:line="360" w:lineRule="auto"/>
        <w:ind w:firstLine="482" w:firstLineChars="200"/>
        <w:textAlignment w:val="auto"/>
        <w:outlineLvl w:val="9"/>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四</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服务时间、地点、</w:t>
      </w:r>
      <w:bookmarkEnd w:id="6"/>
      <w:bookmarkEnd w:id="7"/>
      <w:r>
        <w:rPr>
          <w:rFonts w:hint="eastAsia" w:ascii="仿宋" w:hAnsi="仿宋" w:eastAsia="仿宋" w:cs="仿宋"/>
          <w:b/>
          <w:bCs w:val="0"/>
          <w:color w:val="auto"/>
          <w:sz w:val="24"/>
          <w:szCs w:val="24"/>
          <w:highlight w:val="none"/>
          <w:lang w:val="en-US" w:eastAsia="zh-CN"/>
        </w:rPr>
        <w:t>交付条件</w:t>
      </w:r>
    </w:p>
    <w:p w14:paraId="32D9DF31">
      <w:pPr>
        <w:keepNext w:val="0"/>
        <w:keepLines w:val="0"/>
        <w:pageBreakBefore w:val="0"/>
        <w:widowControl w:val="0"/>
        <w:tabs>
          <w:tab w:val="left" w:pos="1379"/>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仿宋" w:hAnsi="仿宋" w:eastAsia="仿宋" w:cs="仿宋"/>
          <w:color w:val="auto"/>
          <w:sz w:val="24"/>
          <w:szCs w:val="24"/>
          <w:highlight w:val="none"/>
          <w:u w:val="single"/>
          <w:lang w:val="en-US"/>
        </w:rPr>
      </w:pPr>
      <w:bookmarkStart w:id="8" w:name="_Toc211911348"/>
      <w:bookmarkStart w:id="9" w:name="_Toc251768862"/>
      <w:bookmarkStart w:id="10" w:name="_Toc239233914"/>
      <w:bookmarkStart w:id="11" w:name="_Toc185395249"/>
      <w:bookmarkStart w:id="12" w:name="_Toc283019214"/>
      <w:bookmarkStart w:id="13" w:name="_Toc282696226"/>
      <w:bookmarkStart w:id="14" w:name="_Toc212019594"/>
      <w:bookmarkStart w:id="15" w:name="_Toc286993786"/>
      <w:bookmarkStart w:id="16" w:name="_Toc225670751"/>
      <w:bookmarkStart w:id="17" w:name="_Toc238984975"/>
      <w:bookmarkStart w:id="18" w:name="_Toc211854449"/>
      <w:bookmarkStart w:id="19" w:name="_Toc232492928"/>
      <w:bookmarkStart w:id="20" w:name="_Toc225244852"/>
      <w:bookmarkStart w:id="21" w:name="_Toc237145406"/>
      <w:bookmarkStart w:id="22" w:name="_Toc241833903"/>
      <w:bookmarkStart w:id="23" w:name="_Toc225654644"/>
      <w:bookmarkStart w:id="24" w:name="_Toc247334841"/>
      <w:bookmarkStart w:id="25" w:name="_Toc239568418"/>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single"/>
          <w:lang w:val="en-US" w:eastAsia="zh-CN"/>
        </w:rPr>
        <w:t xml:space="preserve">                                       </w:t>
      </w:r>
    </w:p>
    <w:p w14:paraId="2F2861D7">
      <w:pPr>
        <w:keepNext w:val="0"/>
        <w:keepLines w:val="0"/>
        <w:pageBreakBefore w:val="0"/>
        <w:widowControl w:val="0"/>
        <w:tabs>
          <w:tab w:val="left" w:pos="1379"/>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393D461F">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14:paraId="206C9D12">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甲方联系人：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ascii="仿宋" w:hAnsi="仿宋" w:eastAsia="仿宋" w:cs="仿宋"/>
          <w:color w:val="auto"/>
          <w:sz w:val="24"/>
          <w:szCs w:val="24"/>
          <w:highlight w:val="none"/>
          <w:lang w:val="en-US" w:eastAsia="zh-CN"/>
        </w:rPr>
        <w:t xml:space="preserve"> </w:t>
      </w:r>
    </w:p>
    <w:p w14:paraId="339F5443">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u w:val="none"/>
          <w:lang w:val="en-US" w:eastAsia="zh-CN"/>
        </w:rPr>
        <w:t>乙方联系人：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ascii="仿宋" w:hAnsi="仿宋" w:eastAsia="仿宋" w:cs="仿宋"/>
          <w:color w:val="auto"/>
          <w:sz w:val="24"/>
          <w:szCs w:val="24"/>
          <w:highlight w:val="none"/>
          <w:lang w:val="en-US" w:eastAsia="zh-CN"/>
        </w:rPr>
        <w:t xml:space="preserve"> </w:t>
      </w:r>
    </w:p>
    <w:p w14:paraId="7B75EA67">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lang w:val="en-US" w:eastAsia="zh-CN"/>
        </w:rPr>
      </w:pPr>
      <w:bookmarkStart w:id="26" w:name="_Toc5091"/>
      <w:bookmarkStart w:id="27" w:name="_Toc2870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五</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质量保证及售后服务</w:t>
      </w:r>
      <w:bookmarkEnd w:id="26"/>
      <w:bookmarkEnd w:id="27"/>
    </w:p>
    <w:p w14:paraId="59C696D1">
      <w:pPr>
        <w:pStyle w:val="6"/>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质量保证</w:t>
      </w:r>
      <w:r>
        <w:rPr>
          <w:rFonts w:hint="eastAsia" w:ascii="仿宋" w:hAnsi="仿宋" w:eastAsia="仿宋" w:cs="仿宋"/>
          <w:color w:val="auto"/>
          <w:sz w:val="24"/>
          <w:szCs w:val="24"/>
          <w:highlight w:val="none"/>
        </w:rPr>
        <w:t>：乙方应保证所提供的服务，符合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p>
    <w:p w14:paraId="17109E27">
      <w:pPr>
        <w:pStyle w:val="6"/>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14:paraId="5C111348">
      <w:pPr>
        <w:pStyle w:val="6"/>
        <w:keepNext w:val="0"/>
        <w:keepLines w:val="0"/>
        <w:pageBreakBefore w:val="0"/>
        <w:numPr>
          <w:ilvl w:val="0"/>
          <w:numId w:val="2"/>
        </w:numPr>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 </w:t>
      </w:r>
      <w:bookmarkStart w:id="28" w:name="_Toc27776"/>
      <w:bookmarkStart w:id="29" w:name="_Toc29761"/>
      <w:r>
        <w:rPr>
          <w:rFonts w:hint="eastAsia" w:ascii="仿宋" w:hAnsi="仿宋" w:eastAsia="仿宋" w:cs="仿宋"/>
          <w:b/>
          <w:bCs w:val="0"/>
          <w:color w:val="auto"/>
          <w:sz w:val="24"/>
          <w:szCs w:val="24"/>
          <w:highlight w:val="none"/>
          <w:lang w:val="en-US" w:eastAsia="zh-CN"/>
        </w:rPr>
        <w:t>验收</w:t>
      </w:r>
      <w:bookmarkEnd w:id="28"/>
      <w:bookmarkEnd w:id="29"/>
    </w:p>
    <w:p w14:paraId="3BE21924">
      <w:pPr>
        <w:pStyle w:val="6"/>
        <w:keepNext w:val="0"/>
        <w:keepLines w:val="0"/>
        <w:pageBreakBefore w:val="0"/>
        <w:numPr>
          <w:ilvl w:val="0"/>
          <w:numId w:val="0"/>
        </w:numPr>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14:paraId="53E5FF7C">
      <w:pPr>
        <w:pStyle w:val="6"/>
        <w:keepNext w:val="0"/>
        <w:keepLines w:val="0"/>
        <w:pageBreakBefore w:val="0"/>
        <w:numPr>
          <w:ilvl w:val="0"/>
          <w:numId w:val="0"/>
        </w:numPr>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30" w:name="_Toc23750"/>
      <w:bookmarkStart w:id="31" w:name="_Toc19571"/>
      <w:r>
        <w:rPr>
          <w:rFonts w:hint="eastAsia" w:ascii="仿宋" w:hAnsi="仿宋" w:eastAsia="仿宋" w:cs="仿宋"/>
          <w:b/>
          <w:bCs w:val="0"/>
          <w:color w:val="auto"/>
          <w:sz w:val="24"/>
          <w:szCs w:val="24"/>
          <w:highlight w:val="none"/>
        </w:rPr>
        <w:t>第七条  无产权瑕疵条款</w:t>
      </w:r>
      <w:bookmarkEnd w:id="30"/>
      <w:bookmarkEnd w:id="31"/>
    </w:p>
    <w:p w14:paraId="73127D15">
      <w:pPr>
        <w:keepNext w:val="0"/>
        <w:keepLines w:val="0"/>
        <w:pageBreakBefore w:val="0"/>
        <w:tabs>
          <w:tab w:val="left" w:pos="1440"/>
        </w:tabs>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14:paraId="69CC9F60">
      <w:pPr>
        <w:keepNext w:val="0"/>
        <w:keepLines w:val="0"/>
        <w:pageBreakBefore w:val="0"/>
        <w:kinsoku/>
        <w:overflowPunct/>
        <w:topLinePunct w:val="0"/>
        <w:autoSpaceDE/>
        <w:autoSpaceDN/>
        <w:bidi w:val="0"/>
        <w:adjustRightInd w:val="0"/>
        <w:snapToGrid w:val="0"/>
        <w:spacing w:line="360" w:lineRule="auto"/>
        <w:ind w:firstLine="482" w:firstLineChars="200"/>
        <w:textAlignment w:val="baseline"/>
        <w:outlineLvl w:val="9"/>
        <w:rPr>
          <w:rFonts w:hint="eastAsia" w:ascii="仿宋" w:hAnsi="仿宋" w:eastAsia="仿宋" w:cs="仿宋"/>
          <w:b/>
          <w:bCs w:val="0"/>
          <w:color w:val="auto"/>
          <w:sz w:val="24"/>
          <w:szCs w:val="24"/>
          <w:highlight w:val="none"/>
        </w:rPr>
      </w:pPr>
      <w:bookmarkStart w:id="32" w:name="_Toc18315"/>
      <w:bookmarkStart w:id="33" w:name="_Toc12634"/>
      <w:r>
        <w:rPr>
          <w:rFonts w:hint="eastAsia" w:ascii="仿宋" w:hAnsi="仿宋" w:eastAsia="仿宋" w:cs="仿宋"/>
          <w:b/>
          <w:bCs w:val="0"/>
          <w:color w:val="auto"/>
          <w:sz w:val="24"/>
          <w:szCs w:val="24"/>
          <w:highlight w:val="none"/>
        </w:rPr>
        <w:t>第八条  甲方的权利和义务</w:t>
      </w:r>
      <w:bookmarkEnd w:id="32"/>
      <w:bookmarkEnd w:id="33"/>
    </w:p>
    <w:p w14:paraId="5E673572">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2FE4383">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2.甲方有权依据双方签订的考评办法对乙方提供的服务进行定期考评。当考评结果未达到标准时，有权依据考评办法约定的数额扣除履约保证金。</w:t>
      </w:r>
    </w:p>
    <w:p w14:paraId="5C627F69">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14:paraId="7954AC4F">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14:paraId="7F4C85E7">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14:paraId="7EC42035">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34" w:name="_Toc5806"/>
      <w:r>
        <w:rPr>
          <w:rFonts w:hint="eastAsia" w:ascii="仿宋" w:hAnsi="仿宋" w:eastAsia="仿宋" w:cs="仿宋"/>
          <w:b/>
          <w:bCs w:val="0"/>
          <w:color w:val="auto"/>
          <w:sz w:val="24"/>
          <w:szCs w:val="24"/>
          <w:highlight w:val="none"/>
          <w:lang w:val="en-US" w:eastAsia="zh-CN"/>
        </w:rPr>
        <w:t>第九</w:t>
      </w:r>
      <w:r>
        <w:rPr>
          <w:rFonts w:hint="eastAsia" w:ascii="仿宋" w:hAnsi="仿宋" w:eastAsia="仿宋" w:cs="仿宋"/>
          <w:b/>
          <w:bCs w:val="0"/>
          <w:color w:val="auto"/>
          <w:sz w:val="24"/>
          <w:szCs w:val="24"/>
          <w:highlight w:val="none"/>
        </w:rPr>
        <w:t>条  乙方的权利和义务</w:t>
      </w:r>
      <w:bookmarkEnd w:id="34"/>
    </w:p>
    <w:p w14:paraId="5D19ECDB">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1.对本合同规定的委托服务范围内的项目享有管理权及服务义务。</w:t>
      </w:r>
    </w:p>
    <w:p w14:paraId="6C16E881">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14:paraId="625C432D">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14:paraId="0617871E">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bCs/>
          <w:color w:val="auto"/>
          <w:sz w:val="24"/>
          <w:szCs w:val="24"/>
          <w:highlight w:val="none"/>
        </w:rPr>
        <w:t>接受项目行业管理部门及政府有关部门的指导，接受甲方的监督。</w:t>
      </w:r>
    </w:p>
    <w:p w14:paraId="7E84CDF3">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14:paraId="170D13F1">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35" w:name="_Toc17336"/>
      <w:bookmarkStart w:id="36" w:name="_Toc29819"/>
      <w:r>
        <w:rPr>
          <w:rFonts w:hint="eastAsia" w:ascii="仿宋" w:hAnsi="仿宋" w:eastAsia="仿宋" w:cs="仿宋"/>
          <w:b/>
          <w:bCs w:val="0"/>
          <w:color w:val="auto"/>
          <w:sz w:val="24"/>
          <w:szCs w:val="24"/>
          <w:highlight w:val="none"/>
        </w:rPr>
        <w:t>第十条  违约责任</w:t>
      </w:r>
      <w:bookmarkEnd w:id="35"/>
      <w:bookmarkEnd w:id="36"/>
    </w:p>
    <w:p w14:paraId="40DE9886">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14:paraId="22271729">
      <w:pPr>
        <w:keepNext w:val="0"/>
        <w:keepLines w:val="0"/>
        <w:pageBreakBefore w:val="0"/>
        <w:kinsoku/>
        <w:overflowPunct/>
        <w:topLinePunct w:val="0"/>
        <w:autoSpaceDE/>
        <w:autoSpaceDN/>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2F8C5FAF">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37" w:name="_Toc18652"/>
      <w:bookmarkStart w:id="38" w:name="_Toc20912"/>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条  不可抗力事件处理</w:t>
      </w:r>
      <w:bookmarkEnd w:id="37"/>
      <w:bookmarkEnd w:id="38"/>
    </w:p>
    <w:p w14:paraId="769A3C57">
      <w:pPr>
        <w:keepNext w:val="0"/>
        <w:keepLines w:val="0"/>
        <w:pageBreakBefore w:val="0"/>
        <w:tabs>
          <w:tab w:val="left" w:pos="0"/>
        </w:tabs>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14:paraId="67FFD8AF">
      <w:pPr>
        <w:keepNext w:val="0"/>
        <w:keepLines w:val="0"/>
        <w:pageBreakBefore w:val="0"/>
        <w:tabs>
          <w:tab w:val="left" w:pos="0"/>
        </w:tabs>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14:paraId="5BD8F0E9">
      <w:pPr>
        <w:keepNext w:val="0"/>
        <w:keepLines w:val="0"/>
        <w:pageBreakBefore w:val="0"/>
        <w:tabs>
          <w:tab w:val="left" w:pos="0"/>
        </w:tabs>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7FAE793">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39" w:name="_Toc6795"/>
      <w:bookmarkStart w:id="40" w:name="_Toc13911"/>
      <w:bookmarkStart w:id="41" w:name="_Toc225244857"/>
      <w:bookmarkStart w:id="42" w:name="_Toc232492933"/>
      <w:bookmarkStart w:id="43" w:name="_Toc237145411"/>
      <w:bookmarkStart w:id="44" w:name="_Toc238984980"/>
      <w:bookmarkStart w:id="45" w:name="_Toc239233919"/>
      <w:bookmarkStart w:id="46" w:name="_Toc225670756"/>
      <w:bookmarkStart w:id="47" w:name="_Toc239568423"/>
      <w:bookmarkStart w:id="48" w:name="_Toc212019599"/>
      <w:bookmarkStart w:id="49" w:name="_Toc211854454"/>
      <w:bookmarkStart w:id="50" w:name="_Toc251768867"/>
      <w:bookmarkStart w:id="51" w:name="_Toc211911353"/>
      <w:bookmarkStart w:id="52" w:name="_Toc241833908"/>
      <w:bookmarkStart w:id="53" w:name="_Toc185395254"/>
      <w:bookmarkStart w:id="54" w:name="_Toc225654649"/>
      <w:bookmarkStart w:id="55" w:name="_Toc286993792"/>
      <w:bookmarkStart w:id="56" w:name="_Toc247334846"/>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合同的变更和终止</w:t>
      </w:r>
      <w:bookmarkEnd w:id="39"/>
      <w:bookmarkEnd w:id="40"/>
    </w:p>
    <w:p w14:paraId="423F9971">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73FEA2AC">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lang w:val="en-US" w:eastAsia="zh-CN"/>
        </w:rPr>
      </w:pPr>
      <w:bookmarkStart w:id="57" w:name="_Toc9175"/>
      <w:bookmarkStart w:id="58" w:name="_Toc5821"/>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bCs w:val="0"/>
          <w:color w:val="auto"/>
          <w:sz w:val="24"/>
          <w:szCs w:val="24"/>
          <w:highlight w:val="none"/>
          <w:lang w:val="en-US" w:eastAsia="zh-CN"/>
        </w:rPr>
        <w:t>争议解决条款</w:t>
      </w:r>
      <w:bookmarkEnd w:id="57"/>
      <w:bookmarkEnd w:id="58"/>
    </w:p>
    <w:p w14:paraId="5E897223">
      <w:pPr>
        <w:pStyle w:val="6"/>
        <w:keepNext w:val="0"/>
        <w:keepLines w:val="0"/>
        <w:pageBreakBefore w:val="0"/>
        <w:kinsoku/>
        <w:overflowPunct/>
        <w:topLinePunct w:val="0"/>
        <w:autoSpaceDE/>
        <w:autoSpaceDN/>
        <w:bidi w:val="0"/>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在执行本合同中发生的或与本合同有关的争端，双方应通过友好协商解决，经协商在</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天内不能达成协议时，则采取：向甲方所在地有管辖权的人民法院提起诉讼；</w:t>
      </w:r>
    </w:p>
    <w:p w14:paraId="1AF1F688">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59" w:name="_Toc286993793"/>
      <w:bookmarkStart w:id="60" w:name="_Toc238984981"/>
      <w:bookmarkStart w:id="61" w:name="_Toc247334847"/>
      <w:bookmarkStart w:id="62" w:name="_Toc232492934"/>
      <w:bookmarkStart w:id="63" w:name="_Toc212019600"/>
      <w:bookmarkStart w:id="64" w:name="_Toc282696231"/>
      <w:bookmarkStart w:id="65" w:name="_Toc225654650"/>
      <w:bookmarkStart w:id="66" w:name="_Toc251768868"/>
      <w:bookmarkStart w:id="67" w:name="_Toc225244858"/>
      <w:bookmarkStart w:id="68" w:name="_Toc185395255"/>
      <w:bookmarkStart w:id="69" w:name="_Toc225670757"/>
      <w:bookmarkStart w:id="70" w:name="_Toc211911354"/>
      <w:bookmarkStart w:id="71" w:name="_Toc239233920"/>
      <w:bookmarkStart w:id="72" w:name="_Toc237145412"/>
      <w:bookmarkStart w:id="73" w:name="_Toc211854455"/>
      <w:bookmarkStart w:id="74" w:name="_Toc241833909"/>
      <w:bookmarkStart w:id="75" w:name="_Toc239568424"/>
      <w:bookmarkStart w:id="76" w:name="_Toc283019219"/>
      <w:bookmarkStart w:id="77" w:name="_Toc26582"/>
      <w:bookmarkStart w:id="78" w:name="_Toc233"/>
      <w:r>
        <w:rPr>
          <w:rFonts w:hint="eastAsia" w:ascii="仿宋" w:hAnsi="仿宋" w:eastAsia="仿宋" w:cs="仿宋"/>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bCs w:val="0"/>
          <w:color w:val="auto"/>
          <w:sz w:val="24"/>
          <w:szCs w:val="24"/>
          <w:highlight w:val="none"/>
        </w:rPr>
        <w:t>生效及其他</w:t>
      </w:r>
      <w:bookmarkEnd w:id="77"/>
      <w:bookmarkEnd w:id="78"/>
    </w:p>
    <w:p w14:paraId="667DF48E">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14:paraId="1B3D5F17">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04FF9E2A">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14:paraId="5B814397">
      <w:pPr>
        <w:keepNext w:val="0"/>
        <w:keepLines w:val="0"/>
        <w:pageBreakBefore w:val="0"/>
        <w:tabs>
          <w:tab w:val="left" w:pos="1379"/>
        </w:tabs>
        <w:kinsoku/>
        <w:overflowPunct/>
        <w:topLinePunct w:val="0"/>
        <w:autoSpaceDE/>
        <w:autoSpaceDN/>
        <w:bidi w:val="0"/>
        <w:adjustRightInd w:val="0"/>
        <w:snapToGrid w:val="0"/>
        <w:spacing w:line="360" w:lineRule="auto"/>
        <w:ind w:firstLine="482" w:firstLineChars="200"/>
        <w:outlineLvl w:val="9"/>
        <w:rPr>
          <w:rFonts w:hint="eastAsia" w:ascii="仿宋" w:hAnsi="仿宋" w:eastAsia="仿宋" w:cs="仿宋"/>
          <w:b/>
          <w:bCs w:val="0"/>
          <w:color w:val="auto"/>
          <w:sz w:val="24"/>
          <w:szCs w:val="24"/>
          <w:highlight w:val="none"/>
        </w:rPr>
      </w:pPr>
      <w:bookmarkStart w:id="79" w:name="_Toc11106"/>
      <w:bookmarkStart w:id="80" w:name="_Toc15608"/>
      <w:r>
        <w:rPr>
          <w:rFonts w:hint="eastAsia" w:ascii="仿宋" w:hAnsi="仿宋" w:eastAsia="仿宋" w:cs="仿宋"/>
          <w:b/>
          <w:bCs w:val="0"/>
          <w:color w:val="auto"/>
          <w:sz w:val="24"/>
          <w:szCs w:val="24"/>
          <w:highlight w:val="none"/>
        </w:rPr>
        <w:t>第十五条  附件</w:t>
      </w:r>
      <w:bookmarkEnd w:id="79"/>
      <w:bookmarkEnd w:id="80"/>
    </w:p>
    <w:p w14:paraId="22ED5262">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w:t>
      </w:r>
    </w:p>
    <w:p w14:paraId="72B24BEF">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w:t>
      </w:r>
      <w:r>
        <w:rPr>
          <w:rFonts w:hint="eastAsia" w:ascii="仿宋" w:hAnsi="仿宋" w:eastAsia="仿宋" w:cs="仿宋"/>
          <w:color w:val="auto"/>
          <w:sz w:val="24"/>
          <w:szCs w:val="24"/>
          <w:highlight w:val="none"/>
          <w:lang w:eastAsia="zh-CN"/>
        </w:rPr>
        <w:t>）</w:t>
      </w:r>
    </w:p>
    <w:p w14:paraId="535349C0">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w:t>
      </w:r>
    </w:p>
    <w:p w14:paraId="4F97C350">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通知书</w:t>
      </w:r>
    </w:p>
    <w:p w14:paraId="521495A3">
      <w:pPr>
        <w:pStyle w:val="8"/>
        <w:keepNext w:val="0"/>
        <w:keepLines w:val="0"/>
        <w:pageBreakBefore w:val="0"/>
        <w:kinsoku/>
        <w:overflowPunct/>
        <w:topLinePunct w:val="0"/>
        <w:autoSpaceDE/>
        <w:autoSpaceDN/>
        <w:bidi w:val="0"/>
        <w:adjustRightInd w:val="0"/>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14:paraId="77C01149">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p>
    <w:p w14:paraId="5A1CA9E1">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p>
    <w:p w14:paraId="04195A21">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p>
    <w:p w14:paraId="3ADD2834">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14:paraId="581685D4">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7CF3B9C5">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5D92C8ED">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6BE33F1E">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25E2CA5B">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纳税人识别号：</w:t>
      </w:r>
    </w:p>
    <w:p w14:paraId="34EB267A">
      <w:pPr>
        <w:keepNext w:val="0"/>
        <w:keepLines w:val="0"/>
        <w:pageBreakBefore w:val="0"/>
        <w:kinsoku/>
        <w:overflowPunct/>
        <w:topLinePunct w:val="0"/>
        <w:autoSpaceDE/>
        <w:autoSpaceDN/>
        <w:bidi w:val="0"/>
        <w:adjustRightInd w:val="0"/>
        <w:snapToGrid w:val="0"/>
        <w:spacing w:line="360" w:lineRule="auto"/>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14:paraId="57358ABC">
      <w:pPr>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6874C06F">
      <w:pPr>
        <w:pStyle w:val="2"/>
        <w:keepNext w:val="0"/>
        <w:keepLines w:val="0"/>
        <w:pageBreakBefore w:val="0"/>
        <w:kinsoku/>
        <w:overflowPunct/>
        <w:topLinePunct w:val="0"/>
        <w:autoSpaceDE/>
        <w:autoSpaceDN/>
        <w:bidi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255F11F">
      <w:bookmarkStart w:id="81" w:name="_GoBack"/>
      <w:bookmarkEnd w:id="8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41F4A"/>
    <w:rsid w:val="1BF4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 w:type="paragraph" w:customStyle="1" w:styleId="6">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7">
    <w:name w:val="标书正文1"/>
    <w:basedOn w:val="1"/>
    <w:next w:val="2"/>
    <w:autoRedefine/>
    <w:qFormat/>
    <w:uiPriority w:val="0"/>
    <w:pPr>
      <w:spacing w:line="520" w:lineRule="exact"/>
      <w:ind w:firstLine="640" w:firstLineChars="200"/>
    </w:pPr>
  </w:style>
  <w:style w:type="paragraph" w:customStyle="1" w:styleId="8">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2026-08-07T03:30:00Z</dcterms:created>
  <dc:creator>XXIA</dc:creator>
  <cp:lastModifiedBy>XXIA</cp:lastModifiedBy>
  <dcterms:modified xsi:type="dcterms:W3CDTF">2026-08-07T03:30:46Z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AD2FCCB120904DA096B8A88F5E5A2CD1_11</vt:lpwstr>
  </property>
  <property fmtid="{D5CDD505-2E9C-101B-9397-08002B2CF9AE}" pid="4" name="KSOTemplateDocerSaveRecord">
    <vt:lpwstr>eyJoZGlkIjoiNzRkODU0NWM1NTRlNTZjMDFhNjAyNDM3ZDE1ZjE0YTMiLCJ1c2VySWQiOiIzMTQzODkxMTYifQ==</vt:lpwstr>
  </property>
</Properties>
</file>