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版本号：FMY-ZBDL-2026-03220260716001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汉中市西汉三遗址历史文化街区保护规划编制项目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FMY-ZBDL-2026-032</w:t>
      </w:r>
      <w:r>
        <w:br/>
      </w:r>
      <w:r>
        <w:br/>
      </w:r>
      <w:r>
        <w:br/>
      </w:r>
    </w:p>
    <w:p>
      <w:pPr>
        <w:pStyle w:val="null3"/>
        <w:jc w:val="center"/>
        <w:outlineLvl w:val="2"/>
      </w:pPr>
      <w:r>
        <w:rPr>
          <w:rFonts w:ascii="仿宋_GB2312" w:hAnsi="仿宋_GB2312" w:cs="仿宋_GB2312" w:eastAsia="仿宋_GB2312"/>
          <w:sz w:val="28"/>
          <w:b/>
        </w:rPr>
        <w:t>汉中市住房和城乡建设局</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汉中市住房和城乡建设局</w:t>
      </w:r>
      <w:r>
        <w:rPr>
          <w:rFonts w:ascii="仿宋_GB2312" w:hAnsi="仿宋_GB2312" w:cs="仿宋_GB2312" w:eastAsia="仿宋_GB2312"/>
        </w:rPr>
        <w:t>委托，拟对</w:t>
      </w:r>
      <w:r>
        <w:rPr>
          <w:rFonts w:ascii="仿宋_GB2312" w:hAnsi="仿宋_GB2312" w:cs="仿宋_GB2312" w:eastAsia="仿宋_GB2312"/>
        </w:rPr>
        <w:t>汉中市西汉三遗址历史文化街区保护规划编制项目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FMY-ZBDL-2026-032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汉中市西汉三遗址历史文化街区保护规划编制项目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西汉三遗址历史文化街区保护规划编制项目，主要包括（1）评估历史文化价值、特点和存在问题；（2）确定保护目标、保护原则和保护内容；（3）针对核心保护范围和建设控制地带，提出保护管控要求；（4）研判建筑情况，提出保护整治措施；（5）从整体风貌、街巷空间、附属设施等方面提出改善引导措施；（6）提出历史文化遗产展示利用的规划策略；（7）提出改善交通等基础设施、公共服务设施、居住环境的规划策略；（8）配套项目清单。（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2、法定代表人或授权委托人：法定代表人参加磋商时，提供本人身份证；授权代表参加磋商时，提供法定代表人授权书和被授权人身份证；非法人单位参照执行；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3、供应商资质：供应商需具备城乡规划甲级资质；</w:t>
      </w:r>
    </w:p>
    <w:p>
      <w:pPr>
        <w:pStyle w:val="null3"/>
      </w:pPr>
      <w:r>
        <w:rPr>
          <w:rFonts w:ascii="仿宋_GB2312" w:hAnsi="仿宋_GB2312" w:cs="仿宋_GB2312" w:eastAsia="仿宋_GB2312"/>
        </w:rPr>
        <w:t>4、项目负责人：拟派项目负责人须具有注册城乡规划师资格证书或具备规划类相关专业高级工程师及以上专业技术职称；</w:t>
      </w:r>
    </w:p>
    <w:p>
      <w:pPr>
        <w:pStyle w:val="null3"/>
      </w:pPr>
      <w:r>
        <w:rPr>
          <w:rFonts w:ascii="仿宋_GB2312" w:hAnsi="仿宋_GB2312" w:cs="仿宋_GB2312" w:eastAsia="仿宋_GB2312"/>
        </w:rPr>
        <w:t>5、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须提供《汉中市政府采购供应商资格承诺函》；</w:t>
      </w:r>
    </w:p>
    <w:p>
      <w:pPr>
        <w:pStyle w:val="null3"/>
      </w:pPr>
      <w:r>
        <w:rPr>
          <w:rFonts w:ascii="仿宋_GB2312" w:hAnsi="仿宋_GB2312" w:cs="仿宋_GB2312" w:eastAsia="仿宋_GB2312"/>
        </w:rPr>
        <w:t>6、本项目不接受联合体投标：本项目不接受联合体投标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胡源邈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0916-2241353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杨海蜂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19371441421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招标代理服务费管理暂行办法〉的通知》（计价格【2002】1980号）、《国家发展和改革委员会办公厅关于招标代理服务收费有关问题的通知》（发改办价格〔2003〕857号）规定x90%计取。（本项目招标代理服务费人民币18000元整。） 2、成交供应商在领取中标通知书前，须向采购代理机构一次性支付招标代理服务费。 3、代理费缴纳账户信息 单位名称：陕西方铭壹工程项目管理有限公司 开户银行：中国邮政储蓄银行股份有限公司西安市电子城支行 银行账户：961006010012728952 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汉中市住房和城乡建设局</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陕西方铭壹工程项目管理有限公司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（一）乙方为履行本合同义务所形成的服务成果的知识产权归甲方所有。乙方应于成果交付时同步提交全部设计底稿、过程文件及数据包。 （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包括但不限于诉讼费、律师费、行政处罚等间接损失。 乙方保证所提供的服务的所有权完全属于乙方且无任何抵押、查封等产权瑕疵。如有产权瑕疵的，视为乙方违约。乙方应负由此而产生的一切损失。若发生第三方主张权利情形，乙方应在收到甲方通知后24小时内提供有效担保，并承担甲方因此产生的全部诉讼费、律师费及保全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符合国家及行业标准要求，依据的相关法律法规 ： 《历史文化名城保护规划标准》、 《城乡历史文化保护利用项目规范》、《中华人民共和国城乡规划法》、 《中华人民共和国文物保护法》 、《中华人民共和国非物质文化遗产法》、 《陕西省文物保护条例》、 《陕西省历史文化名城名镇名村保护条例》 、《陕西省非物质文化遗产条例》 、《陕西省革命文物保护利用条例》。</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联系人：杨海蜂</w:t>
      </w:r>
    </w:p>
    <w:p>
      <w:pPr>
        <w:pStyle w:val="null3"/>
      </w:pPr>
      <w:r>
        <w:rPr>
          <w:rFonts w:ascii="仿宋_GB2312" w:hAnsi="仿宋_GB2312" w:cs="仿宋_GB2312" w:eastAsia="仿宋_GB2312"/>
        </w:rPr>
        <w:t>联系电话：19371441421</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西汉三遗址历史文化街区保护规划编制项目，主要包括（1）评估历史文化价值、特点和存在问题；（2）确定保护目标、保护原则和保护内容；（3）针对核心保护范围和建设控制地带，提出保护管控要求；（4）研判建筑情况，提出保护整治措施；（5）从整体风貌、街巷空间、附属设施等方面提出改善引导措施；（6）提出历史文化遗产展示利用的规划策略；（7）提出改善交通等基础设施、公共服务设施、居住环境的规划策略；（8）配套项目清单。（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1,670,000.00</w:t>
      </w:r>
    </w:p>
    <w:p>
      <w:pPr>
        <w:pStyle w:val="null3"/>
      </w:pPr>
      <w:r>
        <w:rPr>
          <w:rFonts w:ascii="仿宋_GB2312" w:hAnsi="仿宋_GB2312" w:cs="仿宋_GB2312" w:eastAsia="仿宋_GB2312"/>
        </w:rPr>
        <w:t>采购包最高限价（元）: 1,670,000.00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汉中市西汉三遗址历史文化街区保护规划编制项目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标的名称：汉中市西汉三遗址历史文化街区保护规划编制项目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按照《历史文化名城名镇名村保护条例》《陕西省历史文化名城名镇名村保护条例》《陕西省</w:t>
            </w:r>
            <w:r>
              <w:rPr>
                <w:rFonts w:ascii="仿宋_GB2312" w:hAnsi="仿宋_GB2312" w:cs="仿宋_GB2312" w:eastAsia="仿宋_GB2312"/>
                <w:sz w:val="21"/>
              </w:rPr>
              <w:t>2022年城乡历史文化保护传承工作方案（陕建城发〔2022〕4号）》工作要求，开展本次工作。</w:t>
            </w:r>
          </w:p>
          <w:p>
            <w:pPr>
              <w:pStyle w:val="null3"/>
              <w:jc w:val="both"/>
            </w:pPr>
            <w:r>
              <w:rPr>
                <w:rFonts w:ascii="仿宋_GB2312" w:hAnsi="仿宋_GB2312" w:cs="仿宋_GB2312" w:eastAsia="仿宋_GB2312"/>
                <w:sz w:val="21"/>
                <w:b/>
              </w:rPr>
              <w:t>1.主要内容</w:t>
            </w:r>
            <w:r>
              <w:rPr>
                <w:rFonts w:ascii="仿宋_GB2312" w:hAnsi="仿宋_GB2312" w:cs="仿宋_GB2312" w:eastAsia="仿宋_GB2312"/>
                <w:sz w:val="21"/>
              </w:rPr>
              <w:t>：</w:t>
            </w:r>
          </w:p>
          <w:p>
            <w:pPr>
              <w:pStyle w:val="null3"/>
              <w:jc w:val="both"/>
            </w:pPr>
            <w:r>
              <w:rPr>
                <w:rFonts w:ascii="仿宋_GB2312" w:hAnsi="仿宋_GB2312" w:cs="仿宋_GB2312" w:eastAsia="仿宋_GB2312"/>
              </w:rPr>
              <w:t>（1）评估历史文化价值、特点和存在问题；</w:t>
            </w:r>
          </w:p>
          <w:p>
            <w:pPr>
              <w:pStyle w:val="null3"/>
              <w:jc w:val="both"/>
            </w:pPr>
            <w:r>
              <w:rPr>
                <w:rFonts w:ascii="仿宋_GB2312" w:hAnsi="仿宋_GB2312" w:cs="仿宋_GB2312" w:eastAsia="仿宋_GB2312"/>
              </w:rPr>
              <w:t>（2）确定保护目标、保护原则和保护内容；</w:t>
            </w:r>
          </w:p>
          <w:p>
            <w:pPr>
              <w:pStyle w:val="null3"/>
              <w:jc w:val="both"/>
            </w:pPr>
            <w:r>
              <w:rPr>
                <w:rFonts w:ascii="仿宋_GB2312" w:hAnsi="仿宋_GB2312" w:cs="仿宋_GB2312" w:eastAsia="仿宋_GB2312"/>
              </w:rPr>
              <w:t>（3）针对核心保护范围和建设控制地带，提出保护管控要求；</w:t>
            </w:r>
          </w:p>
          <w:p>
            <w:pPr>
              <w:pStyle w:val="null3"/>
              <w:jc w:val="both"/>
            </w:pPr>
            <w:r>
              <w:rPr>
                <w:rFonts w:ascii="仿宋_GB2312" w:hAnsi="仿宋_GB2312" w:cs="仿宋_GB2312" w:eastAsia="仿宋_GB2312"/>
              </w:rPr>
              <w:t>（4）研判建筑情况，提出保护整治措施；</w:t>
            </w:r>
          </w:p>
          <w:p>
            <w:pPr>
              <w:pStyle w:val="null3"/>
              <w:jc w:val="both"/>
            </w:pPr>
            <w:r>
              <w:rPr>
                <w:rFonts w:ascii="仿宋_GB2312" w:hAnsi="仿宋_GB2312" w:cs="仿宋_GB2312" w:eastAsia="仿宋_GB2312"/>
              </w:rPr>
              <w:t>（5）从整体风貌、街巷空间、附属设施等方面提出改善引导措施；</w:t>
            </w:r>
          </w:p>
          <w:p>
            <w:pPr>
              <w:pStyle w:val="null3"/>
              <w:jc w:val="both"/>
            </w:pPr>
            <w:r>
              <w:rPr>
                <w:rFonts w:ascii="仿宋_GB2312" w:hAnsi="仿宋_GB2312" w:cs="仿宋_GB2312" w:eastAsia="仿宋_GB2312"/>
              </w:rPr>
              <w:t>（6）提出历史文化遗产展示利用的规划策略；</w:t>
            </w:r>
          </w:p>
          <w:p>
            <w:pPr>
              <w:pStyle w:val="null3"/>
              <w:jc w:val="both"/>
            </w:pPr>
            <w:r>
              <w:rPr>
                <w:rFonts w:ascii="仿宋_GB2312" w:hAnsi="仿宋_GB2312" w:cs="仿宋_GB2312" w:eastAsia="仿宋_GB2312"/>
              </w:rPr>
              <w:t>（7）提出改善交通等基础设施、公共服务设施、居住环境的规划策略；</w:t>
            </w:r>
          </w:p>
          <w:p>
            <w:pPr>
              <w:pStyle w:val="null3"/>
              <w:jc w:val="both"/>
            </w:pPr>
            <w:r>
              <w:rPr>
                <w:rFonts w:ascii="仿宋_GB2312" w:hAnsi="仿宋_GB2312" w:cs="仿宋_GB2312" w:eastAsia="仿宋_GB2312"/>
              </w:rPr>
              <w:t>（8）配套项目清单。</w:t>
            </w:r>
          </w:p>
          <w:p>
            <w:pPr>
              <w:pStyle w:val="null3"/>
              <w:jc w:val="both"/>
            </w:pPr>
            <w:r>
              <w:rPr>
                <w:rFonts w:ascii="仿宋_GB2312" w:hAnsi="仿宋_GB2312" w:cs="仿宋_GB2312" w:eastAsia="仿宋_GB2312"/>
                <w:sz w:val="21"/>
                <w:b/>
              </w:rPr>
              <w:t>2.成果</w:t>
            </w:r>
          </w:p>
          <w:p>
            <w:pPr>
              <w:pStyle w:val="null3"/>
              <w:jc w:val="both"/>
            </w:pPr>
            <w:r>
              <w:rPr>
                <w:rFonts w:ascii="仿宋_GB2312" w:hAnsi="仿宋_GB2312" w:cs="仿宋_GB2312" w:eastAsia="仿宋_GB2312"/>
                <w:sz w:val="21"/>
              </w:rPr>
              <w:t>规划文本、图纸、说明书等，</w:t>
            </w:r>
            <w:r>
              <w:rPr>
                <w:rFonts w:ascii="仿宋_GB2312" w:hAnsi="仿宋_GB2312" w:cs="仿宋_GB2312" w:eastAsia="仿宋_GB2312"/>
                <w:sz w:val="21"/>
              </w:rPr>
              <w:t>Word或PDF格式文件</w:t>
            </w:r>
          </w:p>
          <w:p>
            <w:pPr>
              <w:pStyle w:val="null3"/>
              <w:jc w:val="both"/>
            </w:pPr>
            <w:r>
              <w:rPr>
                <w:rFonts w:ascii="仿宋_GB2312" w:hAnsi="仿宋_GB2312" w:cs="仿宋_GB2312" w:eastAsia="仿宋_GB2312"/>
                <w:sz w:val="21"/>
              </w:rPr>
              <w:t>（纸质版</w:t>
            </w:r>
            <w:r>
              <w:rPr>
                <w:rFonts w:ascii="仿宋_GB2312" w:hAnsi="仿宋_GB2312" w:cs="仿宋_GB2312" w:eastAsia="仿宋_GB2312"/>
                <w:sz w:val="21"/>
              </w:rPr>
              <w:t>6套，电子版2份刻录成DVD）</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具有履行合同所必需的专业技术能力人员，为保证项目质量，供应商应配置足够数量的技术人员确保完成项目履约。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符合完成本项目服务内容的设备设施，确保完成项目履约。</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合同签订之日起12个月。 （注：因受上报审批进程影响，编制周期可根据实际情况顺延）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符合国家及行业标准要求，依据的相关法律法规 ： 《历史文化名城保护规划标准》、 《城乡历史文化保护利用项目规范》、《中华人民共和国城乡规划法》、 《中华人民共和国文物保护法》 、《中华人民共和国非物质文化遗产法》、 《陕西省文物保护条例》、 《陕西省历史文化名城名镇名村保护条例》 、《陕西省非物质文化遗产条例》 、《陕西省革命文物保护利用条例》。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进度款，乙方提供的规划编制成果通过省住建厅技术审查后，达到付款条件起7个工作日内，支付合同总金额的30.0%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进度款，乙方提供的规划编制成果获市政府批复后，达到付款条件起7个工作日内，支付合同总金额的20.0%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3.甲方发现乙方人员资质造假可立即终止合同。 任何一方不履行本合同约定的义务或履行义务不符合本合同约定的，视为违约，应停止违约行为，并承担继续履行、采取补救措施或赔偿损失等违约责任；因履行本合同产生的争议，甲乙双方应友好协商解决；协商不成的，双方同意向甲方住所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供应商需具备城乡规划甲级资质；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拟派项目负责人须具有注册城乡规划师资格证书或具备规划类相关专业高级工程师及以上专业技术职称；</w:t>
            </w:r>
          </w:p>
        </w:tc>
        <w:tc>
          <w:tcPr>
            <w:tcW w:type="dxa" w:w="1661"/>
          </w:tcPr>
          <w:p>
            <w:pPr>
              <w:pStyle w:val="null3"/>
            </w:pPr>
            <w:r>
              <w:rPr>
                <w:rFonts w:ascii="仿宋_GB2312" w:hAnsi="仿宋_GB2312" w:cs="仿宋_GB2312" w:eastAsia="仿宋_GB2312"/>
              </w:rPr>
              <w:t>拟投入人员及设备</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磋商无效条件：响应文件未按磋商文件要求签署、盖章的</w:t>
            </w:r>
          </w:p>
        </w:tc>
        <w:tc>
          <w:tcPr>
            <w:tcW w:type="dxa" w:w="1661"/>
          </w:tcPr>
          <w:p>
            <w:pPr>
              <w:pStyle w:val="null3"/>
            </w:pPr>
            <w:r>
              <w:rPr>
                <w:rFonts w:ascii="仿宋_GB2312" w:hAnsi="仿宋_GB2312" w:cs="仿宋_GB2312" w:eastAsia="仿宋_GB2312"/>
              </w:rPr>
              <w:t>响应文件封面 分项报价表 获奖情况 中小企业声明函 商务应答表 类似业绩 服务内容及服务要求应答表 其他</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磋商无效条件：供应商磋商报价超出采购预算或最高限价的</w:t>
            </w:r>
          </w:p>
        </w:tc>
        <w:tc>
          <w:tcPr>
            <w:tcW w:type="dxa" w:w="1661"/>
          </w:tcPr>
          <w:p>
            <w:pPr>
              <w:pStyle w:val="null3"/>
            </w:pPr>
            <w:r>
              <w:rPr>
                <w:rFonts w:ascii="仿宋_GB2312" w:hAnsi="仿宋_GB2312" w:cs="仿宋_GB2312" w:eastAsia="仿宋_GB2312"/>
              </w:rPr>
              <w:t>分项报价表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存在其它不符合法律法规或磋商文件规定的无效情形</w:t>
            </w:r>
          </w:p>
        </w:tc>
        <w:tc>
          <w:tcPr>
            <w:tcW w:type="dxa" w:w="1661"/>
          </w:tcPr>
          <w:p>
            <w:pPr>
              <w:pStyle w:val="null3"/>
            </w:pPr>
            <w:r>
              <w:rPr>
                <w:rFonts w:ascii="仿宋_GB2312" w:hAnsi="仿宋_GB2312" w:cs="仿宋_GB2312" w:eastAsia="仿宋_GB2312"/>
              </w:rPr>
              <w:t>分项报价表 获奖情况 商务应答表 服务内容及服务要求应答表 标的清单 类似业绩 报价表 其他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提供的总体实施内容，包括但不限于：（1）对规划编制背景的理解；（2）对项目的政策要求和技术规范的理解；（3）片区发展特征和价值认知：对片区发展现状、特征和价值的认知；（4）规划思路及方案内容：项目的技术思路、规划目标等规划内容科学合理： 以上(1)-(4)项内容齐全且无缺陷的得16分，每有一项内容缺项的扣4分;每存在一项缺陷的扣0.5分，扣完为止。无此项描述的不得分。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针对本项目提供的质量保障措施内容，包括但不限于：(1)质量管理方案(2)质量管理机构及职责(3)质量保证措施(4)质量保障承诺; 以上(1)-(4)项内容齐全且无缺陷的得 12分，每有一项内容缺项的扣3分;每存在一项缺陷的扣 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 (1)进度计划(2)工作部署(3)各阶段实施流程；以上(1)-(3)项内容齐全且无缺陷的得6分，每有一项内容缺项的扣2分;每存在一项缺陷的扣0.5分，扣完为止。无此项描述的不得分。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针对本项目提供的项目重点难点分析内容，包括但不限于：(1)工作的重点、难点的认识(2)对关键环节的分析(3)采取的针对性措施等；以上(1)-(3)项内容齐全且无缺陷的得 6分，每有一项内容缺项的扣2分;每存在一项缺陷的扣0.5分，扣完为止。无此项描述的不得分。 注：“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拟任项目负责人</w:t>
            </w:r>
          </w:p>
        </w:tc>
        <w:tc>
          <w:tcPr>
            <w:tcW w:type="dxa" w:w="2492"/>
          </w:tcPr>
          <w:p>
            <w:pPr>
              <w:pStyle w:val="null3"/>
            </w:pPr>
            <w:r>
              <w:rPr>
                <w:rFonts w:ascii="仿宋_GB2312" w:hAnsi="仿宋_GB2312" w:cs="仿宋_GB2312" w:eastAsia="仿宋_GB2312"/>
              </w:rPr>
              <w:t>1、拟派项目负责人具有硕士研究生及以上学历得2分，本科学历得1分，其余不得分。（毕业证复印件或扫描件加盖公章） 2、项目负责人2022年1月1日至今，主持过类似项目工作，每有一项得4分，最高得8分； 注：类似工作证明材料不限于中标（成交）通知书、业绩合同、成果文件等，证明材料须体现项目负责人姓名。证明资料须为复印件或扫描件加盖供应商公章。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1、项目组成员（项目负责人除外）具有硕士研究生及以上学历，每有一人得2分，本科学历每有一人得1分，最高得6分。（毕业证复印件或扫描件加盖公章）2、项目组成员（项目负责人除外）具有规划类等相关专业高级及以上职称证书的每提供一个得2分，中级职称证书的每提供一个得1分，最高得6分。（职称证书复印件或扫描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拟投入人员及设备</w:t>
            </w:r>
          </w:p>
        </w:tc>
      </w:tr>
      <w:tr>
        <w:tc>
          <w:tcPr>
            <w:tcW w:type="dxa" w:w="831"/>
            <w:vMerge/>
          </w:tcPr>
          <w:p/>
        </w:tc>
        <w:tc>
          <w:tcPr>
            <w:tcW w:type="dxa" w:w="1661"/>
          </w:tcPr>
          <w:p>
            <w:pPr>
              <w:pStyle w:val="null3"/>
            </w:pPr>
            <w:r>
              <w:rPr>
                <w:rFonts w:ascii="仿宋_GB2312" w:hAnsi="仿宋_GB2312" w:cs="仿宋_GB2312" w:eastAsia="仿宋_GB2312"/>
              </w:rPr>
              <w:t>项目团队稳定及能力承诺</w:t>
            </w:r>
          </w:p>
        </w:tc>
        <w:tc>
          <w:tcPr>
            <w:tcW w:type="dxa" w:w="2492"/>
          </w:tcPr>
          <w:p>
            <w:pPr>
              <w:pStyle w:val="null3"/>
            </w:pPr>
            <w:r>
              <w:rPr>
                <w:rFonts w:ascii="仿宋_GB2312" w:hAnsi="仿宋_GB2312" w:cs="仿宋_GB2312" w:eastAsia="仿宋_GB2312"/>
              </w:rPr>
              <w:t>（1）承诺成交后，如遭遇非不可抗力原因，不得更换响应文件中项目团队人员，得3分，未提供不得分。 （2）承诺如遭遇不可抗力确需更换人员时，更换人员的资历不低于原人员，且按程序报采购人书面同意后方可更换，得3分，未提供不得分。本项满分共6分。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服务保障承诺</w:t>
            </w:r>
          </w:p>
        </w:tc>
        <w:tc>
          <w:tcPr>
            <w:tcW w:type="dxa" w:w="2492"/>
          </w:tcPr>
          <w:p>
            <w:pPr>
              <w:pStyle w:val="null3"/>
            </w:pPr>
            <w:r>
              <w:rPr>
                <w:rFonts w:ascii="仿宋_GB2312" w:hAnsi="仿宋_GB2312" w:cs="仿宋_GB2312" w:eastAsia="仿宋_GB2312"/>
              </w:rPr>
              <w:t>1、供应商须针对本历史文化街区保护规划编制项目提供完整服务保障承诺，包含成果质量管控、工期管控及违约赔付、多部门报批响应服务与成果知识产权移交四大模块，提供加盖公章的承诺书，得4分。2、承诺在服务期内接到采购人技术咨询后2小时内响应、24小时内派技术人员到场或线上提供解决方案，得3分。 以上未提供或承诺内容缺项，不得分。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获奖情况</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（1）承诺对项目涉及的涉密数据（如地形图、三调数据、规划成果等）承担保密责任，严格遵守保密法律法规，得3分； （2）承诺项目结束后及时移交并清除相关涉密数据资料，得3分。未提供不得分。本项满分共6分。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供应商2022年1月以来类似项目业绩；每提供一个得3分，满分9分。 注：需提供合同首页、内容页和双方盖章页。以合同为准，内容不清晰，或者资料不全的，不得分。（不与项目负责人业绩重复计分）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满足采购文件要求且最终报价最低的供应商的价格为基准价，其价格得分为满分。其他供应商的价格分统一按照下列公式计算：价格分=（评审基准价/最终报价）×10，计算分数时四舍五入取小数点后两位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详见附件：拟投入人员及设备</w:t>
      </w:r>
    </w:p>
    <w:p>
      <w:pPr>
        <w:pStyle w:val="null3"/>
        <w:ind w:firstLine="960"/>
      </w:pPr>
      <w:r>
        <w:rPr>
          <w:rFonts w:ascii="仿宋_GB2312" w:hAnsi="仿宋_GB2312" w:cs="仿宋_GB2312" w:eastAsia="仿宋_GB2312"/>
        </w:rPr>
        <w:t>详见附件：类似业绩</w:t>
      </w:r>
    </w:p>
    <w:p>
      <w:pPr>
        <w:pStyle w:val="null3"/>
        <w:ind w:firstLine="960"/>
      </w:pPr>
      <w:r>
        <w:rPr>
          <w:rFonts w:ascii="仿宋_GB2312" w:hAnsi="仿宋_GB2312" w:cs="仿宋_GB2312" w:eastAsia="仿宋_GB2312"/>
        </w:rPr>
        <w:t>详见附件：获奖情况</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