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BC0F5">
      <w:pPr>
        <w:pStyle w:val="5"/>
        <w:outlineLvl w:val="2"/>
      </w:pPr>
      <w:r>
        <w:rPr>
          <w:rFonts w:ascii="仿宋_GB2312" w:hAnsi="仿宋_GB2312" w:eastAsia="仿宋_GB2312" w:cs="仿宋_GB2312"/>
          <w:b/>
          <w:sz w:val="28"/>
        </w:rPr>
        <w:t>一、项目总体情况</w:t>
      </w:r>
    </w:p>
    <w:p w14:paraId="0BE70F67">
      <w:pPr>
        <w:pStyle w:val="5"/>
      </w:pPr>
      <w:r>
        <w:rPr>
          <w:rFonts w:ascii="仿宋_GB2312" w:hAnsi="仿宋_GB2312" w:eastAsia="仿宋_GB2312" w:cs="仿宋_GB2312"/>
        </w:rPr>
        <w:t xml:space="preserve"> （一）项目名称： 科研系统软件升级及与财务系统对接建设</w:t>
      </w:r>
    </w:p>
    <w:p w14:paraId="24A924D3">
      <w:pPr>
        <w:pStyle w:val="5"/>
      </w:pPr>
      <w:r>
        <w:rPr>
          <w:rFonts w:ascii="仿宋_GB2312" w:hAnsi="仿宋_GB2312" w:eastAsia="仿宋_GB2312" w:cs="仿宋_GB2312"/>
        </w:rPr>
        <w:t xml:space="preserve"> （二）项目所属年度： 2026年</w:t>
      </w:r>
    </w:p>
    <w:p w14:paraId="5C4DA473">
      <w:pPr>
        <w:pStyle w:val="5"/>
      </w:pPr>
      <w:r>
        <w:rPr>
          <w:rFonts w:ascii="仿宋_GB2312" w:hAnsi="仿宋_GB2312" w:eastAsia="仿宋_GB2312" w:cs="仿宋_GB2312"/>
        </w:rPr>
        <w:t xml:space="preserve"> （三）项目所属分类： 服务</w:t>
      </w:r>
    </w:p>
    <w:p w14:paraId="1CC2F99F">
      <w:pPr>
        <w:pStyle w:val="5"/>
      </w:pPr>
      <w:r>
        <w:rPr>
          <w:rFonts w:ascii="仿宋_GB2312" w:hAnsi="仿宋_GB2312" w:eastAsia="仿宋_GB2312" w:cs="仿宋_GB2312"/>
        </w:rPr>
        <w:t xml:space="preserve"> （四）预算金额（元）：950,000.00元 ，大写（人民币）：玖拾伍万元整</w:t>
      </w:r>
    </w:p>
    <w:p w14:paraId="042D2294">
      <w:pPr>
        <w:pStyle w:val="5"/>
        <w:ind w:firstLine="1200"/>
      </w:pPr>
      <w:r>
        <w:rPr>
          <w:rFonts w:ascii="仿宋_GB2312" w:hAnsi="仿宋_GB2312" w:eastAsia="仿宋_GB2312" w:cs="仿宋_GB2312"/>
        </w:rPr>
        <w:t xml:space="preserve"> （五）项目概况：</w:t>
      </w:r>
    </w:p>
    <w:p w14:paraId="08275B6F">
      <w:pPr>
        <w:pStyle w:val="5"/>
        <w:ind w:left="480"/>
      </w:pPr>
      <w:r>
        <w:rPr>
          <w:rFonts w:ascii="仿宋_GB2312" w:hAnsi="仿宋_GB2312" w:eastAsia="仿宋_GB2312" w:cs="仿宋_GB2312"/>
        </w:rPr>
        <w:t>本项目在原有系统基础上融合各级各类科研项目精细化、差异化管理需求，构建各类科研项目全过程、全要素、全周期动态信息管理平台，实现科研项目申报、评审、立项、中检、变更、结项等全流程信息化管理，形成整合项目、经费、成果、人才、平台等全要素的激励创新、跨部门（科研、人事、财务等）协同高效的大科研管理服务体系。</w:t>
      </w:r>
    </w:p>
    <w:p w14:paraId="56DAE568">
      <w:pPr>
        <w:pStyle w:val="5"/>
      </w:pPr>
      <w:r>
        <w:rPr>
          <w:rFonts w:ascii="仿宋_GB2312" w:hAnsi="仿宋_GB2312" w:eastAsia="仿宋_GB2312" w:cs="仿宋_GB2312"/>
        </w:rPr>
        <w:t xml:space="preserve"> （六）本项目是否有为采购项目提供整体设计、规范编制或者项目管理、监理、检测等服务的供应商：否</w:t>
      </w:r>
    </w:p>
    <w:p w14:paraId="0AB853E2">
      <w:pPr>
        <w:pStyle w:val="5"/>
        <w:outlineLvl w:val="2"/>
      </w:pPr>
      <w:r>
        <w:rPr>
          <w:rFonts w:ascii="仿宋_GB2312" w:hAnsi="仿宋_GB2312" w:eastAsia="仿宋_GB2312" w:cs="仿宋_GB2312"/>
          <w:b/>
          <w:sz w:val="28"/>
        </w:rPr>
        <w:t>二、项目需求调查情况</w:t>
      </w:r>
    </w:p>
    <w:p w14:paraId="7E19E45B">
      <w:pPr>
        <w:pStyle w:val="5"/>
      </w:pPr>
      <w:r>
        <w:rPr>
          <w:rFonts w:ascii="仿宋_GB2312" w:hAnsi="仿宋_GB2312" w:eastAsia="仿宋_GB2312" w:cs="仿宋_GB2312"/>
        </w:rPr>
        <w:t>依据《政府采购需求管理办法》的规定，本项目不需要需求调查，具体情况如下：</w:t>
      </w:r>
    </w:p>
    <w:p w14:paraId="53491199">
      <w:pPr>
        <w:pStyle w:val="5"/>
      </w:pPr>
      <w:r>
        <w:rPr>
          <w:rFonts w:ascii="仿宋_GB2312" w:hAnsi="仿宋_GB2312" w:eastAsia="仿宋_GB2312" w:cs="仿宋_GB2312"/>
        </w:rPr>
        <w:t>（一）需求调查方式</w:t>
      </w:r>
    </w:p>
    <w:p w14:paraId="4FE30BE9">
      <w:pPr>
        <w:pStyle w:val="5"/>
        <w:ind w:firstLine="840"/>
      </w:pPr>
      <w:r>
        <w:rPr>
          <w:rFonts w:ascii="仿宋_GB2312" w:hAnsi="仿宋_GB2312" w:eastAsia="仿宋_GB2312" w:cs="仿宋_GB2312"/>
        </w:rPr>
        <w:t>（二）需求调查对象</w:t>
      </w:r>
    </w:p>
    <w:p w14:paraId="40A7C401">
      <w:pPr>
        <w:pStyle w:val="5"/>
        <w:ind w:firstLine="840"/>
      </w:pPr>
      <w:r>
        <w:rPr>
          <w:rFonts w:ascii="仿宋_GB2312" w:hAnsi="仿宋_GB2312" w:eastAsia="仿宋_GB2312" w:cs="仿宋_GB2312"/>
        </w:rPr>
        <w:t>（三）需求调查结果</w:t>
      </w:r>
    </w:p>
    <w:p w14:paraId="4655E9AB">
      <w:pPr>
        <w:pStyle w:val="5"/>
        <w:ind w:firstLine="840"/>
      </w:pPr>
      <w:r>
        <w:rPr>
          <w:rFonts w:ascii="仿宋_GB2312" w:hAnsi="仿宋_GB2312" w:eastAsia="仿宋_GB2312" w:cs="仿宋_GB2312"/>
        </w:rPr>
        <w:t>1.相关产业发展情况</w:t>
      </w:r>
    </w:p>
    <w:p w14:paraId="6F9BB1BB">
      <w:pPr>
        <w:pStyle w:val="5"/>
        <w:ind w:firstLine="840"/>
      </w:pPr>
      <w:r>
        <w:rPr>
          <w:rFonts w:ascii="仿宋_GB2312" w:hAnsi="仿宋_GB2312" w:eastAsia="仿宋_GB2312" w:cs="仿宋_GB2312"/>
        </w:rPr>
        <w:t>2.市场供给情况</w:t>
      </w:r>
    </w:p>
    <w:p w14:paraId="2D35A607">
      <w:pPr>
        <w:pStyle w:val="5"/>
        <w:ind w:firstLine="840"/>
      </w:pPr>
      <w:r>
        <w:rPr>
          <w:rFonts w:ascii="仿宋_GB2312" w:hAnsi="仿宋_GB2312" w:eastAsia="仿宋_GB2312" w:cs="仿宋_GB2312"/>
        </w:rPr>
        <w:t>3.同类采购项目历史成交信息情况</w:t>
      </w:r>
    </w:p>
    <w:p w14:paraId="1977E318">
      <w:pPr>
        <w:pStyle w:val="5"/>
        <w:ind w:firstLine="840"/>
      </w:pPr>
      <w:r>
        <w:rPr>
          <w:rFonts w:ascii="仿宋_GB2312" w:hAnsi="仿宋_GB2312" w:eastAsia="仿宋_GB2312" w:cs="仿宋_GB2312"/>
        </w:rPr>
        <w:t>4.可能涉及的运行维护、升级更新、备品备件、耗材等后续采购情况</w:t>
      </w:r>
    </w:p>
    <w:p w14:paraId="1E15E5CA">
      <w:pPr>
        <w:pStyle w:val="5"/>
        <w:ind w:firstLine="840"/>
      </w:pPr>
      <w:r>
        <w:rPr>
          <w:rFonts w:ascii="仿宋_GB2312" w:hAnsi="仿宋_GB2312" w:eastAsia="仿宋_GB2312" w:cs="仿宋_GB2312"/>
        </w:rPr>
        <w:t>5.其他相关情况</w:t>
      </w:r>
    </w:p>
    <w:p w14:paraId="09675B31">
      <w:pPr>
        <w:pStyle w:val="5"/>
        <w:ind w:firstLine="840"/>
        <w:outlineLvl w:val="2"/>
      </w:pPr>
      <w:r>
        <w:rPr>
          <w:rFonts w:ascii="仿宋_GB2312" w:hAnsi="仿宋_GB2312" w:eastAsia="仿宋_GB2312" w:cs="仿宋_GB2312"/>
          <w:b/>
          <w:sz w:val="28"/>
        </w:rPr>
        <w:t>三、项目采购实施计划</w:t>
      </w:r>
    </w:p>
    <w:p w14:paraId="19410F51">
      <w:pPr>
        <w:pStyle w:val="5"/>
      </w:pPr>
      <w:r>
        <w:rPr>
          <w:rFonts w:ascii="仿宋_GB2312" w:hAnsi="仿宋_GB2312" w:eastAsia="仿宋_GB2312" w:cs="仿宋_GB2312"/>
        </w:rPr>
        <w:t>（一）采购组织形式：部门集中采购</w:t>
      </w:r>
    </w:p>
    <w:p w14:paraId="1899C6F3">
      <w:pPr>
        <w:pStyle w:val="5"/>
      </w:pPr>
      <w:r>
        <w:rPr>
          <w:rFonts w:ascii="仿宋_GB2312" w:hAnsi="仿宋_GB2312" w:eastAsia="仿宋_GB2312" w:cs="仿宋_GB2312"/>
        </w:rPr>
        <w:t>（二）采购方式：竞争性磋商</w:t>
      </w:r>
    </w:p>
    <w:p w14:paraId="6B9A5FD6">
      <w:pPr>
        <w:pStyle w:val="5"/>
      </w:pPr>
      <w:r>
        <w:rPr>
          <w:rFonts w:ascii="仿宋_GB2312" w:hAnsi="仿宋_GB2312" w:eastAsia="仿宋_GB2312" w:cs="仿宋_GB2312"/>
        </w:rPr>
        <w:t>（三）本项目是否单位自行组织采购：否</w:t>
      </w:r>
    </w:p>
    <w:p w14:paraId="70A1846E">
      <w:pPr>
        <w:pStyle w:val="5"/>
      </w:pPr>
      <w:r>
        <w:rPr>
          <w:rFonts w:ascii="仿宋_GB2312" w:hAnsi="仿宋_GB2312" w:eastAsia="仿宋_GB2312" w:cs="仿宋_GB2312"/>
        </w:rPr>
        <w:t>（四）采购包划分：不分包采购</w:t>
      </w:r>
    </w:p>
    <w:p w14:paraId="0F372D66">
      <w:pPr>
        <w:pStyle w:val="5"/>
      </w:pPr>
      <w:r>
        <w:rPr>
          <w:rFonts w:ascii="仿宋_GB2312" w:hAnsi="仿宋_GB2312" w:eastAsia="仿宋_GB2312" w:cs="仿宋_GB2312"/>
        </w:rPr>
        <w:t>（五）执行政府采购促进中小企业发展的相关政策</w:t>
      </w:r>
    </w:p>
    <w:p w14:paraId="577F1B3B">
      <w:pPr>
        <w:pStyle w:val="5"/>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50A92CDD">
      <w:pPr>
        <w:pStyle w:val="5"/>
        <w:ind w:firstLine="840"/>
      </w:pPr>
      <w:r>
        <w:rPr>
          <w:rFonts w:ascii="仿宋_GB2312" w:hAnsi="仿宋_GB2312" w:eastAsia="仿宋_GB2312" w:cs="仿宋_GB2312"/>
          <w:i/>
        </w:rPr>
        <w:t>注：监狱企业和残疾人福利单位视同小微企业。</w:t>
      </w:r>
    </w:p>
    <w:p w14:paraId="5ED0C769">
      <w:pPr>
        <w:pStyle w:val="5"/>
      </w:pPr>
      <w:r>
        <w:rPr>
          <w:rFonts w:ascii="仿宋_GB2312" w:hAnsi="仿宋_GB2312" w:eastAsia="仿宋_GB2312" w:cs="仿宋_GB2312"/>
        </w:rPr>
        <w:t>（六）是否采购环境标识产品：否</w:t>
      </w:r>
    </w:p>
    <w:p w14:paraId="4CEF0F30">
      <w:pPr>
        <w:pStyle w:val="5"/>
      </w:pPr>
      <w:r>
        <w:rPr>
          <w:rFonts w:ascii="仿宋_GB2312" w:hAnsi="仿宋_GB2312" w:eastAsia="仿宋_GB2312" w:cs="仿宋_GB2312"/>
        </w:rPr>
        <w:t>（七）是否采购节能产品：否</w:t>
      </w:r>
    </w:p>
    <w:p w14:paraId="3D89030C">
      <w:pPr>
        <w:pStyle w:val="5"/>
      </w:pPr>
      <w:r>
        <w:rPr>
          <w:rFonts w:ascii="仿宋_GB2312" w:hAnsi="仿宋_GB2312" w:eastAsia="仿宋_GB2312" w:cs="仿宋_GB2312"/>
        </w:rPr>
        <w:t>（八）项目的采购标的是否包含进口产品：否</w:t>
      </w:r>
    </w:p>
    <w:p w14:paraId="47D49FF1">
      <w:pPr>
        <w:pStyle w:val="5"/>
      </w:pPr>
      <w:r>
        <w:rPr>
          <w:rFonts w:ascii="仿宋_GB2312" w:hAnsi="仿宋_GB2312" w:eastAsia="仿宋_GB2312" w:cs="仿宋_GB2312"/>
        </w:rPr>
        <w:t>（九）采购标的是否属于政府购买服务：否</w:t>
      </w:r>
    </w:p>
    <w:p w14:paraId="35DC664D">
      <w:pPr>
        <w:pStyle w:val="5"/>
      </w:pPr>
      <w:r>
        <w:rPr>
          <w:rFonts w:ascii="仿宋_GB2312" w:hAnsi="仿宋_GB2312" w:eastAsia="仿宋_GB2312" w:cs="仿宋_GB2312"/>
        </w:rPr>
        <w:t>（十）是否属于政务信息系统项目：否</w:t>
      </w:r>
    </w:p>
    <w:p w14:paraId="56444751">
      <w:pPr>
        <w:pStyle w:val="5"/>
      </w:pPr>
      <w:r>
        <w:rPr>
          <w:rFonts w:ascii="仿宋_GB2312" w:hAnsi="仿宋_GB2312" w:eastAsia="仿宋_GB2312" w:cs="仿宋_GB2312"/>
        </w:rPr>
        <w:t>（十一）是否属于高校、科研院所的科研仪器设备采购：否</w:t>
      </w:r>
    </w:p>
    <w:p w14:paraId="720231C2">
      <w:pPr>
        <w:pStyle w:val="5"/>
      </w:pPr>
      <w:r>
        <w:rPr>
          <w:rFonts w:ascii="仿宋_GB2312" w:hAnsi="仿宋_GB2312" w:eastAsia="仿宋_GB2312" w:cs="仿宋_GB2312"/>
        </w:rPr>
        <w:t>（十二）是否属于一签多年项目：否</w:t>
      </w:r>
    </w:p>
    <w:p w14:paraId="441A8187">
      <w:pPr>
        <w:pStyle w:val="5"/>
        <w:ind w:firstLine="1275"/>
        <w:outlineLvl w:val="2"/>
      </w:pPr>
      <w:r>
        <w:rPr>
          <w:rFonts w:ascii="仿宋_GB2312" w:hAnsi="仿宋_GB2312" w:eastAsia="仿宋_GB2312" w:cs="仿宋_GB2312"/>
          <w:b/>
          <w:sz w:val="28"/>
        </w:rPr>
        <w:t>四、项目需求及分包情况、采购标的</w:t>
      </w:r>
    </w:p>
    <w:p w14:paraId="165EB425">
      <w:pPr>
        <w:pStyle w:val="5"/>
        <w:outlineLvl w:val="4"/>
      </w:pPr>
      <w:r>
        <w:rPr>
          <w:rFonts w:ascii="仿宋_GB2312" w:hAnsi="仿宋_GB2312" w:eastAsia="仿宋_GB2312" w:cs="仿宋_GB2312"/>
          <w:b/>
          <w:sz w:val="20"/>
        </w:rPr>
        <w:t>（一）分包名称：西安医学院科研系统软件升级及与财务系统对接建设项目</w:t>
      </w:r>
    </w:p>
    <w:p w14:paraId="3B464490">
      <w:pPr>
        <w:pStyle w:val="5"/>
      </w:pPr>
      <w:r>
        <w:rPr>
          <w:rFonts w:ascii="仿宋_GB2312" w:hAnsi="仿宋_GB2312" w:eastAsia="仿宋_GB2312" w:cs="仿宋_GB2312"/>
        </w:rPr>
        <w:t>1、执行政府采购促进中小企业发展的相关政策</w:t>
      </w:r>
    </w:p>
    <w:p w14:paraId="0B3295D3">
      <w:pPr>
        <w:pStyle w:val="5"/>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1A6C138D">
      <w:pPr>
        <w:pStyle w:val="5"/>
        <w:ind w:firstLine="84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4B0A41C1">
      <w:pPr>
        <w:pStyle w:val="5"/>
        <w:ind w:firstLine="840"/>
      </w:pPr>
      <w:r>
        <w:rPr>
          <w:rFonts w:ascii="仿宋_GB2312" w:hAnsi="仿宋_GB2312" w:eastAsia="仿宋_GB2312" w:cs="仿宋_GB2312"/>
          <w:color w:val="000000"/>
        </w:rPr>
        <w:t>3)预留形式：</w:t>
      </w:r>
      <w:r>
        <w:rPr>
          <w:rFonts w:ascii="仿宋_GB2312" w:hAnsi="仿宋_GB2312" w:eastAsia="仿宋_GB2312" w:cs="仿宋_GB2312"/>
        </w:rPr>
        <w:t>设置专门采购包</w:t>
      </w:r>
    </w:p>
    <w:p w14:paraId="4CC579AF">
      <w:pPr>
        <w:pStyle w:val="5"/>
        <w:ind w:firstLine="840"/>
      </w:pPr>
      <w:r>
        <w:rPr>
          <w:rFonts w:ascii="仿宋_GB2312" w:hAnsi="仿宋_GB2312" w:eastAsia="仿宋_GB2312" w:cs="仿宋_GB2312"/>
          <w:color w:val="000000"/>
        </w:rPr>
        <w:t>4)预留比例：</w:t>
      </w:r>
      <w:r>
        <w:rPr>
          <w:rFonts w:ascii="仿宋_GB2312" w:hAnsi="仿宋_GB2312" w:eastAsia="仿宋_GB2312" w:cs="仿宋_GB2312"/>
        </w:rPr>
        <w:t>100%</w:t>
      </w:r>
    </w:p>
    <w:p w14:paraId="209DB4D0">
      <w:pPr>
        <w:pStyle w:val="5"/>
      </w:pPr>
      <w:r>
        <w:rPr>
          <w:rFonts w:ascii="仿宋_GB2312" w:hAnsi="仿宋_GB2312" w:eastAsia="仿宋_GB2312" w:cs="仿宋_GB2312"/>
        </w:rPr>
        <w:t>2、预算金额（元）：950,000.00 ，大写（人民币）： 玖拾伍万元整</w:t>
      </w:r>
    </w:p>
    <w:p w14:paraId="2A4BCACA">
      <w:pPr>
        <w:pStyle w:val="5"/>
        <w:ind w:firstLine="780"/>
      </w:pPr>
      <w:r>
        <w:rPr>
          <w:rFonts w:ascii="仿宋_GB2312" w:hAnsi="仿宋_GB2312" w:eastAsia="仿宋_GB2312" w:cs="仿宋_GB2312"/>
        </w:rPr>
        <w:t xml:space="preserve"> 最高限价（元）： 950,000.00 ，大写（人民币）： 玖拾伍万元整</w:t>
      </w:r>
    </w:p>
    <w:p w14:paraId="624AEF80">
      <w:pPr>
        <w:pStyle w:val="5"/>
      </w:pPr>
      <w:r>
        <w:rPr>
          <w:rFonts w:ascii="仿宋_GB2312" w:hAnsi="仿宋_GB2312" w:eastAsia="仿宋_GB2312" w:cs="仿宋_GB2312"/>
        </w:rPr>
        <w:t>3、评审方法：综合评分法</w:t>
      </w:r>
    </w:p>
    <w:p w14:paraId="3F411668">
      <w:pPr>
        <w:pStyle w:val="5"/>
      </w:pPr>
      <w:r>
        <w:rPr>
          <w:rFonts w:ascii="仿宋_GB2312" w:hAnsi="仿宋_GB2312" w:eastAsia="仿宋_GB2312" w:cs="仿宋_GB2312"/>
        </w:rPr>
        <w:t>4、是否支持联合体投标：否</w:t>
      </w:r>
    </w:p>
    <w:p w14:paraId="4F97F908">
      <w:pPr>
        <w:pStyle w:val="5"/>
      </w:pPr>
      <w:r>
        <w:rPr>
          <w:rFonts w:ascii="仿宋_GB2312" w:hAnsi="仿宋_GB2312" w:eastAsia="仿宋_GB2312" w:cs="仿宋_GB2312"/>
        </w:rPr>
        <w:t>5、是否允许合同分包选项：否</w:t>
      </w:r>
    </w:p>
    <w:p w14:paraId="40148BFC">
      <w:pPr>
        <w:pStyle w:val="5"/>
      </w:pPr>
      <w:r>
        <w:rPr>
          <w:rFonts w:ascii="仿宋_GB2312" w:hAnsi="仿宋_GB2312" w:eastAsia="仿宋_GB2312" w:cs="仿宋_GB2312"/>
        </w:rPr>
        <w:t>6、拟采购标的的技术要求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1029A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57B327C7">
            <w:pPr>
              <w:pStyle w:val="5"/>
            </w:pPr>
            <w:r>
              <w:rPr>
                <w:rFonts w:ascii="仿宋_GB2312" w:hAnsi="仿宋_GB2312" w:eastAsia="仿宋_GB2312" w:cs="仿宋_GB2312"/>
              </w:rPr>
              <w:t>1</w:t>
            </w:r>
          </w:p>
        </w:tc>
        <w:tc>
          <w:tcPr>
            <w:tcW w:w="1993" w:type="dxa"/>
          </w:tcPr>
          <w:p w14:paraId="19B09C2E">
            <w:pPr>
              <w:pStyle w:val="5"/>
              <w:jc w:val="center"/>
            </w:pPr>
            <w:r>
              <w:rPr>
                <w:rFonts w:ascii="仿宋_GB2312" w:hAnsi="仿宋_GB2312" w:eastAsia="仿宋_GB2312" w:cs="仿宋_GB2312"/>
                <w:b/>
                <w:color w:val="000000"/>
              </w:rPr>
              <w:t>采购品目</w:t>
            </w:r>
          </w:p>
        </w:tc>
        <w:tc>
          <w:tcPr>
            <w:tcW w:w="1661" w:type="dxa"/>
          </w:tcPr>
          <w:p w14:paraId="2E937550">
            <w:pPr>
              <w:pStyle w:val="5"/>
            </w:pPr>
            <w:r>
              <w:rPr>
                <w:rFonts w:ascii="仿宋_GB2312" w:hAnsi="仿宋_GB2312" w:eastAsia="仿宋_GB2312" w:cs="仿宋_GB2312"/>
              </w:rPr>
              <w:t>其他服务</w:t>
            </w:r>
          </w:p>
        </w:tc>
        <w:tc>
          <w:tcPr>
            <w:tcW w:w="1993" w:type="dxa"/>
          </w:tcPr>
          <w:p w14:paraId="12186BBB">
            <w:pPr>
              <w:pStyle w:val="5"/>
              <w:jc w:val="center"/>
            </w:pPr>
            <w:r>
              <w:rPr>
                <w:rFonts w:ascii="仿宋_GB2312" w:hAnsi="仿宋_GB2312" w:eastAsia="仿宋_GB2312" w:cs="仿宋_GB2312"/>
                <w:b/>
                <w:color w:val="000000"/>
              </w:rPr>
              <w:t>标的名称</w:t>
            </w:r>
          </w:p>
        </w:tc>
        <w:tc>
          <w:tcPr>
            <w:tcW w:w="1661" w:type="dxa"/>
          </w:tcPr>
          <w:p w14:paraId="67BB820D">
            <w:pPr>
              <w:pStyle w:val="5"/>
            </w:pPr>
            <w:r>
              <w:rPr>
                <w:rFonts w:ascii="仿宋_GB2312" w:hAnsi="仿宋_GB2312" w:eastAsia="仿宋_GB2312" w:cs="仿宋_GB2312"/>
              </w:rPr>
              <w:t>科研系统软件升级及与财务系统对接建设</w:t>
            </w:r>
          </w:p>
        </w:tc>
      </w:tr>
      <w:tr w14:paraId="10E1B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736861B"/>
        </w:tc>
        <w:tc>
          <w:tcPr>
            <w:tcW w:w="1993" w:type="dxa"/>
          </w:tcPr>
          <w:p w14:paraId="6C29E72F">
            <w:pPr>
              <w:pStyle w:val="5"/>
              <w:jc w:val="center"/>
            </w:pPr>
            <w:r>
              <w:rPr>
                <w:rFonts w:ascii="仿宋_GB2312" w:hAnsi="仿宋_GB2312" w:eastAsia="仿宋_GB2312" w:cs="仿宋_GB2312"/>
                <w:b/>
                <w:color w:val="000000"/>
              </w:rPr>
              <w:t>数量</w:t>
            </w:r>
          </w:p>
        </w:tc>
        <w:tc>
          <w:tcPr>
            <w:tcW w:w="1661" w:type="dxa"/>
          </w:tcPr>
          <w:p w14:paraId="4003D5D8">
            <w:pPr>
              <w:pStyle w:val="5"/>
              <w:jc w:val="right"/>
            </w:pPr>
            <w:r>
              <w:rPr>
                <w:rFonts w:ascii="仿宋_GB2312" w:hAnsi="仿宋_GB2312" w:eastAsia="仿宋_GB2312" w:cs="仿宋_GB2312"/>
              </w:rPr>
              <w:t>1.00</w:t>
            </w:r>
          </w:p>
        </w:tc>
        <w:tc>
          <w:tcPr>
            <w:tcW w:w="1993" w:type="dxa"/>
          </w:tcPr>
          <w:p w14:paraId="707AC21B">
            <w:pPr>
              <w:pStyle w:val="5"/>
              <w:jc w:val="center"/>
            </w:pPr>
            <w:r>
              <w:rPr>
                <w:rFonts w:ascii="仿宋_GB2312" w:hAnsi="仿宋_GB2312" w:eastAsia="仿宋_GB2312" w:cs="仿宋_GB2312"/>
                <w:b/>
                <w:color w:val="000000"/>
              </w:rPr>
              <w:t>单位</w:t>
            </w:r>
          </w:p>
        </w:tc>
        <w:tc>
          <w:tcPr>
            <w:tcW w:w="1661" w:type="dxa"/>
          </w:tcPr>
          <w:p w14:paraId="26998BC8">
            <w:pPr>
              <w:pStyle w:val="5"/>
            </w:pPr>
            <w:r>
              <w:rPr>
                <w:rFonts w:ascii="仿宋_GB2312" w:hAnsi="仿宋_GB2312" w:eastAsia="仿宋_GB2312" w:cs="仿宋_GB2312"/>
              </w:rPr>
              <w:t>批</w:t>
            </w:r>
          </w:p>
        </w:tc>
      </w:tr>
      <w:tr w14:paraId="0294C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6DA493DC"/>
        </w:tc>
        <w:tc>
          <w:tcPr>
            <w:tcW w:w="1993" w:type="dxa"/>
          </w:tcPr>
          <w:p w14:paraId="7303F323">
            <w:pPr>
              <w:pStyle w:val="5"/>
              <w:jc w:val="center"/>
            </w:pPr>
            <w:r>
              <w:rPr>
                <w:rFonts w:ascii="仿宋_GB2312" w:hAnsi="仿宋_GB2312" w:eastAsia="仿宋_GB2312" w:cs="仿宋_GB2312"/>
                <w:b/>
                <w:color w:val="000000"/>
              </w:rPr>
              <w:t>合计金额（元）</w:t>
            </w:r>
          </w:p>
        </w:tc>
        <w:tc>
          <w:tcPr>
            <w:tcW w:w="1661" w:type="dxa"/>
          </w:tcPr>
          <w:p w14:paraId="47CE8D79">
            <w:pPr>
              <w:pStyle w:val="5"/>
              <w:jc w:val="right"/>
            </w:pPr>
            <w:r>
              <w:rPr>
                <w:rFonts w:ascii="仿宋_GB2312" w:hAnsi="仿宋_GB2312" w:eastAsia="仿宋_GB2312" w:cs="仿宋_GB2312"/>
              </w:rPr>
              <w:t>950,000.00</w:t>
            </w:r>
          </w:p>
        </w:tc>
        <w:tc>
          <w:tcPr>
            <w:tcW w:w="1993" w:type="dxa"/>
          </w:tcPr>
          <w:p w14:paraId="2A4BE993">
            <w:pPr>
              <w:pStyle w:val="5"/>
              <w:jc w:val="center"/>
            </w:pPr>
            <w:r>
              <w:rPr>
                <w:rFonts w:ascii="仿宋_GB2312" w:hAnsi="仿宋_GB2312" w:eastAsia="仿宋_GB2312" w:cs="仿宋_GB2312"/>
                <w:b/>
                <w:color w:val="000000"/>
              </w:rPr>
              <w:t>单价（元）</w:t>
            </w:r>
          </w:p>
        </w:tc>
        <w:tc>
          <w:tcPr>
            <w:tcW w:w="1661" w:type="dxa"/>
          </w:tcPr>
          <w:p w14:paraId="1B43B3D2">
            <w:pPr>
              <w:pStyle w:val="5"/>
              <w:jc w:val="right"/>
            </w:pPr>
            <w:r>
              <w:rPr>
                <w:rFonts w:ascii="仿宋_GB2312" w:hAnsi="仿宋_GB2312" w:eastAsia="仿宋_GB2312" w:cs="仿宋_GB2312"/>
              </w:rPr>
              <w:t>950,000.00</w:t>
            </w:r>
          </w:p>
        </w:tc>
      </w:tr>
      <w:tr w14:paraId="2DF14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54A3BFE4"/>
        </w:tc>
        <w:tc>
          <w:tcPr>
            <w:tcW w:w="1993" w:type="dxa"/>
          </w:tcPr>
          <w:p w14:paraId="1459A5AA">
            <w:pPr>
              <w:pStyle w:val="5"/>
              <w:jc w:val="center"/>
            </w:pPr>
            <w:r>
              <w:rPr>
                <w:rFonts w:ascii="仿宋_GB2312" w:hAnsi="仿宋_GB2312" w:eastAsia="仿宋_GB2312" w:cs="仿宋_GB2312"/>
                <w:b/>
                <w:color w:val="000000"/>
              </w:rPr>
              <w:t>是否采购节能产品</w:t>
            </w:r>
          </w:p>
        </w:tc>
        <w:tc>
          <w:tcPr>
            <w:tcW w:w="1661" w:type="dxa"/>
          </w:tcPr>
          <w:p w14:paraId="5A00E679">
            <w:pPr>
              <w:pStyle w:val="5"/>
            </w:pPr>
            <w:r>
              <w:rPr>
                <w:rFonts w:ascii="仿宋_GB2312" w:hAnsi="仿宋_GB2312" w:eastAsia="仿宋_GB2312" w:cs="仿宋_GB2312"/>
              </w:rPr>
              <w:t>否</w:t>
            </w:r>
          </w:p>
        </w:tc>
        <w:tc>
          <w:tcPr>
            <w:tcW w:w="1993" w:type="dxa"/>
          </w:tcPr>
          <w:p w14:paraId="50327148">
            <w:pPr>
              <w:pStyle w:val="5"/>
              <w:jc w:val="center"/>
            </w:pPr>
            <w:r>
              <w:rPr>
                <w:rFonts w:ascii="仿宋_GB2312" w:hAnsi="仿宋_GB2312" w:eastAsia="仿宋_GB2312" w:cs="仿宋_GB2312"/>
                <w:b/>
                <w:color w:val="000000"/>
              </w:rPr>
              <w:t>未采购节能产品原因</w:t>
            </w:r>
          </w:p>
        </w:tc>
        <w:tc>
          <w:tcPr>
            <w:tcW w:w="1661" w:type="dxa"/>
          </w:tcPr>
          <w:p w14:paraId="5E69FE70">
            <w:pPr>
              <w:pStyle w:val="5"/>
            </w:pPr>
            <w:r>
              <w:rPr>
                <w:rFonts w:ascii="仿宋_GB2312" w:hAnsi="仿宋_GB2312" w:eastAsia="仿宋_GB2312" w:cs="仿宋_GB2312"/>
              </w:rPr>
              <w:t>无</w:t>
            </w:r>
          </w:p>
        </w:tc>
      </w:tr>
      <w:tr w14:paraId="7F8B4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F41D847"/>
        </w:tc>
        <w:tc>
          <w:tcPr>
            <w:tcW w:w="1993" w:type="dxa"/>
          </w:tcPr>
          <w:p w14:paraId="6C59568E">
            <w:pPr>
              <w:pStyle w:val="5"/>
              <w:jc w:val="center"/>
            </w:pPr>
            <w:r>
              <w:rPr>
                <w:rFonts w:ascii="仿宋_GB2312" w:hAnsi="仿宋_GB2312" w:eastAsia="仿宋_GB2312" w:cs="仿宋_GB2312"/>
                <w:b/>
                <w:color w:val="000000"/>
              </w:rPr>
              <w:t>是否采购环保产品</w:t>
            </w:r>
          </w:p>
        </w:tc>
        <w:tc>
          <w:tcPr>
            <w:tcW w:w="1661" w:type="dxa"/>
          </w:tcPr>
          <w:p w14:paraId="6BFBBEFA">
            <w:pPr>
              <w:pStyle w:val="5"/>
            </w:pPr>
            <w:r>
              <w:rPr>
                <w:rFonts w:ascii="仿宋_GB2312" w:hAnsi="仿宋_GB2312" w:eastAsia="仿宋_GB2312" w:cs="仿宋_GB2312"/>
              </w:rPr>
              <w:t>否</w:t>
            </w:r>
          </w:p>
        </w:tc>
        <w:tc>
          <w:tcPr>
            <w:tcW w:w="1993" w:type="dxa"/>
          </w:tcPr>
          <w:p w14:paraId="4508972D">
            <w:pPr>
              <w:pStyle w:val="5"/>
              <w:jc w:val="center"/>
            </w:pPr>
            <w:r>
              <w:rPr>
                <w:rFonts w:ascii="仿宋_GB2312" w:hAnsi="仿宋_GB2312" w:eastAsia="仿宋_GB2312" w:cs="仿宋_GB2312"/>
                <w:b/>
                <w:color w:val="000000"/>
              </w:rPr>
              <w:t>未采购环保产品原因</w:t>
            </w:r>
          </w:p>
        </w:tc>
        <w:tc>
          <w:tcPr>
            <w:tcW w:w="1661" w:type="dxa"/>
          </w:tcPr>
          <w:p w14:paraId="2928B69A">
            <w:pPr>
              <w:pStyle w:val="5"/>
            </w:pPr>
            <w:r>
              <w:rPr>
                <w:rFonts w:ascii="仿宋_GB2312" w:hAnsi="仿宋_GB2312" w:eastAsia="仿宋_GB2312" w:cs="仿宋_GB2312"/>
              </w:rPr>
              <w:t>无</w:t>
            </w:r>
          </w:p>
        </w:tc>
      </w:tr>
      <w:tr w14:paraId="04B14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3DEE09D8"/>
        </w:tc>
        <w:tc>
          <w:tcPr>
            <w:tcW w:w="1993" w:type="dxa"/>
          </w:tcPr>
          <w:p w14:paraId="78CA861E">
            <w:pPr>
              <w:pStyle w:val="5"/>
              <w:jc w:val="center"/>
            </w:pPr>
            <w:r>
              <w:rPr>
                <w:rFonts w:ascii="仿宋_GB2312" w:hAnsi="仿宋_GB2312" w:eastAsia="仿宋_GB2312" w:cs="仿宋_GB2312"/>
                <w:b/>
                <w:color w:val="000000"/>
              </w:rPr>
              <w:t>是否采购进口产品</w:t>
            </w:r>
          </w:p>
        </w:tc>
        <w:tc>
          <w:tcPr>
            <w:tcW w:w="1661" w:type="dxa"/>
          </w:tcPr>
          <w:p w14:paraId="6E467E30">
            <w:pPr>
              <w:pStyle w:val="5"/>
            </w:pPr>
            <w:r>
              <w:rPr>
                <w:rFonts w:ascii="仿宋_GB2312" w:hAnsi="仿宋_GB2312" w:eastAsia="仿宋_GB2312" w:cs="仿宋_GB2312"/>
              </w:rPr>
              <w:t>否</w:t>
            </w:r>
          </w:p>
        </w:tc>
        <w:tc>
          <w:tcPr>
            <w:tcW w:w="1993" w:type="dxa"/>
          </w:tcPr>
          <w:p w14:paraId="3777EF3F">
            <w:pPr>
              <w:pStyle w:val="5"/>
              <w:jc w:val="center"/>
            </w:pPr>
            <w:r>
              <w:rPr>
                <w:rFonts w:ascii="仿宋_GB2312" w:hAnsi="仿宋_GB2312" w:eastAsia="仿宋_GB2312" w:cs="仿宋_GB2312"/>
                <w:b/>
                <w:color w:val="000000"/>
              </w:rPr>
              <w:t>标的物所属行业</w:t>
            </w:r>
          </w:p>
        </w:tc>
        <w:tc>
          <w:tcPr>
            <w:tcW w:w="1661" w:type="dxa"/>
          </w:tcPr>
          <w:p w14:paraId="295D3B2B">
            <w:pPr>
              <w:pStyle w:val="5"/>
            </w:pPr>
            <w:r>
              <w:rPr>
                <w:rFonts w:ascii="仿宋_GB2312" w:hAnsi="仿宋_GB2312" w:eastAsia="仿宋_GB2312" w:cs="仿宋_GB2312"/>
              </w:rPr>
              <w:t>软件和信息技术服务业</w:t>
            </w:r>
          </w:p>
        </w:tc>
      </w:tr>
    </w:tbl>
    <w:p w14:paraId="65C7FEC0">
      <w:pPr>
        <w:pStyle w:val="5"/>
      </w:pPr>
      <w:r>
        <w:rPr>
          <w:rFonts w:ascii="仿宋_GB2312" w:hAnsi="仿宋_GB2312" w:eastAsia="仿宋_GB2312" w:cs="仿宋_GB2312"/>
        </w:rPr>
        <w:t>标的名称：科研系统软件升级及与财务系统对接建设</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F40BC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8980D3">
            <w:pPr>
              <w:pStyle w:val="5"/>
            </w:pPr>
            <w:r>
              <w:rPr>
                <w:rFonts w:ascii="仿宋_GB2312" w:hAnsi="仿宋_GB2312" w:eastAsia="仿宋_GB2312" w:cs="仿宋_GB2312"/>
              </w:rPr>
              <w:t xml:space="preserve"> 参数性质</w:t>
            </w:r>
          </w:p>
        </w:tc>
        <w:tc>
          <w:tcPr>
            <w:tcW w:w="2769" w:type="dxa"/>
          </w:tcPr>
          <w:p w14:paraId="12028296">
            <w:pPr>
              <w:pStyle w:val="5"/>
            </w:pPr>
            <w:r>
              <w:rPr>
                <w:rFonts w:ascii="仿宋_GB2312" w:hAnsi="仿宋_GB2312" w:eastAsia="仿宋_GB2312" w:cs="仿宋_GB2312"/>
              </w:rPr>
              <w:t xml:space="preserve"> 序号</w:t>
            </w:r>
          </w:p>
        </w:tc>
        <w:tc>
          <w:tcPr>
            <w:tcW w:w="2769" w:type="dxa"/>
          </w:tcPr>
          <w:p w14:paraId="5FE6DD29">
            <w:pPr>
              <w:pStyle w:val="5"/>
            </w:pPr>
            <w:r>
              <w:rPr>
                <w:rFonts w:ascii="仿宋_GB2312" w:hAnsi="仿宋_GB2312" w:eastAsia="仿宋_GB2312" w:cs="仿宋_GB2312"/>
              </w:rPr>
              <w:t xml:space="preserve"> 技术参数与性能指标</w:t>
            </w:r>
          </w:p>
        </w:tc>
      </w:tr>
      <w:tr w14:paraId="039BC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8800859"/>
        </w:tc>
        <w:tc>
          <w:tcPr>
            <w:tcW w:w="2769" w:type="dxa"/>
          </w:tcPr>
          <w:p w14:paraId="18A0D99B">
            <w:pPr>
              <w:pStyle w:val="5"/>
            </w:pPr>
            <w:r>
              <w:rPr>
                <w:rFonts w:ascii="仿宋_GB2312" w:hAnsi="仿宋_GB2312" w:eastAsia="仿宋_GB2312" w:cs="仿宋_GB2312"/>
              </w:rPr>
              <w:t>1</w:t>
            </w:r>
          </w:p>
        </w:tc>
        <w:tc>
          <w:tcPr>
            <w:tcW w:w="2769" w:type="dxa"/>
          </w:tcPr>
          <w:p w14:paraId="08B49260">
            <w:pPr>
              <w:pStyle w:val="5"/>
              <w:jc w:val="both"/>
            </w:pPr>
            <w:r>
              <w:rPr>
                <w:rFonts w:ascii="仿宋_GB2312" w:hAnsi="仿宋_GB2312" w:eastAsia="仿宋_GB2312" w:cs="仿宋_GB2312"/>
                <w:b/>
                <w:color w:val="000000"/>
                <w:sz w:val="21"/>
              </w:rPr>
              <w:t>技术要求：</w:t>
            </w:r>
          </w:p>
          <w:p w14:paraId="63B7B97D">
            <w:pPr>
              <w:pStyle w:val="5"/>
            </w:pPr>
            <w:r>
              <w:rPr>
                <w:rFonts w:ascii="仿宋_GB2312" w:hAnsi="仿宋_GB2312" w:eastAsia="仿宋_GB2312" w:cs="仿宋_GB2312"/>
                <w:color w:val="000000"/>
                <w:sz w:val="21"/>
              </w:rPr>
              <w:t>1、稳定性：系统架构设计合理，结合必要的集群、热备等手段，保证系统不间断运行。系统用户数量不受限制，实现不少于2000人的同时在线访问，不少于200用户的并发访问量。系统可以全天候7*24天不间断运行，不会因为程序错误导致响应失败或者系统崩溃。数据库设计要保证实现数据高效查询检索、数据更新及数据调用。</w:t>
            </w:r>
          </w:p>
          <w:p w14:paraId="4CB7038D">
            <w:pPr>
              <w:pStyle w:val="5"/>
            </w:pPr>
            <w:r>
              <w:rPr>
                <w:rFonts w:ascii="仿宋_GB2312" w:hAnsi="仿宋_GB2312" w:eastAsia="仿宋_GB2312" w:cs="仿宋_GB2312"/>
                <w:color w:val="000000"/>
                <w:sz w:val="21"/>
              </w:rPr>
              <w:t>▲2、兼容性：1）浏览器兼容性：系统采用标准 Web 技术栈开发，已完成对谷歌 Chrome、Mozilla Firefox、360 浏览器、Microsoft Edge 等主流浏览器的全量兼容性测试，可在上述浏览器的常用版本中稳定运行，界面显示、交互逻辑及功能操作均无异常。</w:t>
            </w:r>
          </w:p>
          <w:p w14:paraId="10EAD27F">
            <w:pPr>
              <w:pStyle w:val="5"/>
            </w:pPr>
            <w:r>
              <w:rPr>
                <w:rFonts w:ascii="仿宋_GB2312" w:hAnsi="仿宋_GB2312" w:eastAsia="仿宋_GB2312" w:cs="仿宋_GB2312"/>
                <w:color w:val="000000"/>
                <w:sz w:val="21"/>
              </w:rPr>
              <w:t>2）国产化生态适配：系统已完成全栈国产化兼容适配工作，支持主流国产化软硬件环境，包括：国产化处理器、国产化服务器 / 桌面操作系统、国产化数据库、国产化中间件。可根据项目实际环境完成针对性适配验证，确保系统在国产化环境下稳定运行。</w:t>
            </w:r>
          </w:p>
          <w:p w14:paraId="670924FD">
            <w:pPr>
              <w:pStyle w:val="5"/>
            </w:pPr>
            <w:r>
              <w:rPr>
                <w:rFonts w:ascii="仿宋_GB2312" w:hAnsi="仿宋_GB2312" w:eastAsia="仿宋_GB2312" w:cs="仿宋_GB2312"/>
                <w:color w:val="000000"/>
                <w:sz w:val="21"/>
              </w:rPr>
              <w:t>3、安全性：1）提供较完善的数据加密机制，确保数据存储和数据传输安全；2）提供明晰的鉴权机制，按业务要求实现功能分级，并对用户分级授权；</w:t>
            </w:r>
          </w:p>
          <w:p w14:paraId="246DA35C">
            <w:pPr>
              <w:pStyle w:val="5"/>
            </w:pPr>
            <w:r>
              <w:rPr>
                <w:rFonts w:ascii="仿宋_GB2312" w:hAnsi="仿宋_GB2312" w:eastAsia="仿宋_GB2312" w:cs="仿宋_GB2312"/>
                <w:color w:val="000000"/>
                <w:sz w:val="21"/>
              </w:rPr>
              <w:t>4、可靠性：可实现故障节点自动剔除与服务自动转移，避免单点故障导致的系统中断；数据层面支持多副本存储与定时备份机制，保障数据安全不丢失。可有效支撑业务数据量持续增长；同时系统已通过高并发、大数据量场景下的压力测试与稳定性测试，在系统设计的容量范围内，随着数据量增长，系统响应速度、并发处理能力等核心指标均不会出现显著下降，可保障业务持续稳定运行。</w:t>
            </w:r>
          </w:p>
          <w:p w14:paraId="2791DD06">
            <w:pPr>
              <w:pStyle w:val="5"/>
            </w:pPr>
            <w:r>
              <w:rPr>
                <w:rFonts w:ascii="仿宋_GB2312" w:hAnsi="仿宋_GB2312" w:eastAsia="仿宋_GB2312" w:cs="仿宋_GB2312"/>
                <w:color w:val="000000"/>
                <w:sz w:val="21"/>
              </w:rPr>
              <w:t>5、可扩展性：系统支持横向与纵向双向扩容，可根据业务负载变化，灵活调整服务器、数据库等资源配置，保障系统在业务增长期具备充足的性能支撑能力，满足未来3-5年的业务发展需求。</w:t>
            </w:r>
          </w:p>
          <w:p w14:paraId="5F8CD13A">
            <w:pPr>
              <w:pStyle w:val="5"/>
            </w:pPr>
            <w:r>
              <w:rPr>
                <w:rFonts w:ascii="仿宋_GB2312" w:hAnsi="仿宋_GB2312" w:eastAsia="仿宋_GB2312" w:cs="仿宋_GB2312"/>
                <w:color w:val="000000"/>
                <w:sz w:val="21"/>
              </w:rPr>
              <w:t>6、易维护性：系统为管理员提供了丰富的系统设置和维护功能，包括用户和权限设置、字段维护、代码表维护、日志监控等等，让管理员在办公室就可以对系统进行各项日常维护工作。</w:t>
            </w:r>
          </w:p>
          <w:p w14:paraId="5B369377">
            <w:pPr>
              <w:pStyle w:val="5"/>
            </w:pPr>
            <w:r>
              <w:rPr>
                <w:rFonts w:ascii="仿宋_GB2312" w:hAnsi="仿宋_GB2312" w:eastAsia="仿宋_GB2312" w:cs="仿宋_GB2312"/>
                <w:color w:val="000000"/>
                <w:sz w:val="21"/>
              </w:rPr>
              <w:t>7、易操作性：系统设计符合业界通用规范和习惯用法，满足非专业用户的日常使用。</w:t>
            </w:r>
          </w:p>
          <w:p w14:paraId="5148029A">
            <w:pPr>
              <w:pStyle w:val="5"/>
            </w:pPr>
            <w:r>
              <w:rPr>
                <w:rFonts w:ascii="仿宋_GB2312" w:hAnsi="仿宋_GB2312" w:eastAsia="仿宋_GB2312" w:cs="仿宋_GB2312"/>
                <w:color w:val="000000"/>
                <w:sz w:val="21"/>
              </w:rPr>
              <w:t>8、可审计：系统具备日志跟踪与分析功能，提供详尽的用户操作日志，提供丰富的查询方式，供追溯和查询。</w:t>
            </w:r>
          </w:p>
          <w:p w14:paraId="2FA47E84">
            <w:pPr>
              <w:pStyle w:val="5"/>
            </w:pPr>
            <w:r>
              <w:rPr>
                <w:rFonts w:ascii="仿宋_GB2312" w:hAnsi="仿宋_GB2312" w:eastAsia="仿宋_GB2312" w:cs="仿宋_GB2312"/>
                <w:color w:val="000000"/>
                <w:sz w:val="21"/>
              </w:rPr>
              <w:t>9、后台自定义：可修改角色权限，包括角色等级、业务权限、操作权限编辑/删除/审核/导出等；可针对不同级别角色，设置不同角色类型及角色账户，实现分级管理。</w:t>
            </w:r>
          </w:p>
          <w:p w14:paraId="1E95AA49">
            <w:pPr>
              <w:pStyle w:val="5"/>
            </w:pPr>
            <w:r>
              <w:rPr>
                <w:rFonts w:ascii="仿宋_GB2312" w:hAnsi="仿宋_GB2312" w:eastAsia="仿宋_GB2312" w:cs="仿宋_GB2312"/>
                <w:color w:val="000000"/>
                <w:sz w:val="21"/>
              </w:rPr>
              <w:t>10、模块授权：项目负责人可将所负责项目授权给他人管理，可以授权所有项目，也可授权单个项目。被授权人登录系统后，可在线办理被授权的项目相关业务，如项目变更、经费认领等。</w:t>
            </w:r>
          </w:p>
        </w:tc>
      </w:tr>
      <w:tr w14:paraId="0D28D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28226D"/>
        </w:tc>
        <w:tc>
          <w:tcPr>
            <w:tcW w:w="2769" w:type="dxa"/>
          </w:tcPr>
          <w:p w14:paraId="39EAE18A">
            <w:pPr>
              <w:pStyle w:val="5"/>
            </w:pPr>
            <w:r>
              <w:rPr>
                <w:rFonts w:ascii="仿宋_GB2312" w:hAnsi="仿宋_GB2312" w:eastAsia="仿宋_GB2312" w:cs="仿宋_GB2312"/>
              </w:rPr>
              <w:t>2</w:t>
            </w:r>
          </w:p>
        </w:tc>
        <w:tc>
          <w:tcPr>
            <w:tcW w:w="2769" w:type="dxa"/>
          </w:tcPr>
          <w:p w14:paraId="749E4DAE">
            <w:pPr>
              <w:pStyle w:val="5"/>
              <w:jc w:val="both"/>
            </w:pPr>
            <w:r>
              <w:rPr>
                <w:rFonts w:ascii="仿宋_GB2312" w:hAnsi="仿宋_GB2312" w:eastAsia="仿宋_GB2312" w:cs="仿宋_GB2312"/>
                <w:b/>
                <w:color w:val="000000"/>
                <w:sz w:val="21"/>
              </w:rPr>
              <w:t>功能要求：</w:t>
            </w:r>
          </w:p>
          <w:p w14:paraId="6DDC5901">
            <w:pPr>
              <w:pStyle w:val="5"/>
            </w:pPr>
            <w:r>
              <w:rPr>
                <w:rFonts w:ascii="仿宋_GB2312" w:hAnsi="仿宋_GB2312" w:eastAsia="仿宋_GB2312" w:cs="仿宋_GB2312"/>
                <w:b/>
                <w:color w:val="000000"/>
                <w:sz w:val="24"/>
              </w:rPr>
              <w:t>1.工作首页</w:t>
            </w:r>
          </w:p>
          <w:p w14:paraId="56007D6C">
            <w:pPr>
              <w:pStyle w:val="5"/>
              <w:ind w:firstLine="420"/>
            </w:pPr>
            <w:r>
              <w:rPr>
                <w:rFonts w:ascii="仿宋_GB2312" w:hAnsi="仿宋_GB2312" w:eastAsia="仿宋_GB2312" w:cs="仿宋_GB2312"/>
                <w:color w:val="000000"/>
                <w:sz w:val="21"/>
              </w:rPr>
              <w:t>工作首页是各类用户登录系统，开展科研工作的首页和提醒页面，需要提供科研统计、通知公告、今日待办、快捷通道等内容，为各类用户提供专属登录场景。</w:t>
            </w:r>
          </w:p>
          <w:p w14:paraId="1C3CB16E">
            <w:pPr>
              <w:pStyle w:val="5"/>
            </w:pPr>
            <w:r>
              <w:rPr>
                <w:rFonts w:ascii="仿宋_GB2312" w:hAnsi="仿宋_GB2312" w:eastAsia="仿宋_GB2312" w:cs="仿宋_GB2312"/>
                <w:b/>
                <w:color w:val="000000"/>
                <w:sz w:val="21"/>
              </w:rPr>
              <w:t xml:space="preserve">1.1科研统计 </w:t>
            </w:r>
          </w:p>
          <w:p w14:paraId="1449F37F">
            <w:pPr>
              <w:pStyle w:val="5"/>
              <w:ind w:firstLine="420"/>
            </w:pPr>
            <w:r>
              <w:rPr>
                <w:rFonts w:ascii="仿宋_GB2312" w:hAnsi="仿宋_GB2312" w:eastAsia="仿宋_GB2312" w:cs="仿宋_GB2312"/>
                <w:color w:val="000000"/>
                <w:sz w:val="21"/>
              </w:rPr>
              <w:t>将科研项目、经费、成果等不同业务模块的数据信息以统计图表的形式展现，需要提供但不限于“年度学院科研经费统计”、“近年科研经费预算和到账情况”、“核心论文发表趋势”以及“科研项目到账经费跨年比较”图。</w:t>
            </w:r>
          </w:p>
          <w:p w14:paraId="41D9138F">
            <w:pPr>
              <w:pStyle w:val="5"/>
            </w:pPr>
            <w:r>
              <w:rPr>
                <w:rFonts w:ascii="仿宋_GB2312" w:hAnsi="仿宋_GB2312" w:eastAsia="仿宋_GB2312" w:cs="仿宋_GB2312"/>
                <w:b/>
                <w:color w:val="000000"/>
                <w:sz w:val="21"/>
              </w:rPr>
              <w:t>1.2通知公告</w:t>
            </w:r>
            <w:r>
              <w:rPr>
                <w:rFonts w:ascii="仿宋_GB2312" w:hAnsi="仿宋_GB2312" w:eastAsia="仿宋_GB2312" w:cs="仿宋_GB2312"/>
                <w:color w:val="000000"/>
                <w:sz w:val="21"/>
              </w:rPr>
              <w:t xml:space="preserve"> </w:t>
            </w:r>
          </w:p>
          <w:p w14:paraId="682EA6EB">
            <w:pPr>
              <w:pStyle w:val="5"/>
              <w:ind w:firstLine="420"/>
            </w:pPr>
            <w:r>
              <w:rPr>
                <w:rFonts w:ascii="仿宋_GB2312" w:hAnsi="仿宋_GB2312" w:eastAsia="仿宋_GB2312" w:cs="仿宋_GB2312"/>
                <w:color w:val="000000"/>
                <w:sz w:val="21"/>
              </w:rPr>
              <w:t>需要提供各类通知公告管理功能，我校管理员用户可管理和发布各类通知公告，科研人员可浏览各类通知公告信息。</w:t>
            </w:r>
          </w:p>
          <w:p w14:paraId="1C9B5D93">
            <w:pPr>
              <w:pStyle w:val="5"/>
            </w:pPr>
            <w:r>
              <w:rPr>
                <w:rFonts w:ascii="仿宋_GB2312" w:hAnsi="仿宋_GB2312" w:eastAsia="仿宋_GB2312" w:cs="仿宋_GB2312"/>
                <w:b/>
                <w:color w:val="000000"/>
                <w:sz w:val="21"/>
              </w:rPr>
              <w:t>1.3今日待办</w:t>
            </w:r>
            <w:r>
              <w:rPr>
                <w:rFonts w:ascii="仿宋_GB2312" w:hAnsi="仿宋_GB2312" w:eastAsia="仿宋_GB2312" w:cs="仿宋_GB2312"/>
                <w:color w:val="000000"/>
                <w:sz w:val="21"/>
              </w:rPr>
              <w:t xml:space="preserve"> </w:t>
            </w:r>
          </w:p>
          <w:p w14:paraId="17540A61">
            <w:pPr>
              <w:pStyle w:val="5"/>
              <w:ind w:firstLine="420"/>
            </w:pPr>
            <w:r>
              <w:rPr>
                <w:rFonts w:ascii="仿宋_GB2312" w:hAnsi="仿宋_GB2312" w:eastAsia="仿宋_GB2312" w:cs="仿宋_GB2312"/>
                <w:color w:val="000000"/>
                <w:sz w:val="21"/>
              </w:rPr>
              <w:t>推送各类用户需处理的待办事项信息，包括项目、经费、成果等业务模块的受理、审核、提醒信息以及各类预警信息，点击相应信息即可进入待办事项处理页面。系统需要对各类待办事项进行分类统计。</w:t>
            </w:r>
          </w:p>
          <w:p w14:paraId="0E3E7F79">
            <w:pPr>
              <w:pStyle w:val="5"/>
            </w:pPr>
            <w:r>
              <w:rPr>
                <w:rFonts w:ascii="仿宋_GB2312" w:hAnsi="仿宋_GB2312" w:eastAsia="仿宋_GB2312" w:cs="仿宋_GB2312"/>
                <w:b/>
                <w:color w:val="000000"/>
                <w:sz w:val="21"/>
              </w:rPr>
              <w:t>1.4快捷通道</w:t>
            </w:r>
            <w:r>
              <w:rPr>
                <w:rFonts w:ascii="仿宋_GB2312" w:hAnsi="仿宋_GB2312" w:eastAsia="仿宋_GB2312" w:cs="仿宋_GB2312"/>
                <w:color w:val="000000"/>
                <w:sz w:val="21"/>
              </w:rPr>
              <w:t xml:space="preserve"> </w:t>
            </w:r>
          </w:p>
          <w:p w14:paraId="7073E5FA">
            <w:pPr>
              <w:pStyle w:val="5"/>
              <w:ind w:firstLine="420"/>
            </w:pPr>
            <w:r>
              <w:rPr>
                <w:rFonts w:ascii="仿宋_GB2312" w:hAnsi="仿宋_GB2312" w:eastAsia="仿宋_GB2312" w:cs="仿宋_GB2312"/>
                <w:color w:val="000000"/>
                <w:sz w:val="21"/>
              </w:rPr>
              <w:t>科研人员工作首页可展示科研办事快捷通道，科研人员通过快捷通道可快速进入项目申报、立项登记、成果新增、文档下载等常用功能入口，快速办理各类科研业务。</w:t>
            </w:r>
          </w:p>
          <w:p w14:paraId="29790E8F">
            <w:pPr>
              <w:pStyle w:val="5"/>
            </w:pPr>
            <w:r>
              <w:rPr>
                <w:rFonts w:ascii="仿宋_GB2312" w:hAnsi="仿宋_GB2312" w:eastAsia="仿宋_GB2312" w:cs="仿宋_GB2312"/>
                <w:b/>
                <w:color w:val="000000"/>
                <w:sz w:val="24"/>
              </w:rPr>
              <w:t>2.项目管理</w:t>
            </w:r>
          </w:p>
          <w:p w14:paraId="3291A476">
            <w:pPr>
              <w:pStyle w:val="5"/>
              <w:ind w:firstLine="211"/>
            </w:pPr>
            <w:r>
              <w:rPr>
                <w:rFonts w:ascii="仿宋_GB2312" w:hAnsi="仿宋_GB2312" w:eastAsia="仿宋_GB2312" w:cs="仿宋_GB2312"/>
                <w:b/>
                <w:color w:val="000000"/>
                <w:sz w:val="21"/>
              </w:rPr>
              <w:t>2.1纵向项目</w:t>
            </w:r>
          </w:p>
          <w:p w14:paraId="1499471B">
            <w:pPr>
              <w:pStyle w:val="5"/>
              <w:ind w:firstLine="420"/>
            </w:pPr>
            <w:r>
              <w:rPr>
                <w:rFonts w:ascii="仿宋_GB2312" w:hAnsi="仿宋_GB2312" w:eastAsia="仿宋_GB2312" w:cs="仿宋_GB2312"/>
                <w:color w:val="000000"/>
                <w:sz w:val="21"/>
              </w:rPr>
              <w:t>实现各级各类纵向项目精细化、差异化管理，包括立项登记、中检变更、验收结项管理，提供增、删、改、查、审、Excel导入导出以及统计分析功能。</w:t>
            </w:r>
          </w:p>
          <w:p w14:paraId="57F4A875">
            <w:pPr>
              <w:pStyle w:val="5"/>
            </w:pPr>
            <w:r>
              <w:rPr>
                <w:rFonts w:ascii="仿宋_GB2312" w:hAnsi="仿宋_GB2312" w:eastAsia="仿宋_GB2312" w:cs="仿宋_GB2312"/>
                <w:color w:val="000000"/>
                <w:sz w:val="21"/>
              </w:rPr>
              <w:t>2.1.1 项目立项</w:t>
            </w:r>
          </w:p>
          <w:p w14:paraId="13771961">
            <w:pPr>
              <w:pStyle w:val="5"/>
              <w:ind w:firstLine="420"/>
            </w:pPr>
            <w:r>
              <w:rPr>
                <w:rFonts w:ascii="仿宋_GB2312" w:hAnsi="仿宋_GB2312" w:eastAsia="仿宋_GB2312" w:cs="仿宋_GB2312"/>
                <w:color w:val="000000"/>
                <w:sz w:val="21"/>
              </w:rPr>
              <w:t>2.1.1.1项目信息管理</w:t>
            </w:r>
          </w:p>
          <w:p w14:paraId="17512314">
            <w:pPr>
              <w:pStyle w:val="5"/>
              <w:ind w:firstLine="420"/>
            </w:pPr>
            <w:r>
              <w:rPr>
                <w:rFonts w:ascii="仿宋_GB2312" w:hAnsi="仿宋_GB2312" w:eastAsia="仿宋_GB2312" w:cs="仿宋_GB2312"/>
                <w:color w:val="000000"/>
                <w:sz w:val="21"/>
              </w:rPr>
              <w:t>可根据上级单位批复情况进行项目立项信息登记、管理，系统需提供项目立项信息新增、删除、审核、导入、导出、查询、批量管理以及统计分析等功能。</w:t>
            </w:r>
          </w:p>
          <w:p w14:paraId="2333B634">
            <w:pPr>
              <w:pStyle w:val="5"/>
              <w:ind w:firstLine="420"/>
            </w:pPr>
            <w:r>
              <w:rPr>
                <w:rFonts w:ascii="仿宋_GB2312" w:hAnsi="仿宋_GB2312" w:eastAsia="仿宋_GB2312" w:cs="仿宋_GB2312"/>
                <w:color w:val="000000"/>
                <w:sz w:val="21"/>
              </w:rPr>
              <w:t>系统需实现特定类别项目立项信息快速采集入库，实现Excel格式数据批量导入，实现单个或多个国家自然科学基金项目PDF计划书导入，可自动解析和获取计划书中项目基本信息、成员信息和预算信息，一键导入系统。系统需提供审核、查询、导入、导出、统计报表等功能。</w:t>
            </w:r>
          </w:p>
          <w:p w14:paraId="1AC95D01">
            <w:pPr>
              <w:pStyle w:val="5"/>
              <w:ind w:firstLine="420"/>
            </w:pPr>
            <w:r>
              <w:rPr>
                <w:rFonts w:ascii="仿宋_GB2312" w:hAnsi="仿宋_GB2312" w:eastAsia="仿宋_GB2312" w:cs="仿宋_GB2312"/>
                <w:color w:val="000000"/>
                <w:sz w:val="21"/>
              </w:rPr>
              <w:t>审核系统需要提供管理部门直接审核(科研人员—科研管理人员)和二级审核(科研人员—科研秘书—科研管理人员)两种审核机制。</w:t>
            </w:r>
          </w:p>
          <w:p w14:paraId="18FE87A7">
            <w:pPr>
              <w:pStyle w:val="5"/>
              <w:ind w:firstLine="420"/>
            </w:pPr>
            <w:r>
              <w:rPr>
                <w:rFonts w:ascii="仿宋_GB2312" w:hAnsi="仿宋_GB2312" w:eastAsia="仿宋_GB2312" w:cs="仿宋_GB2312"/>
                <w:color w:val="000000"/>
                <w:sz w:val="21"/>
              </w:rPr>
              <w:t>查询针对入库的项目信息，系统需要提供快捷查询和复杂查询两种方式，可以根据所需条件进行组合式查询，实现对查询结果进行批量审核、导入导出以及统计分析等操作。</w:t>
            </w:r>
          </w:p>
          <w:p w14:paraId="6BD36436">
            <w:pPr>
              <w:pStyle w:val="5"/>
              <w:ind w:firstLine="420"/>
            </w:pPr>
            <w:r>
              <w:rPr>
                <w:rFonts w:ascii="仿宋_GB2312" w:hAnsi="仿宋_GB2312" w:eastAsia="仿宋_GB2312" w:cs="仿宋_GB2312"/>
                <w:color w:val="000000"/>
                <w:sz w:val="21"/>
              </w:rPr>
              <w:t xml:space="preserve"> Excel数据导入 系统需要实现直接从 Excel 批量导入数据的功能。管理员按照指定的Excel模板整理好项目数据，系统能够一次性导入。主要用于批量立项的省部级及以上项目信息导入。</w:t>
            </w:r>
          </w:p>
          <w:p w14:paraId="42C05A5E">
            <w:pPr>
              <w:pStyle w:val="5"/>
              <w:ind w:firstLine="480"/>
            </w:pPr>
            <w:r>
              <w:rPr>
                <w:rFonts w:ascii="仿宋_GB2312" w:hAnsi="仿宋_GB2312" w:eastAsia="仿宋_GB2312" w:cs="仿宋_GB2312"/>
                <w:color w:val="000000"/>
                <w:sz w:val="21"/>
              </w:rPr>
              <w:t>Excel数据导出 针对项目列表查询结果，系统需要提供导出功能，可选择需导出的信息字段，调整信息字段顺序，实现Excel数据快速导出。</w:t>
            </w:r>
          </w:p>
          <w:p w14:paraId="2217335D">
            <w:pPr>
              <w:pStyle w:val="5"/>
              <w:ind w:firstLine="420"/>
            </w:pPr>
            <w:r>
              <w:rPr>
                <w:rFonts w:ascii="仿宋_GB2312" w:hAnsi="仿宋_GB2312" w:eastAsia="仿宋_GB2312" w:cs="仿宋_GB2312"/>
                <w:color w:val="000000"/>
                <w:sz w:val="21"/>
              </w:rPr>
              <w:t>2.1.1.2政府项目导入</w:t>
            </w:r>
          </w:p>
          <w:p w14:paraId="70D5EE66">
            <w:pPr>
              <w:pStyle w:val="5"/>
              <w:ind w:firstLine="420"/>
            </w:pPr>
            <w:r>
              <w:rPr>
                <w:rFonts w:ascii="仿宋_GB2312" w:hAnsi="仿宋_GB2312" w:eastAsia="仿宋_GB2312" w:cs="仿宋_GB2312"/>
                <w:color w:val="000000"/>
                <w:sz w:val="21"/>
              </w:rPr>
              <w:t>要求提供完全满足以下功能要求的系统全流程截图：系统需要实现多个国家自然科学基金项目PDF计划书导入，实现由国家自然科学基金项目PDF计划书组成的文件夹直接导入，自动解析文件夹中所有PDF计划书中的项目基本信息（包括项目名称、项目批准号、负责人、所在院系、资助类别、申请代码、资助经费、直接经费、间接经费、立项年度、开始日期、结束日期、关键字）、成员信息（成员姓名、出生年月、性别、职称、学位、单位名称、电话、证件号码、项目分工、每年工作时间）和批复预算明细信息。系统需要实现国家社会科学基金项目、教育部人文社会科学研究项目数据批量导入，项目、预算、成员等相关信息自动存储入库。</w:t>
            </w:r>
          </w:p>
          <w:p w14:paraId="165DB619">
            <w:pPr>
              <w:pStyle w:val="5"/>
              <w:ind w:firstLine="420"/>
            </w:pPr>
            <w:r>
              <w:rPr>
                <w:rFonts w:ascii="仿宋_GB2312" w:hAnsi="仿宋_GB2312" w:eastAsia="仿宋_GB2312" w:cs="仿宋_GB2312"/>
                <w:color w:val="000000"/>
                <w:sz w:val="21"/>
              </w:rPr>
              <w:t>2.1.1.3统计报表</w:t>
            </w:r>
          </w:p>
          <w:p w14:paraId="77A5D6CC">
            <w:pPr>
              <w:pStyle w:val="5"/>
              <w:ind w:firstLine="420"/>
            </w:pPr>
            <w:r>
              <w:rPr>
                <w:rFonts w:ascii="仿宋_GB2312" w:hAnsi="仿宋_GB2312" w:eastAsia="仿宋_GB2312" w:cs="仿宋_GB2312"/>
                <w:color w:val="000000"/>
                <w:sz w:val="21"/>
              </w:rPr>
              <w:t>系统须实现针对项目数据快速生成相关统计报表，可选择统计报表的行标题和列标题，按数量、批准经费、配套经费、外拨经费等参数进行统计，可自动生成柱图、饼图和线图等，并提供统计报表数据导出功能。</w:t>
            </w:r>
          </w:p>
          <w:p w14:paraId="5E5AD3FF">
            <w:pPr>
              <w:pStyle w:val="5"/>
              <w:ind w:firstLine="420"/>
            </w:pPr>
            <w:r>
              <w:rPr>
                <w:rFonts w:ascii="仿宋_GB2312" w:hAnsi="仿宋_GB2312" w:eastAsia="仿宋_GB2312" w:cs="仿宋_GB2312"/>
                <w:color w:val="000000"/>
                <w:sz w:val="21"/>
              </w:rPr>
              <w:t>2.1.1.4项目成员</w:t>
            </w:r>
          </w:p>
          <w:p w14:paraId="21769E79">
            <w:pPr>
              <w:pStyle w:val="5"/>
              <w:ind w:firstLine="420"/>
            </w:pPr>
            <w:r>
              <w:rPr>
                <w:rFonts w:ascii="仿宋_GB2312" w:hAnsi="仿宋_GB2312" w:eastAsia="仿宋_GB2312" w:cs="仿宋_GB2312"/>
                <w:color w:val="000000"/>
                <w:sz w:val="21"/>
              </w:rPr>
              <w:t>项目成员包含项目负责人，成员有校内教师、学生及校外人员三种类型，允许多负责人存在。</w:t>
            </w:r>
          </w:p>
          <w:p w14:paraId="42A72EAF">
            <w:pPr>
              <w:pStyle w:val="5"/>
              <w:ind w:firstLine="420"/>
            </w:pPr>
            <w:r>
              <w:rPr>
                <w:rFonts w:ascii="仿宋_GB2312" w:hAnsi="仿宋_GB2312" w:eastAsia="仿宋_GB2312" w:cs="仿宋_GB2312"/>
                <w:color w:val="000000"/>
                <w:sz w:val="21"/>
              </w:rPr>
              <w:t>2.1.1.5合作单位</w:t>
            </w:r>
          </w:p>
          <w:p w14:paraId="29CF6547">
            <w:pPr>
              <w:pStyle w:val="5"/>
              <w:ind w:firstLine="420"/>
            </w:pPr>
            <w:r>
              <w:rPr>
                <w:rFonts w:ascii="仿宋_GB2312" w:hAnsi="仿宋_GB2312" w:eastAsia="仿宋_GB2312" w:cs="仿宋_GB2312"/>
                <w:color w:val="000000"/>
                <w:sz w:val="21"/>
              </w:rPr>
              <w:t>主要对合作单位进行管理。实现合作单位基本信息的登记管理。</w:t>
            </w:r>
          </w:p>
          <w:p w14:paraId="64568985">
            <w:pPr>
              <w:pStyle w:val="5"/>
              <w:ind w:firstLine="420"/>
            </w:pPr>
            <w:r>
              <w:rPr>
                <w:rFonts w:ascii="仿宋_GB2312" w:hAnsi="仿宋_GB2312" w:eastAsia="仿宋_GB2312" w:cs="仿宋_GB2312"/>
                <w:color w:val="000000"/>
                <w:sz w:val="21"/>
              </w:rPr>
              <w:t>2.1.1.6项目预算</w:t>
            </w:r>
          </w:p>
          <w:p w14:paraId="58D5BFDA">
            <w:pPr>
              <w:pStyle w:val="5"/>
              <w:ind w:firstLine="420"/>
            </w:pPr>
            <w:r>
              <w:rPr>
                <w:rFonts w:ascii="仿宋_GB2312" w:hAnsi="仿宋_GB2312" w:eastAsia="仿宋_GB2312" w:cs="仿宋_GB2312"/>
                <w:color w:val="000000"/>
                <w:sz w:val="21"/>
              </w:rPr>
              <w:t>项目预算需实现项目批复预算的管理。如项目存在经费外拨，需完成校内预算信息的管理，留校预算和外拨预算之和等于批复预算；如项目存在配套经费，需完成配套预算的管理。对于非包干制项目，实现精简合并预算编制科目，科研项目按设备费、业务费、劳务费三大类编制直接费用预算。</w:t>
            </w:r>
          </w:p>
          <w:p w14:paraId="06EB4820">
            <w:pPr>
              <w:pStyle w:val="5"/>
              <w:ind w:firstLine="420"/>
            </w:pPr>
            <w:r>
              <w:rPr>
                <w:rFonts w:ascii="仿宋_GB2312" w:hAnsi="仿宋_GB2312" w:eastAsia="仿宋_GB2312" w:cs="仿宋_GB2312"/>
                <w:color w:val="000000"/>
                <w:sz w:val="21"/>
              </w:rPr>
              <w:t>2.1.1.7项目文档</w:t>
            </w:r>
          </w:p>
          <w:p w14:paraId="2902E8CD">
            <w:pPr>
              <w:pStyle w:val="5"/>
              <w:ind w:firstLine="420"/>
            </w:pPr>
            <w:r>
              <w:rPr>
                <w:rFonts w:ascii="仿宋_GB2312" w:hAnsi="仿宋_GB2312" w:eastAsia="仿宋_GB2312" w:cs="仿宋_GB2312"/>
                <w:color w:val="000000"/>
                <w:sz w:val="21"/>
              </w:rPr>
              <w:t>需要实现对项目过程全部文档的管理。项目审核通过后，科研人员可继续上传相关文档材料，管理人员审核通过后自动存储备案。</w:t>
            </w:r>
          </w:p>
          <w:p w14:paraId="44914A1A">
            <w:pPr>
              <w:pStyle w:val="5"/>
            </w:pPr>
            <w:r>
              <w:rPr>
                <w:rFonts w:ascii="仿宋_GB2312" w:hAnsi="仿宋_GB2312" w:eastAsia="仿宋_GB2312" w:cs="仿宋_GB2312"/>
                <w:color w:val="000000"/>
                <w:sz w:val="21"/>
              </w:rPr>
              <w:t>2.1.2项目变更</w:t>
            </w:r>
          </w:p>
          <w:p w14:paraId="1802C3CC">
            <w:pPr>
              <w:pStyle w:val="5"/>
              <w:ind w:firstLine="420"/>
            </w:pPr>
            <w:r>
              <w:rPr>
                <w:rFonts w:ascii="仿宋_GB2312" w:hAnsi="仿宋_GB2312" w:eastAsia="仿宋_GB2312" w:cs="仿宋_GB2312"/>
                <w:color w:val="000000"/>
                <w:sz w:val="21"/>
              </w:rPr>
              <w:t>在项目执行过程中，实现对项目变更进行控制。项目负责人可提交项目成员、经费预算、委托、延期、中止等项目变更申请，并上传变更证明材料附件，科研管理人员对变更申请审查通过后，变更信息正式备案。</w:t>
            </w:r>
          </w:p>
          <w:p w14:paraId="37D7CA3A">
            <w:pPr>
              <w:pStyle w:val="5"/>
            </w:pPr>
            <w:r>
              <w:rPr>
                <w:rFonts w:ascii="仿宋_GB2312" w:hAnsi="仿宋_GB2312" w:eastAsia="仿宋_GB2312" w:cs="仿宋_GB2312"/>
                <w:color w:val="000000"/>
                <w:sz w:val="21"/>
              </w:rPr>
              <w:t>2.1.3项目中检</w:t>
            </w:r>
          </w:p>
          <w:p w14:paraId="426F864F">
            <w:pPr>
              <w:pStyle w:val="5"/>
              <w:ind w:firstLine="420"/>
            </w:pPr>
            <w:r>
              <w:rPr>
                <w:rFonts w:ascii="仿宋_GB2312" w:hAnsi="仿宋_GB2312" w:eastAsia="仿宋_GB2312" w:cs="仿宋_GB2312"/>
                <w:color w:val="000000"/>
                <w:sz w:val="21"/>
              </w:rPr>
              <w:t>在项目执行过程中，科研管理人员如果需要对项目中期完成情况进行检查，可在线发布中期检查通知，针对不同类别项目设置不同的中检日期范围，系统根据已设置的日期自动向项目负责人发送中检提醒和预警信息（提醒信息可通过短信、邮件、移动端等自动发送），项目负责人收到中检通知后，可在线上传和提交中期检查材料。</w:t>
            </w:r>
          </w:p>
          <w:p w14:paraId="7388D3DE">
            <w:pPr>
              <w:pStyle w:val="5"/>
            </w:pPr>
            <w:r>
              <w:rPr>
                <w:rFonts w:ascii="仿宋_GB2312" w:hAnsi="仿宋_GB2312" w:eastAsia="仿宋_GB2312" w:cs="仿宋_GB2312"/>
                <w:color w:val="000000"/>
                <w:sz w:val="21"/>
              </w:rPr>
              <w:t>2.1.4 项目结项</w:t>
            </w:r>
          </w:p>
          <w:p w14:paraId="57C597AB">
            <w:pPr>
              <w:pStyle w:val="5"/>
              <w:ind w:firstLine="420"/>
            </w:pPr>
            <w:r>
              <w:rPr>
                <w:rFonts w:ascii="仿宋_GB2312" w:hAnsi="仿宋_GB2312" w:eastAsia="仿宋_GB2312" w:cs="仿宋_GB2312"/>
                <w:color w:val="000000"/>
                <w:sz w:val="21"/>
              </w:rPr>
              <w:t>可实现我校科研管理人员对项目结项情况管理。系统需满足可针对不同类别项目设置不同的可结项日期范围，系统根据已设置的日期自动向项目负责人推送结项提醒（提醒信息可通过短信、邮件、移动端等自动发送），项目负责人上传和提交相关结项材料，经科研管理人员审核通过后完成结项备案，形成电子归档。</w:t>
            </w:r>
          </w:p>
          <w:p w14:paraId="46613803">
            <w:pPr>
              <w:pStyle w:val="5"/>
            </w:pPr>
            <w:r>
              <w:rPr>
                <w:rFonts w:ascii="仿宋_GB2312" w:hAnsi="仿宋_GB2312" w:eastAsia="仿宋_GB2312" w:cs="仿宋_GB2312"/>
                <w:color w:val="000000"/>
                <w:sz w:val="21"/>
              </w:rPr>
              <w:t>2.1.5项目分类</w:t>
            </w:r>
          </w:p>
          <w:p w14:paraId="6FAC51F3">
            <w:pPr>
              <w:pStyle w:val="5"/>
              <w:ind w:firstLine="420"/>
            </w:pPr>
            <w:r>
              <w:rPr>
                <w:rFonts w:ascii="仿宋_GB2312" w:hAnsi="仿宋_GB2312" w:eastAsia="仿宋_GB2312" w:cs="仿宋_GB2312"/>
                <w:color w:val="000000"/>
                <w:sz w:val="21"/>
              </w:rPr>
              <w:t>须建立项目分类结构树，对项目类别及其预算标准模板进行设置和管理。</w:t>
            </w:r>
          </w:p>
          <w:p w14:paraId="3AD0AF9A">
            <w:pPr>
              <w:pStyle w:val="5"/>
              <w:ind w:firstLine="420"/>
            </w:pPr>
            <w:r>
              <w:rPr>
                <w:rFonts w:ascii="仿宋_GB2312" w:hAnsi="仿宋_GB2312" w:eastAsia="仿宋_GB2312" w:cs="仿宋_GB2312"/>
                <w:color w:val="000000"/>
                <w:sz w:val="21"/>
              </w:rPr>
              <w:t>2.1.5.1项目分类</w:t>
            </w:r>
          </w:p>
          <w:p w14:paraId="34C08DB3">
            <w:pPr>
              <w:pStyle w:val="5"/>
              <w:ind w:firstLine="420"/>
            </w:pPr>
            <w:r>
              <w:rPr>
                <w:rFonts w:ascii="仿宋_GB2312" w:hAnsi="仿宋_GB2312" w:eastAsia="仿宋_GB2312" w:cs="仿宋_GB2312"/>
                <w:color w:val="000000"/>
                <w:sz w:val="21"/>
              </w:rPr>
              <w:t>要求系统提供完全满足以下功能要求的系统全流程截图：可建立项目分类结构树，配置各类项目级别、预算标准、经费建卡模式、预算拆分规则、费用提取方案及其编号规则等。</w:t>
            </w:r>
          </w:p>
          <w:p w14:paraId="19590FD4">
            <w:pPr>
              <w:pStyle w:val="5"/>
              <w:ind w:firstLine="420"/>
            </w:pPr>
            <w:r>
              <w:rPr>
                <w:rFonts w:ascii="仿宋_GB2312" w:hAnsi="仿宋_GB2312" w:eastAsia="仿宋_GB2312" w:cs="仿宋_GB2312"/>
                <w:color w:val="000000"/>
                <w:sz w:val="21"/>
              </w:rPr>
              <w:t>2.1.5.2预算标准</w:t>
            </w:r>
          </w:p>
          <w:p w14:paraId="5383BFD5">
            <w:pPr>
              <w:pStyle w:val="5"/>
              <w:ind w:firstLine="420"/>
            </w:pPr>
            <w:r>
              <w:rPr>
                <w:rFonts w:ascii="仿宋_GB2312" w:hAnsi="仿宋_GB2312" w:eastAsia="仿宋_GB2312" w:cs="仿宋_GB2312"/>
                <w:color w:val="000000"/>
                <w:sz w:val="21"/>
              </w:rPr>
              <w:t>可依据项目类别建立对应的预算标准模板，设置预算科目、子科目以及科目类型等信息。</w:t>
            </w:r>
          </w:p>
          <w:p w14:paraId="0864A093">
            <w:pPr>
              <w:pStyle w:val="5"/>
              <w:ind w:firstLine="240"/>
            </w:pPr>
            <w:r>
              <w:rPr>
                <w:rFonts w:ascii="仿宋_GB2312" w:hAnsi="仿宋_GB2312" w:eastAsia="仿宋_GB2312" w:cs="仿宋_GB2312"/>
                <w:color w:val="000000"/>
                <w:sz w:val="24"/>
              </w:rPr>
              <w:t>▲</w:t>
            </w:r>
            <w:r>
              <w:rPr>
                <w:rFonts w:ascii="仿宋_GB2312" w:hAnsi="仿宋_GB2312" w:eastAsia="仿宋_GB2312" w:cs="仿宋_GB2312"/>
                <w:b/>
                <w:color w:val="000000"/>
                <w:sz w:val="21"/>
              </w:rPr>
              <w:t>2.2横向项目</w:t>
            </w:r>
          </w:p>
          <w:p w14:paraId="653FCF0D">
            <w:pPr>
              <w:pStyle w:val="5"/>
              <w:ind w:firstLine="420"/>
            </w:pPr>
            <w:r>
              <w:rPr>
                <w:rFonts w:ascii="仿宋_GB2312" w:hAnsi="仿宋_GB2312" w:eastAsia="仿宋_GB2312" w:cs="仿宋_GB2312"/>
                <w:color w:val="000000"/>
                <w:sz w:val="21"/>
              </w:rPr>
              <w:t>横向项目指学校与企事业单位合作项目。横向项目管理模块主要围绕项目合同进行管理，提供合同签审、合同备案、合同变更以及合作单位资质管理等功能。</w:t>
            </w:r>
          </w:p>
          <w:p w14:paraId="2C7784C6">
            <w:pPr>
              <w:pStyle w:val="5"/>
            </w:pPr>
            <w:r>
              <w:rPr>
                <w:rFonts w:ascii="仿宋_GB2312" w:hAnsi="仿宋_GB2312" w:eastAsia="仿宋_GB2312" w:cs="仿宋_GB2312"/>
                <w:color w:val="000000"/>
                <w:sz w:val="21"/>
              </w:rPr>
              <w:t>2.2.1合同签审</w:t>
            </w:r>
          </w:p>
          <w:p w14:paraId="02820238">
            <w:pPr>
              <w:pStyle w:val="5"/>
              <w:ind w:firstLine="420"/>
            </w:pPr>
            <w:r>
              <w:rPr>
                <w:rFonts w:ascii="仿宋_GB2312" w:hAnsi="仿宋_GB2312" w:eastAsia="仿宋_GB2312" w:cs="仿宋_GB2312"/>
                <w:color w:val="000000"/>
                <w:sz w:val="21"/>
              </w:rPr>
              <w:t>系统须实现对申请流程中的合同进行线上签审管理，需提供合同新增、编辑、完善、审核、批量管理、删除、导出和统计功能。</w:t>
            </w:r>
          </w:p>
          <w:p w14:paraId="350FC653">
            <w:pPr>
              <w:pStyle w:val="5"/>
              <w:ind w:firstLine="420"/>
            </w:pPr>
            <w:r>
              <w:rPr>
                <w:rFonts w:ascii="仿宋_GB2312" w:hAnsi="仿宋_GB2312" w:eastAsia="仿宋_GB2312" w:cs="仿宋_GB2312"/>
                <w:color w:val="000000"/>
                <w:sz w:val="21"/>
              </w:rPr>
              <w:t>系统须实现项目负责人在线登记合同基本信息，提交合同文档。</w:t>
            </w:r>
          </w:p>
          <w:p w14:paraId="48B94751">
            <w:pPr>
              <w:pStyle w:val="5"/>
              <w:ind w:firstLine="420"/>
            </w:pPr>
            <w:r>
              <w:rPr>
                <w:rFonts w:ascii="仿宋_GB2312" w:hAnsi="仿宋_GB2312" w:eastAsia="仿宋_GB2312" w:cs="仿宋_GB2312"/>
                <w:color w:val="000000"/>
                <w:sz w:val="21"/>
              </w:rPr>
              <w:t>系统须实现科研管理人员在线审阅合同文档，填写审批意见，查看历史审核记录及其审批意见信息。</w:t>
            </w:r>
          </w:p>
          <w:p w14:paraId="7C5DF91E">
            <w:pPr>
              <w:pStyle w:val="5"/>
            </w:pPr>
            <w:r>
              <w:rPr>
                <w:rFonts w:ascii="仿宋_GB2312" w:hAnsi="仿宋_GB2312" w:eastAsia="仿宋_GB2312" w:cs="仿宋_GB2312"/>
                <w:color w:val="000000"/>
                <w:sz w:val="21"/>
              </w:rPr>
              <w:t>2.2.2合同备案</w:t>
            </w:r>
          </w:p>
          <w:p w14:paraId="5C8CA662">
            <w:pPr>
              <w:pStyle w:val="5"/>
              <w:ind w:firstLine="420"/>
            </w:pPr>
            <w:r>
              <w:rPr>
                <w:rFonts w:ascii="仿宋_GB2312" w:hAnsi="仿宋_GB2312" w:eastAsia="仿宋_GB2312" w:cs="仿宋_GB2312"/>
                <w:color w:val="000000"/>
                <w:sz w:val="21"/>
              </w:rPr>
              <w:t>系统须实现，对已签订的合同进行登记和备案，需要提供新增、编辑、审核、批量管理、删除、导入、导出以及统计分析功能。</w:t>
            </w:r>
          </w:p>
          <w:p w14:paraId="7FABA02F">
            <w:pPr>
              <w:pStyle w:val="5"/>
              <w:ind w:firstLine="420"/>
            </w:pPr>
            <w:r>
              <w:rPr>
                <w:rFonts w:ascii="仿宋_GB2312" w:hAnsi="仿宋_GB2312" w:eastAsia="仿宋_GB2312" w:cs="仿宋_GB2312"/>
                <w:color w:val="000000"/>
                <w:sz w:val="21"/>
              </w:rPr>
              <w:t>系统须实现，项目负责人在线登记合同基本信息、成员信息、预算信息，上传合同正式文档附件。经我校科研管理人员审定后，合同备案通过。</w:t>
            </w:r>
          </w:p>
          <w:p w14:paraId="688C54A5">
            <w:pPr>
              <w:pStyle w:val="5"/>
              <w:ind w:firstLine="420"/>
            </w:pPr>
            <w:r>
              <w:rPr>
                <w:rFonts w:ascii="仿宋_GB2312" w:hAnsi="仿宋_GB2312" w:eastAsia="仿宋_GB2312" w:cs="仿宋_GB2312"/>
                <w:color w:val="000000"/>
                <w:sz w:val="21"/>
              </w:rPr>
              <w:t>合同备案还可通过AI辅助实现。须在学校部署局域大模型或者接入学校本地部署的大模型，基于大模型科研语义理解能力和多模态能力，从科研业务支撑文档（Word或者PDF文件）、图片等材料中智能提取科研业务申请表单所需信息，实现业务信息智能登记，通过AI辅助完成业务申请。</w:t>
            </w:r>
          </w:p>
          <w:p w14:paraId="782C4150">
            <w:pPr>
              <w:pStyle w:val="5"/>
              <w:ind w:firstLine="420"/>
            </w:pPr>
            <w:r>
              <w:rPr>
                <w:rFonts w:ascii="仿宋_GB2312" w:hAnsi="仿宋_GB2312" w:eastAsia="仿宋_GB2312" w:cs="仿宋_GB2312"/>
                <w:color w:val="000000"/>
                <w:sz w:val="21"/>
              </w:rPr>
              <w:t>要求提供完全满足以下功能要求的系统全流程截图：支持对横向合同文本自动解析和关键业务属性提取，包含项目基本信息、成员信息、预算信息、合作单位信息等，实现提取业务属性的系统内自动填充，用户可对填充结果进行修改、补充和确认。</w:t>
            </w:r>
          </w:p>
          <w:p w14:paraId="77492B20">
            <w:pPr>
              <w:pStyle w:val="5"/>
              <w:ind w:firstLine="420"/>
            </w:pPr>
            <w:r>
              <w:rPr>
                <w:rFonts w:ascii="仿宋_GB2312" w:hAnsi="仿宋_GB2312" w:eastAsia="仿宋_GB2312" w:cs="仿宋_GB2312"/>
                <w:color w:val="000000"/>
                <w:sz w:val="21"/>
              </w:rPr>
              <w:t>合同经我校科研管理人员审定后，合同备案通过。合同备案通过后，项目负责人仍可继续上传其他相关文档材料，管理人员审核通过后自动存储备案。</w:t>
            </w:r>
          </w:p>
          <w:p w14:paraId="16CC3CFF">
            <w:pPr>
              <w:pStyle w:val="5"/>
            </w:pPr>
            <w:r>
              <w:rPr>
                <w:rFonts w:ascii="仿宋_GB2312" w:hAnsi="仿宋_GB2312" w:eastAsia="仿宋_GB2312" w:cs="仿宋_GB2312"/>
                <w:color w:val="000000"/>
                <w:sz w:val="21"/>
              </w:rPr>
              <w:t xml:space="preserve"> 2.2.3合同认定</w:t>
            </w:r>
          </w:p>
          <w:p w14:paraId="00A2B377">
            <w:pPr>
              <w:pStyle w:val="5"/>
              <w:ind w:firstLine="420"/>
            </w:pPr>
            <w:r>
              <w:rPr>
                <w:rFonts w:ascii="仿宋_GB2312" w:hAnsi="仿宋_GB2312" w:eastAsia="仿宋_GB2312" w:cs="仿宋_GB2312"/>
                <w:color w:val="000000"/>
                <w:sz w:val="21"/>
              </w:rPr>
              <w:t>该模块主要实现技术开发、技术咨询、技术转让、技术许可合同签订后在科技行政主管部门办理四技合同认定过程中所需材料生成及登记。</w:t>
            </w:r>
          </w:p>
          <w:p w14:paraId="1E50DBEC">
            <w:pPr>
              <w:pStyle w:val="5"/>
              <w:ind w:firstLine="420"/>
            </w:pPr>
            <w:r>
              <w:rPr>
                <w:rFonts w:ascii="仿宋_GB2312" w:hAnsi="仿宋_GB2312" w:eastAsia="仿宋_GB2312" w:cs="仿宋_GB2312"/>
                <w:color w:val="000000"/>
                <w:sz w:val="21"/>
              </w:rPr>
              <w:t>要求提供完全满足以下功能要求的系统全流程截图：对已备案合同，可在线进行合同认定登记，在线打印收入核定表。</w:t>
            </w:r>
          </w:p>
          <w:p w14:paraId="66C763F5">
            <w:pPr>
              <w:pStyle w:val="5"/>
            </w:pPr>
            <w:r>
              <w:rPr>
                <w:rFonts w:ascii="仿宋_GB2312" w:hAnsi="仿宋_GB2312" w:eastAsia="仿宋_GB2312" w:cs="仿宋_GB2312"/>
                <w:color w:val="000000"/>
                <w:sz w:val="21"/>
              </w:rPr>
              <w:t>2.2.4 合同变更</w:t>
            </w:r>
          </w:p>
          <w:p w14:paraId="4BB423E5">
            <w:pPr>
              <w:pStyle w:val="5"/>
              <w:spacing w:after="120"/>
              <w:ind w:firstLine="480"/>
            </w:pPr>
            <w:r>
              <w:rPr>
                <w:rFonts w:ascii="仿宋_GB2312" w:hAnsi="仿宋_GB2312" w:eastAsia="仿宋_GB2312" w:cs="仿宋_GB2312"/>
                <w:color w:val="000000"/>
                <w:sz w:val="21"/>
              </w:rPr>
              <w:t>合同如果发生变更，项目负责人可在线提交合同变更申请，科研管理人员可以查看和审核项目负责人提交的合同变更申请信息，经审批通过后备案。</w:t>
            </w:r>
          </w:p>
          <w:p w14:paraId="506CAE0A">
            <w:pPr>
              <w:pStyle w:val="5"/>
            </w:pPr>
            <w:r>
              <w:rPr>
                <w:rFonts w:ascii="仿宋_GB2312" w:hAnsi="仿宋_GB2312" w:eastAsia="仿宋_GB2312" w:cs="仿宋_GB2312"/>
                <w:color w:val="000000"/>
                <w:sz w:val="21"/>
              </w:rPr>
              <w:t>2.2.5 合同结项</w:t>
            </w:r>
          </w:p>
          <w:p w14:paraId="57495269">
            <w:pPr>
              <w:pStyle w:val="5"/>
              <w:spacing w:after="120"/>
              <w:ind w:firstLine="480"/>
            </w:pPr>
            <w:r>
              <w:rPr>
                <w:rFonts w:ascii="仿宋_GB2312" w:hAnsi="仿宋_GB2312" w:eastAsia="仿宋_GB2312" w:cs="仿宋_GB2312"/>
                <w:color w:val="000000"/>
                <w:sz w:val="21"/>
              </w:rPr>
              <w:t>科研管理人员可对项目结项情况进行管理，可针对不同类别项目设置不同的可结项日期范围，系统根据已设置的日期自动向项目负责人推送结项提醒（提醒信息可通过短信、邮件、移动端等自动发送），项目负责人上传和提交相关结项材料，经科研管理人员审核通过后完成结项备案，形成电子归档。</w:t>
            </w:r>
          </w:p>
          <w:p w14:paraId="2DB13A9D">
            <w:pPr>
              <w:pStyle w:val="5"/>
            </w:pPr>
            <w:r>
              <w:rPr>
                <w:rFonts w:ascii="仿宋_GB2312" w:hAnsi="仿宋_GB2312" w:eastAsia="仿宋_GB2312" w:cs="仿宋_GB2312"/>
                <w:color w:val="000000"/>
                <w:sz w:val="21"/>
              </w:rPr>
              <w:t>2.2.6 合作单位资质管理</w:t>
            </w:r>
          </w:p>
          <w:p w14:paraId="75EF33A3">
            <w:pPr>
              <w:pStyle w:val="5"/>
              <w:ind w:firstLine="420"/>
            </w:pPr>
            <w:r>
              <w:rPr>
                <w:rFonts w:ascii="仿宋_GB2312" w:hAnsi="仿宋_GB2312" w:eastAsia="仿宋_GB2312" w:cs="仿宋_GB2312"/>
                <w:color w:val="000000"/>
                <w:sz w:val="21"/>
              </w:rPr>
              <w:t>系统须实现对合作单位基本信息及其资质信息等进行管理，科研管理人员可以对具备资质的合作单位进行登记、审核和备案。</w:t>
            </w:r>
          </w:p>
          <w:p w14:paraId="19BC309B">
            <w:pPr>
              <w:pStyle w:val="5"/>
            </w:pPr>
            <w:r>
              <w:rPr>
                <w:rFonts w:ascii="仿宋_GB2312" w:hAnsi="仿宋_GB2312" w:eastAsia="仿宋_GB2312" w:cs="仿宋_GB2312"/>
                <w:color w:val="000000"/>
                <w:sz w:val="21"/>
              </w:rPr>
              <w:t>2.2.7 合同分类</w:t>
            </w:r>
          </w:p>
          <w:p w14:paraId="7F356D2C">
            <w:pPr>
              <w:pStyle w:val="5"/>
              <w:ind w:firstLine="420"/>
            </w:pPr>
            <w:r>
              <w:rPr>
                <w:rFonts w:ascii="仿宋_GB2312" w:hAnsi="仿宋_GB2312" w:eastAsia="仿宋_GB2312" w:cs="仿宋_GB2312"/>
                <w:color w:val="000000"/>
                <w:sz w:val="21"/>
              </w:rPr>
              <w:t>可建立合同分类，配置各类合同预算标准、经费建卡模式、预算拆分规则、费用提取方案及其编号规则等。</w:t>
            </w:r>
          </w:p>
          <w:p w14:paraId="7A7CC550">
            <w:pPr>
              <w:pStyle w:val="5"/>
            </w:pPr>
            <w:r>
              <w:rPr>
                <w:rFonts w:ascii="仿宋_GB2312" w:hAnsi="仿宋_GB2312" w:eastAsia="仿宋_GB2312" w:cs="仿宋_GB2312"/>
                <w:color w:val="000000"/>
                <w:sz w:val="21"/>
              </w:rPr>
              <w:t>2.2.8 合同模板</w:t>
            </w:r>
          </w:p>
          <w:p w14:paraId="2CFC1DC6">
            <w:pPr>
              <w:pStyle w:val="5"/>
              <w:ind w:firstLine="420"/>
            </w:pPr>
            <w:r>
              <w:rPr>
                <w:rFonts w:ascii="仿宋_GB2312" w:hAnsi="仿宋_GB2312" w:eastAsia="仿宋_GB2312" w:cs="仿宋_GB2312"/>
                <w:color w:val="000000"/>
                <w:sz w:val="21"/>
              </w:rPr>
              <w:t>科研管理人员可上传、管理和维护各类合同模板，供科研人员使用。</w:t>
            </w:r>
          </w:p>
          <w:p w14:paraId="5F3DC644">
            <w:pPr>
              <w:pStyle w:val="5"/>
            </w:pPr>
            <w:r>
              <w:rPr>
                <w:rFonts w:ascii="仿宋_GB2312" w:hAnsi="仿宋_GB2312" w:eastAsia="仿宋_GB2312" w:cs="仿宋_GB2312"/>
                <w:color w:val="000000"/>
                <w:sz w:val="21"/>
              </w:rPr>
              <w:t>2.2.9 天眼查对接</w:t>
            </w:r>
          </w:p>
          <w:p w14:paraId="10ED1249">
            <w:pPr>
              <w:pStyle w:val="5"/>
              <w:spacing w:after="120"/>
              <w:ind w:firstLine="480"/>
            </w:pPr>
            <w:r>
              <w:rPr>
                <w:rFonts w:ascii="仿宋_GB2312" w:hAnsi="仿宋_GB2312" w:eastAsia="仿宋_GB2312" w:cs="仿宋_GB2312"/>
                <w:color w:val="000000"/>
                <w:sz w:val="21"/>
              </w:rPr>
              <w:t>实现横向合同审批与天眼查系统对接，在系统内输入合作单位名称后，可直接调用该单位的基本信息和资质证明等相关信息（不包含天眼查收取的费用）。</w:t>
            </w:r>
          </w:p>
          <w:p w14:paraId="17942759">
            <w:pPr>
              <w:pStyle w:val="5"/>
            </w:pPr>
            <w:r>
              <w:rPr>
                <w:rFonts w:ascii="仿宋_GB2312" w:hAnsi="仿宋_GB2312" w:eastAsia="仿宋_GB2312" w:cs="仿宋_GB2312"/>
                <w:b/>
                <w:color w:val="000000"/>
                <w:sz w:val="21"/>
              </w:rPr>
              <w:t>2.3校级项目</w:t>
            </w:r>
          </w:p>
          <w:p w14:paraId="36F5964E">
            <w:pPr>
              <w:pStyle w:val="5"/>
              <w:ind w:firstLine="420"/>
            </w:pPr>
            <w:r>
              <w:rPr>
                <w:rFonts w:ascii="仿宋_GB2312" w:hAnsi="仿宋_GB2312" w:eastAsia="仿宋_GB2312" w:cs="仿宋_GB2312"/>
                <w:color w:val="000000"/>
                <w:sz w:val="21"/>
              </w:rPr>
              <w:t>校级项目通常指学校内部资助立项的项目。校级项目管理模块需提供项目立项、中检、变更、结项、项目分类设置和评审方案设置功能。</w:t>
            </w:r>
          </w:p>
          <w:p w14:paraId="73F335FF">
            <w:pPr>
              <w:pStyle w:val="5"/>
            </w:pPr>
            <w:r>
              <w:rPr>
                <w:rFonts w:ascii="仿宋_GB2312" w:hAnsi="仿宋_GB2312" w:eastAsia="仿宋_GB2312" w:cs="仿宋_GB2312"/>
                <w:color w:val="000000"/>
                <w:sz w:val="21"/>
              </w:rPr>
              <w:t>2.3.1 项目立项登记</w:t>
            </w:r>
          </w:p>
          <w:p w14:paraId="48A8E91A">
            <w:pPr>
              <w:pStyle w:val="5"/>
              <w:ind w:firstLine="420"/>
            </w:pPr>
            <w:r>
              <w:rPr>
                <w:rFonts w:ascii="仿宋_GB2312" w:hAnsi="仿宋_GB2312" w:eastAsia="仿宋_GB2312" w:cs="仿宋_GB2312"/>
                <w:color w:val="000000"/>
                <w:sz w:val="21"/>
              </w:rPr>
              <w:t>校级项目立项信息登记，可衔接前期申报评审，也可直接新增立项登记。需提供项目立项信息新增、删除、审核、导入、导出、查询、批量管理以及统计分析等功能。</w:t>
            </w:r>
          </w:p>
          <w:p w14:paraId="501EB4DB">
            <w:pPr>
              <w:pStyle w:val="5"/>
              <w:ind w:firstLine="420"/>
            </w:pPr>
            <w:r>
              <w:rPr>
                <w:rFonts w:ascii="仿宋_GB2312" w:hAnsi="仿宋_GB2312" w:eastAsia="仿宋_GB2312" w:cs="仿宋_GB2312"/>
                <w:color w:val="000000"/>
                <w:sz w:val="21"/>
              </w:rPr>
              <w:t>对于项目数据库，系统需提供审核、查询、导入、导出、统计报表等功能。</w:t>
            </w:r>
          </w:p>
          <w:p w14:paraId="7FDDB684">
            <w:pPr>
              <w:pStyle w:val="5"/>
              <w:ind w:firstLine="420"/>
            </w:pPr>
            <w:r>
              <w:rPr>
                <w:rFonts w:ascii="仿宋_GB2312" w:hAnsi="仿宋_GB2312" w:eastAsia="仿宋_GB2312" w:cs="仿宋_GB2312"/>
                <w:color w:val="000000"/>
                <w:sz w:val="21"/>
              </w:rPr>
              <w:t>审核系统需要提供管理部门直接审核(科研人员—科研管理人员)和二级审核(科研人员—科研秘书—科研管理人员)两种审核机制。</w:t>
            </w:r>
          </w:p>
          <w:p w14:paraId="41AC1747">
            <w:pPr>
              <w:pStyle w:val="5"/>
              <w:ind w:firstLine="420"/>
            </w:pPr>
            <w:r>
              <w:rPr>
                <w:rFonts w:ascii="仿宋_GB2312" w:hAnsi="仿宋_GB2312" w:eastAsia="仿宋_GB2312" w:cs="仿宋_GB2312"/>
                <w:color w:val="000000"/>
                <w:sz w:val="21"/>
              </w:rPr>
              <w:t>查询针对入库的项目信息，系统需提供快捷查询和复杂查询两种方式，可以根据所需条件进行组合式查询，实现对查询结果进行批量审核、导入导出以及统计分析等操作。</w:t>
            </w:r>
          </w:p>
          <w:p w14:paraId="1D34AE01">
            <w:pPr>
              <w:pStyle w:val="5"/>
              <w:ind w:firstLine="420"/>
            </w:pPr>
            <w:r>
              <w:rPr>
                <w:rFonts w:ascii="仿宋_GB2312" w:hAnsi="仿宋_GB2312" w:eastAsia="仿宋_GB2312" w:cs="仿宋_GB2312"/>
                <w:color w:val="000000"/>
                <w:sz w:val="21"/>
              </w:rPr>
              <w:t>Excel数据导入 系统需实现直接从 Excel 批量导入数据的功能。管理员按照指定的Excel模板整理好项目数据，系统能够一次性导入。</w:t>
            </w:r>
          </w:p>
          <w:p w14:paraId="17023658">
            <w:pPr>
              <w:pStyle w:val="5"/>
              <w:ind w:firstLine="420"/>
            </w:pPr>
            <w:r>
              <w:rPr>
                <w:rFonts w:ascii="仿宋_GB2312" w:hAnsi="仿宋_GB2312" w:eastAsia="仿宋_GB2312" w:cs="仿宋_GB2312"/>
                <w:color w:val="000000"/>
                <w:sz w:val="21"/>
              </w:rPr>
              <w:t>Excel数据导出 针对项目列表查询结果，系统需提供导出功能，可选择需导出的信息字段，调整信息字段顺序，实现Excel数据快速导出。</w:t>
            </w:r>
          </w:p>
          <w:p w14:paraId="6E7CD7E1">
            <w:pPr>
              <w:pStyle w:val="5"/>
              <w:ind w:firstLine="420"/>
            </w:pPr>
            <w:r>
              <w:rPr>
                <w:rFonts w:ascii="仿宋_GB2312" w:hAnsi="仿宋_GB2312" w:eastAsia="仿宋_GB2312" w:cs="仿宋_GB2312"/>
                <w:color w:val="000000"/>
                <w:sz w:val="21"/>
              </w:rPr>
              <w:t>统计报表系统可针对项目数据快速生成相关统计报表，可选择统计报表的行标题和列标题，按数量、批准经费、配套经费、外拨经费等参数进行统计，可自动生成柱图、饼图和线图等，并提供统计报表数据导出功能。</w:t>
            </w:r>
          </w:p>
          <w:p w14:paraId="3509B365">
            <w:pPr>
              <w:pStyle w:val="5"/>
            </w:pPr>
            <w:r>
              <w:rPr>
                <w:rFonts w:ascii="仿宋_GB2312" w:hAnsi="仿宋_GB2312" w:eastAsia="仿宋_GB2312" w:cs="仿宋_GB2312"/>
                <w:color w:val="000000"/>
                <w:sz w:val="21"/>
              </w:rPr>
              <w:t>2.3.2 项目变更</w:t>
            </w:r>
          </w:p>
          <w:p w14:paraId="79BF180B">
            <w:pPr>
              <w:pStyle w:val="5"/>
              <w:ind w:firstLine="420"/>
            </w:pPr>
            <w:r>
              <w:rPr>
                <w:rFonts w:ascii="仿宋_GB2312" w:hAnsi="仿宋_GB2312" w:eastAsia="仿宋_GB2312" w:cs="仿宋_GB2312"/>
                <w:color w:val="000000"/>
                <w:sz w:val="21"/>
              </w:rPr>
              <w:t>在项目执行过程中，可对项目变更进行控制。项目负责人可提交项目成员、经费预算、委托、延期、中止等项目变更申请，并上传变更证明材料附件，科研管理人员对变更申请审查通过后，变更信息正式备案。</w:t>
            </w:r>
          </w:p>
          <w:p w14:paraId="3441C824">
            <w:pPr>
              <w:pStyle w:val="5"/>
            </w:pPr>
            <w:r>
              <w:rPr>
                <w:rFonts w:ascii="仿宋_GB2312" w:hAnsi="仿宋_GB2312" w:eastAsia="仿宋_GB2312" w:cs="仿宋_GB2312"/>
                <w:color w:val="000000"/>
                <w:sz w:val="21"/>
              </w:rPr>
              <w:t>2.3.3 项目中检</w:t>
            </w:r>
          </w:p>
          <w:p w14:paraId="28C721CA">
            <w:pPr>
              <w:pStyle w:val="5"/>
              <w:ind w:firstLine="420"/>
            </w:pPr>
            <w:r>
              <w:rPr>
                <w:rFonts w:ascii="仿宋_GB2312" w:hAnsi="仿宋_GB2312" w:eastAsia="仿宋_GB2312" w:cs="仿宋_GB2312"/>
                <w:color w:val="000000"/>
                <w:sz w:val="21"/>
              </w:rPr>
              <w:t>在项目执行过程中，科研管理人员如果需要对项目中期完成情况进行检查，可在线发布中期检查通知，针对不同类别项目设置不同的中检日期范围，系统根据已设置的日期自动向项目负责人发送中检提醒和预警信息（提醒信息可通过短信、邮件、移动端等自动发送），项目负责人收到中检通知后，可在线上传和提交中期检查材料。</w:t>
            </w:r>
          </w:p>
          <w:p w14:paraId="50DB9C9D">
            <w:pPr>
              <w:pStyle w:val="5"/>
            </w:pPr>
            <w:r>
              <w:rPr>
                <w:rFonts w:ascii="仿宋_GB2312" w:hAnsi="仿宋_GB2312" w:eastAsia="仿宋_GB2312" w:cs="仿宋_GB2312"/>
                <w:color w:val="000000"/>
                <w:sz w:val="21"/>
              </w:rPr>
              <w:t>2.3.4 项目结项</w:t>
            </w:r>
          </w:p>
          <w:p w14:paraId="09D66716">
            <w:pPr>
              <w:pStyle w:val="5"/>
              <w:ind w:firstLine="420"/>
            </w:pPr>
            <w:r>
              <w:rPr>
                <w:rFonts w:ascii="仿宋_GB2312" w:hAnsi="仿宋_GB2312" w:eastAsia="仿宋_GB2312" w:cs="仿宋_GB2312"/>
                <w:color w:val="000000"/>
                <w:sz w:val="21"/>
              </w:rPr>
              <w:t>我校科研管理人员可对项目结项情况进行管理，可针对不同类别项目设置不同的可结项日期范围，系统根据已设置的日期自动向项目负责人推送结项提醒（提醒信息可通过短信、邮件、移动端等自动发送），项目负责人上传和提交相关结项材料，经科研管理人员审核通过后完成结项备案，形成电子归档。</w:t>
            </w:r>
          </w:p>
          <w:p w14:paraId="76E08BF5">
            <w:pPr>
              <w:pStyle w:val="5"/>
            </w:pPr>
            <w:r>
              <w:rPr>
                <w:rFonts w:ascii="仿宋_GB2312" w:hAnsi="仿宋_GB2312" w:eastAsia="仿宋_GB2312" w:cs="仿宋_GB2312"/>
                <w:color w:val="000000"/>
                <w:sz w:val="21"/>
              </w:rPr>
              <w:t>2.3.5 项目分类</w:t>
            </w:r>
          </w:p>
          <w:p w14:paraId="000639A7">
            <w:pPr>
              <w:pStyle w:val="5"/>
              <w:ind w:firstLine="420"/>
            </w:pPr>
            <w:r>
              <w:rPr>
                <w:rFonts w:ascii="仿宋_GB2312" w:hAnsi="仿宋_GB2312" w:eastAsia="仿宋_GB2312" w:cs="仿宋_GB2312"/>
                <w:color w:val="000000"/>
                <w:sz w:val="21"/>
              </w:rPr>
              <w:t>可设置和管理项目分类信息。</w:t>
            </w:r>
          </w:p>
          <w:p w14:paraId="6184C888">
            <w:pPr>
              <w:pStyle w:val="5"/>
              <w:ind w:firstLine="240"/>
            </w:pPr>
            <w:r>
              <w:rPr>
                <w:rFonts w:ascii="仿宋_GB2312" w:hAnsi="仿宋_GB2312" w:eastAsia="仿宋_GB2312" w:cs="仿宋_GB2312"/>
                <w:color w:val="000000"/>
                <w:sz w:val="24"/>
              </w:rPr>
              <w:t>▲</w:t>
            </w:r>
            <w:r>
              <w:rPr>
                <w:rFonts w:ascii="仿宋_GB2312" w:hAnsi="仿宋_GB2312" w:eastAsia="仿宋_GB2312" w:cs="仿宋_GB2312"/>
                <w:b/>
                <w:color w:val="000000"/>
                <w:sz w:val="21"/>
              </w:rPr>
              <w:t>2.4申报评审</w:t>
            </w:r>
          </w:p>
          <w:p w14:paraId="202BAB8B">
            <w:pPr>
              <w:pStyle w:val="5"/>
            </w:pPr>
            <w:r>
              <w:rPr>
                <w:rFonts w:ascii="仿宋_GB2312" w:hAnsi="仿宋_GB2312" w:eastAsia="仿宋_GB2312" w:cs="仿宋_GB2312"/>
                <w:color w:val="000000"/>
                <w:sz w:val="21"/>
              </w:rPr>
              <w:t>2.4.1 项目申报</w:t>
            </w:r>
          </w:p>
          <w:p w14:paraId="1DB7E09E">
            <w:pPr>
              <w:pStyle w:val="5"/>
              <w:ind w:firstLine="420"/>
            </w:pPr>
            <w:r>
              <w:rPr>
                <w:rFonts w:ascii="仿宋_GB2312" w:hAnsi="仿宋_GB2312" w:eastAsia="仿宋_GB2312" w:cs="仿宋_GB2312"/>
                <w:color w:val="000000"/>
                <w:sz w:val="21"/>
              </w:rPr>
              <w:t>项目申报模块需提供申报计划管理、在线申报以及申报项目查看等功能。</w:t>
            </w:r>
          </w:p>
          <w:p w14:paraId="13E7A268">
            <w:pPr>
              <w:pStyle w:val="5"/>
            </w:pPr>
            <w:r>
              <w:rPr>
                <w:rFonts w:ascii="仿宋_GB2312" w:hAnsi="仿宋_GB2312" w:eastAsia="仿宋_GB2312" w:cs="仿宋_GB2312"/>
                <w:color w:val="000000"/>
                <w:sz w:val="21"/>
              </w:rPr>
              <w:t>2.4.1.1申报计划管理</w:t>
            </w:r>
          </w:p>
          <w:p w14:paraId="28BA3330">
            <w:pPr>
              <w:pStyle w:val="5"/>
              <w:ind w:firstLine="210"/>
            </w:pPr>
            <w:r>
              <w:rPr>
                <w:rFonts w:ascii="仿宋_GB2312" w:hAnsi="仿宋_GB2312" w:eastAsia="仿宋_GB2312" w:cs="仿宋_GB2312"/>
                <w:color w:val="000000"/>
                <w:sz w:val="21"/>
              </w:rPr>
              <w:t xml:space="preserve"> 要求提供完全满足以下功能要求的系统全流程截图：科研管理人员可在线编辑和发布申报批次计划，包括申报计划名称、类别、申报开始结束日期等信息，上传申报指南和申请书模板，并对各单位申报限额进行设置。</w:t>
            </w:r>
          </w:p>
          <w:p w14:paraId="3AF44FDC">
            <w:pPr>
              <w:pStyle w:val="5"/>
            </w:pPr>
            <w:r>
              <w:rPr>
                <w:rFonts w:ascii="仿宋_GB2312" w:hAnsi="仿宋_GB2312" w:eastAsia="仿宋_GB2312" w:cs="仿宋_GB2312"/>
                <w:color w:val="000000"/>
                <w:sz w:val="21"/>
              </w:rPr>
              <w:t>2.4.1.2在线申报</w:t>
            </w:r>
          </w:p>
          <w:p w14:paraId="10CEA286">
            <w:pPr>
              <w:pStyle w:val="5"/>
              <w:ind w:firstLine="420"/>
            </w:pPr>
            <w:r>
              <w:rPr>
                <w:rFonts w:ascii="仿宋_GB2312" w:hAnsi="仿宋_GB2312" w:eastAsia="仿宋_GB2312" w:cs="仿宋_GB2312"/>
                <w:color w:val="000000"/>
                <w:sz w:val="21"/>
              </w:rPr>
              <w:t>申报计划发布后，系统可向科研人员发送申报提醒信息，科研人员可在允许申报的时间段内，在线进行项目申报，登记申报项目基本信息、成员信息以及预算信息，上传申报材料附件。</w:t>
            </w:r>
          </w:p>
          <w:p w14:paraId="3B2168C5">
            <w:pPr>
              <w:pStyle w:val="5"/>
            </w:pPr>
            <w:r>
              <w:rPr>
                <w:rFonts w:ascii="仿宋_GB2312" w:hAnsi="仿宋_GB2312" w:eastAsia="仿宋_GB2312" w:cs="仿宋_GB2312"/>
                <w:color w:val="000000"/>
                <w:sz w:val="21"/>
              </w:rPr>
              <w:t>2.4.1.3申报项目查看</w:t>
            </w:r>
          </w:p>
          <w:p w14:paraId="53D3ED5A">
            <w:pPr>
              <w:pStyle w:val="5"/>
              <w:ind w:firstLine="420"/>
            </w:pPr>
            <w:r>
              <w:rPr>
                <w:rFonts w:ascii="仿宋_GB2312" w:hAnsi="仿宋_GB2312" w:eastAsia="仿宋_GB2312" w:cs="仿宋_GB2312"/>
                <w:color w:val="000000"/>
                <w:sz w:val="21"/>
              </w:rPr>
              <w:t>要求提供完全满足以下功能要求的系统全流程截图：科研管理人员可查看、审核和统计各批次申报计划所提交的申报项目材料，可查看申报人已负责或者参与的历史项目信息。系统可根据申报人登记的项目基本信息、成员信息、预算信息以及申报书正文附件，自动合成申报书全文PDF文档（带水印和二维码），实现申报书全文在线浏览和审阅。</w:t>
            </w:r>
          </w:p>
          <w:p w14:paraId="1F3EEE94">
            <w:pPr>
              <w:pStyle w:val="5"/>
            </w:pPr>
            <w:r>
              <w:rPr>
                <w:rFonts w:ascii="仿宋_GB2312" w:hAnsi="仿宋_GB2312" w:eastAsia="仿宋_GB2312" w:cs="仿宋_GB2312"/>
                <w:color w:val="000000"/>
                <w:sz w:val="21"/>
              </w:rPr>
              <w:t>2.4.1.4项目申报查重</w:t>
            </w:r>
          </w:p>
          <w:p w14:paraId="7029C1E3">
            <w:pPr>
              <w:pStyle w:val="5"/>
              <w:ind w:firstLine="420"/>
            </w:pPr>
            <w:r>
              <w:rPr>
                <w:rFonts w:ascii="仿宋_GB2312" w:hAnsi="仿宋_GB2312" w:eastAsia="仿宋_GB2312" w:cs="仿宋_GB2312"/>
                <w:color w:val="000000"/>
                <w:sz w:val="21"/>
              </w:rPr>
              <w:t>基于学校部署局域大语言模型进行语义及关键词多层次比对分析，快速识别并提示高度相似或可能重复的项目，有效辅助科研诚信管理，避免项目重复申报。</w:t>
            </w:r>
          </w:p>
          <w:p w14:paraId="4FB1B816">
            <w:pPr>
              <w:pStyle w:val="5"/>
              <w:ind w:firstLine="420"/>
            </w:pPr>
            <w:r>
              <w:rPr>
                <w:rFonts w:ascii="仿宋_GB2312" w:hAnsi="仿宋_GB2312" w:eastAsia="仿宋_GB2312" w:cs="仿宋_GB2312"/>
                <w:color w:val="000000"/>
                <w:sz w:val="21"/>
              </w:rPr>
              <w:t>多维度相似性分析，结合语义理解与关键词匹配，综合判断项目在主题、内容、方法等方面的相似程度，超越字面匹配局限。</w:t>
            </w:r>
          </w:p>
          <w:p w14:paraId="3B97713D">
            <w:pPr>
              <w:pStyle w:val="5"/>
              <w:ind w:firstLine="420"/>
            </w:pPr>
            <w:r>
              <w:rPr>
                <w:rFonts w:ascii="仿宋_GB2312" w:hAnsi="仿宋_GB2312" w:eastAsia="仿宋_GB2312" w:cs="仿宋_GB2312"/>
                <w:color w:val="000000"/>
                <w:sz w:val="21"/>
              </w:rPr>
              <w:t>历史项目查重与检索，支持管理员用户主动检索与某一项目相似的其他项目，返回结构化相似度列表及具体重合依据，并可导出查重报告。</w:t>
            </w:r>
          </w:p>
          <w:p w14:paraId="679E5122">
            <w:pPr>
              <w:pStyle w:val="5"/>
            </w:pPr>
            <w:r>
              <w:rPr>
                <w:rFonts w:ascii="仿宋_GB2312" w:hAnsi="仿宋_GB2312" w:eastAsia="仿宋_GB2312" w:cs="仿宋_GB2312"/>
                <w:color w:val="000000"/>
                <w:sz w:val="21"/>
              </w:rPr>
              <w:t>2.4.1.5历史申报查看</w:t>
            </w:r>
          </w:p>
          <w:p w14:paraId="2F95172E">
            <w:pPr>
              <w:pStyle w:val="5"/>
              <w:ind w:firstLine="420"/>
            </w:pPr>
            <w:r>
              <w:rPr>
                <w:rFonts w:ascii="仿宋_GB2312" w:hAnsi="仿宋_GB2312" w:eastAsia="仿宋_GB2312" w:cs="仿宋_GB2312"/>
                <w:color w:val="000000"/>
                <w:sz w:val="21"/>
              </w:rPr>
              <w:t>科研管理人员可查看、查询历史批次的申报材料；科研人员可查看查询本人历史批次的申报材料及获批情况。</w:t>
            </w:r>
          </w:p>
          <w:p w14:paraId="565CB8FE">
            <w:pPr>
              <w:pStyle w:val="5"/>
            </w:pPr>
            <w:r>
              <w:rPr>
                <w:rFonts w:ascii="仿宋_GB2312" w:hAnsi="仿宋_GB2312" w:eastAsia="仿宋_GB2312" w:cs="仿宋_GB2312"/>
                <w:color w:val="000000"/>
                <w:sz w:val="21"/>
              </w:rPr>
              <w:t>2.4.2 项目评审</w:t>
            </w:r>
          </w:p>
          <w:p w14:paraId="18D4B497">
            <w:pPr>
              <w:pStyle w:val="5"/>
              <w:ind w:firstLine="420"/>
            </w:pPr>
            <w:r>
              <w:rPr>
                <w:rFonts w:ascii="仿宋_GB2312" w:hAnsi="仿宋_GB2312" w:eastAsia="仿宋_GB2312" w:cs="仿宋_GB2312"/>
                <w:color w:val="000000"/>
                <w:sz w:val="21"/>
              </w:rPr>
              <w:t>项目评审模块需提供评审方案编辑、评审计划发布、评审项目分配、专家在线评审和评审结果统计等功能，可实现科研管理人员组织专家进行在线通讯评审。</w:t>
            </w:r>
          </w:p>
          <w:p w14:paraId="2378B5D2">
            <w:pPr>
              <w:pStyle w:val="5"/>
            </w:pPr>
            <w:r>
              <w:rPr>
                <w:rFonts w:ascii="仿宋_GB2312" w:hAnsi="仿宋_GB2312" w:eastAsia="仿宋_GB2312" w:cs="仿宋_GB2312"/>
                <w:color w:val="000000"/>
                <w:sz w:val="21"/>
              </w:rPr>
              <w:t>2.4.2.1评审方案编辑</w:t>
            </w:r>
          </w:p>
          <w:p w14:paraId="43847416">
            <w:pPr>
              <w:pStyle w:val="5"/>
              <w:ind w:firstLine="420"/>
            </w:pPr>
            <w:r>
              <w:rPr>
                <w:rFonts w:ascii="仿宋_GB2312" w:hAnsi="仿宋_GB2312" w:eastAsia="仿宋_GB2312" w:cs="仿宋_GB2312"/>
                <w:color w:val="000000"/>
                <w:sz w:val="21"/>
              </w:rPr>
              <w:t>科研管理人员可制定和发布各类项目评审方案，包括评分指标和打分标准，作为专家评审打分的依据。</w:t>
            </w:r>
          </w:p>
          <w:p w14:paraId="51563920">
            <w:pPr>
              <w:pStyle w:val="5"/>
            </w:pPr>
            <w:r>
              <w:rPr>
                <w:rFonts w:ascii="仿宋_GB2312" w:hAnsi="仿宋_GB2312" w:eastAsia="仿宋_GB2312" w:cs="仿宋_GB2312"/>
                <w:color w:val="000000"/>
                <w:sz w:val="21"/>
              </w:rPr>
              <w:t>2.4.2.2评审计划发布</w:t>
            </w:r>
          </w:p>
          <w:p w14:paraId="41F6E6FF">
            <w:pPr>
              <w:pStyle w:val="5"/>
              <w:ind w:firstLine="420"/>
            </w:pPr>
            <w:r>
              <w:rPr>
                <w:rFonts w:ascii="仿宋_GB2312" w:hAnsi="仿宋_GB2312" w:eastAsia="仿宋_GB2312" w:cs="仿宋_GB2312"/>
                <w:color w:val="000000"/>
                <w:sz w:val="21"/>
              </w:rPr>
              <w:t>科研管理人员可制定并发布各类项目评审计划，包括评审计划名称、评审方案、评审计划状态、开始日期、结束日期以及评审指南等信息。</w:t>
            </w:r>
          </w:p>
          <w:p w14:paraId="246D1887">
            <w:pPr>
              <w:pStyle w:val="5"/>
            </w:pPr>
            <w:r>
              <w:rPr>
                <w:rFonts w:ascii="仿宋_GB2312" w:hAnsi="仿宋_GB2312" w:eastAsia="仿宋_GB2312" w:cs="仿宋_GB2312"/>
                <w:color w:val="000000"/>
                <w:sz w:val="21"/>
              </w:rPr>
              <w:t>2.4.2.3评审项目分配</w:t>
            </w:r>
          </w:p>
          <w:p w14:paraId="31DDF9A2">
            <w:pPr>
              <w:pStyle w:val="5"/>
              <w:ind w:firstLine="420"/>
            </w:pPr>
            <w:r>
              <w:rPr>
                <w:rFonts w:ascii="仿宋_GB2312" w:hAnsi="仿宋_GB2312" w:eastAsia="仿宋_GB2312" w:cs="仿宋_GB2312"/>
                <w:color w:val="000000"/>
                <w:sz w:val="21"/>
              </w:rPr>
              <w:t>科研管理人员可在线为各申报项目分配评审专家。系统需提供专家分组和遴选功能。系统可对接短信、邮件，实时向评审专家推送评审通知。可进行匿名评审，隐藏申报人相关信息。支持专家回避机制，具体回避规则根据学校评审要求设定。</w:t>
            </w:r>
          </w:p>
          <w:p w14:paraId="5FEFD654">
            <w:pPr>
              <w:pStyle w:val="5"/>
            </w:pPr>
            <w:r>
              <w:rPr>
                <w:rFonts w:ascii="仿宋_GB2312" w:hAnsi="仿宋_GB2312" w:eastAsia="仿宋_GB2312" w:cs="仿宋_GB2312"/>
                <w:color w:val="000000"/>
                <w:sz w:val="21"/>
              </w:rPr>
              <w:t>2.4.2.4专家在线评审</w:t>
            </w:r>
          </w:p>
          <w:p w14:paraId="0067E089">
            <w:pPr>
              <w:pStyle w:val="5"/>
              <w:ind w:firstLine="420"/>
            </w:pPr>
            <w:r>
              <w:rPr>
                <w:rFonts w:ascii="仿宋_GB2312" w:hAnsi="仿宋_GB2312" w:eastAsia="仿宋_GB2312" w:cs="仿宋_GB2312"/>
                <w:color w:val="000000"/>
                <w:sz w:val="21"/>
              </w:rPr>
              <w:t>专家接到评审通知，登录系统后，可在线浏览项目申报材料，进行评审打分，填写评审意见。</w:t>
            </w:r>
          </w:p>
          <w:p w14:paraId="355AAC6D">
            <w:pPr>
              <w:pStyle w:val="5"/>
            </w:pPr>
            <w:r>
              <w:rPr>
                <w:rFonts w:ascii="仿宋_GB2312" w:hAnsi="仿宋_GB2312" w:eastAsia="仿宋_GB2312" w:cs="仿宋_GB2312"/>
                <w:color w:val="000000"/>
                <w:sz w:val="21"/>
              </w:rPr>
              <w:t>2.4.2.5评审结果统计</w:t>
            </w:r>
          </w:p>
          <w:p w14:paraId="58622955">
            <w:pPr>
              <w:pStyle w:val="5"/>
              <w:ind w:firstLine="420"/>
            </w:pPr>
            <w:r>
              <w:rPr>
                <w:rFonts w:ascii="仿宋_GB2312" w:hAnsi="仿宋_GB2312" w:eastAsia="仿宋_GB2312" w:cs="仿宋_GB2312"/>
                <w:color w:val="000000"/>
                <w:sz w:val="21"/>
              </w:rPr>
              <w:t>要求提供完全满足以下功能要求的系统全流程截图：科研管理人员可在线查看各项目评审进度，汇总评审意见，评审意见需自动汇总专家打分和意见情况，并自动计算总分的平均分和各个评审标准的平均分。可根据评审意见对项目进行立项操作。</w:t>
            </w:r>
          </w:p>
          <w:p w14:paraId="515FA861">
            <w:pPr>
              <w:pStyle w:val="5"/>
              <w:outlineLvl w:val="2"/>
            </w:pPr>
            <w:r>
              <w:rPr>
                <w:rFonts w:ascii="仿宋_GB2312" w:hAnsi="仿宋_GB2312" w:eastAsia="仿宋_GB2312" w:cs="仿宋_GB2312"/>
                <w:b/>
                <w:color w:val="000000"/>
                <w:sz w:val="21"/>
              </w:rPr>
              <w:t>2.5 AI数据填报</w:t>
            </w:r>
          </w:p>
          <w:p w14:paraId="20EC7AF2">
            <w:pPr>
              <w:pStyle w:val="5"/>
              <w:ind w:firstLine="420"/>
            </w:pPr>
            <w:r>
              <w:rPr>
                <w:rFonts w:ascii="仿宋_GB2312" w:hAnsi="仿宋_GB2312" w:eastAsia="仿宋_GB2312" w:cs="仿宋_GB2312"/>
                <w:color w:val="000000"/>
                <w:sz w:val="21"/>
              </w:rPr>
              <w:t>须在学校部署局域大模型或者接入学校本地部署的大模型，基于大模型科研语义理解能力和多模态能力，从科研业务支撑文档（Word或者PDF文件）、图片等材料中智能提取科研业务申请表单所需信息，实现业务信息智能登记，通过AI辅助完成业务申请。</w:t>
            </w:r>
          </w:p>
          <w:p w14:paraId="58620CFD">
            <w:pPr>
              <w:pStyle w:val="5"/>
              <w:ind w:firstLine="420"/>
            </w:pPr>
            <w:r>
              <w:rPr>
                <w:rFonts w:ascii="仿宋_GB2312" w:hAnsi="仿宋_GB2312" w:eastAsia="仿宋_GB2312" w:cs="仿宋_GB2312"/>
                <w:color w:val="000000"/>
                <w:sz w:val="21"/>
              </w:rPr>
              <w:t>支持对纵向项目立项书/任务书自动解析和关键业务属性提取，包含项目基本信息、成员信息、预算信息等，实现提取业务属性的系统内自动填充，用户可对填充结果进行修改、补充和确认。针对重点研发计划、国家哲学社会科学基金项目、教育部人文社科项目等纵向项目类别进行专项提取优化，提升数据提取准确率。</w:t>
            </w:r>
          </w:p>
          <w:p w14:paraId="17FD9135">
            <w:pPr>
              <w:pStyle w:val="5"/>
            </w:pPr>
            <w:r>
              <w:rPr>
                <w:rFonts w:ascii="仿宋_GB2312" w:hAnsi="仿宋_GB2312" w:eastAsia="仿宋_GB2312" w:cs="仿宋_GB2312"/>
                <w:b/>
                <w:color w:val="000000"/>
                <w:sz w:val="24"/>
              </w:rPr>
              <w:t>3.经费管理</w:t>
            </w:r>
          </w:p>
          <w:p w14:paraId="5C1C0C2F">
            <w:pPr>
              <w:pStyle w:val="5"/>
              <w:ind w:firstLine="420"/>
            </w:pPr>
            <w:r>
              <w:rPr>
                <w:rFonts w:ascii="仿宋_GB2312" w:hAnsi="仿宋_GB2312" w:eastAsia="仿宋_GB2312" w:cs="仿宋_GB2312"/>
                <w:color w:val="000000"/>
                <w:sz w:val="21"/>
              </w:rPr>
              <w:t>经费管理子系统需提供各类科研项目经费入账、费用提取和经费执行管理。</w:t>
            </w:r>
          </w:p>
          <w:p w14:paraId="217C1516">
            <w:pPr>
              <w:pStyle w:val="5"/>
              <w:ind w:firstLine="211"/>
            </w:pPr>
            <w:r>
              <w:rPr>
                <w:rFonts w:ascii="仿宋_GB2312" w:hAnsi="仿宋_GB2312" w:eastAsia="仿宋_GB2312" w:cs="仿宋_GB2312"/>
                <w:b/>
                <w:color w:val="000000"/>
                <w:sz w:val="21"/>
              </w:rPr>
              <w:t>3.1经费入账</w:t>
            </w:r>
          </w:p>
          <w:p w14:paraId="47FBCF40">
            <w:pPr>
              <w:pStyle w:val="5"/>
              <w:ind w:firstLine="420"/>
            </w:pPr>
            <w:r>
              <w:rPr>
                <w:rFonts w:ascii="仿宋_GB2312" w:hAnsi="仿宋_GB2312" w:eastAsia="仿宋_GB2312" w:cs="仿宋_GB2312"/>
                <w:color w:val="000000"/>
                <w:sz w:val="21"/>
              </w:rPr>
              <w:t>需提供经费来款、经费认领、经费到账等功能。</w:t>
            </w:r>
          </w:p>
          <w:p w14:paraId="2FDD9675">
            <w:pPr>
              <w:pStyle w:val="5"/>
            </w:pPr>
            <w:r>
              <w:rPr>
                <w:rFonts w:ascii="仿宋_GB2312" w:hAnsi="仿宋_GB2312" w:eastAsia="仿宋_GB2312" w:cs="仿宋_GB2312"/>
                <w:color w:val="000000"/>
                <w:sz w:val="21"/>
              </w:rPr>
              <w:t>3.1.1 经费来款</w:t>
            </w:r>
          </w:p>
          <w:p w14:paraId="771B2FDF">
            <w:pPr>
              <w:pStyle w:val="5"/>
              <w:ind w:firstLine="420"/>
            </w:pPr>
            <w:r>
              <w:rPr>
                <w:rFonts w:ascii="仿宋_GB2312" w:hAnsi="仿宋_GB2312" w:eastAsia="仿宋_GB2312" w:cs="仿宋_GB2312"/>
                <w:color w:val="000000"/>
                <w:sz w:val="21"/>
              </w:rPr>
              <w:t>科研系统与财务系统对接，同步银行到款信息，并在科研系统中进行展示。</w:t>
            </w:r>
          </w:p>
          <w:p w14:paraId="67408B8A">
            <w:pPr>
              <w:pStyle w:val="5"/>
              <w:ind w:firstLine="420"/>
            </w:pPr>
            <w:r>
              <w:rPr>
                <w:rFonts w:ascii="仿宋_GB2312" w:hAnsi="仿宋_GB2312" w:eastAsia="仿宋_GB2312" w:cs="仿宋_GB2312"/>
                <w:color w:val="000000"/>
                <w:sz w:val="21"/>
              </w:rPr>
              <w:t>科研管理人员和项目负责人可在科研系统中查询和认领经费来款数据。</w:t>
            </w:r>
          </w:p>
          <w:p w14:paraId="08CB4AB8">
            <w:pPr>
              <w:pStyle w:val="5"/>
            </w:pPr>
            <w:r>
              <w:rPr>
                <w:rFonts w:ascii="仿宋_GB2312" w:hAnsi="仿宋_GB2312" w:eastAsia="仿宋_GB2312" w:cs="仿宋_GB2312"/>
                <w:color w:val="000000"/>
                <w:sz w:val="21"/>
              </w:rPr>
              <w:t>3.1.2 经费认领</w:t>
            </w:r>
          </w:p>
          <w:p w14:paraId="3C7F9214">
            <w:pPr>
              <w:pStyle w:val="5"/>
            </w:pPr>
            <w:r>
              <w:rPr>
                <w:rFonts w:ascii="仿宋_GB2312" w:hAnsi="仿宋_GB2312" w:eastAsia="仿宋_GB2312" w:cs="仿宋_GB2312"/>
                <w:color w:val="000000"/>
                <w:sz w:val="21"/>
              </w:rPr>
              <w:t>3.1.2.1经费认领管理</w:t>
            </w:r>
          </w:p>
          <w:p w14:paraId="4DEF79CA">
            <w:pPr>
              <w:pStyle w:val="5"/>
              <w:ind w:firstLine="420"/>
            </w:pPr>
            <w:r>
              <w:rPr>
                <w:rFonts w:ascii="仿宋_GB2312" w:hAnsi="仿宋_GB2312" w:eastAsia="仿宋_GB2312" w:cs="仿宋_GB2312"/>
                <w:color w:val="000000"/>
                <w:sz w:val="21"/>
              </w:rPr>
              <w:t>经费来款可实现由科研管理人员直接分配到项目入账，也可以采用项目负责人个人认领——科研管理人员审批的方式实现项目入账办理。</w:t>
            </w:r>
          </w:p>
          <w:p w14:paraId="53F1E62D">
            <w:pPr>
              <w:pStyle w:val="5"/>
              <w:ind w:firstLine="420"/>
            </w:pPr>
            <w:r>
              <w:rPr>
                <w:rFonts w:ascii="仿宋_GB2312" w:hAnsi="仿宋_GB2312" w:eastAsia="仿宋_GB2312" w:cs="仿宋_GB2312"/>
                <w:color w:val="000000"/>
                <w:sz w:val="21"/>
              </w:rPr>
              <w:t>系统需实现多种项目入账方式，可配置多种经费建卡模式、预算拆分规则、费用提取方案等，用户可根据实际经费管理模式进行设置和组合。</w:t>
            </w:r>
          </w:p>
          <w:p w14:paraId="6ADDEE96">
            <w:pPr>
              <w:pStyle w:val="5"/>
            </w:pPr>
            <w:r>
              <w:rPr>
                <w:rFonts w:ascii="仿宋_GB2312" w:hAnsi="仿宋_GB2312" w:eastAsia="仿宋_GB2312" w:cs="仿宋_GB2312"/>
                <w:color w:val="000000"/>
                <w:sz w:val="21"/>
              </w:rPr>
              <w:t>3.1.2.2经费拆分</w:t>
            </w:r>
          </w:p>
          <w:p w14:paraId="7C26E0C7">
            <w:pPr>
              <w:pStyle w:val="5"/>
              <w:ind w:firstLine="420"/>
            </w:pPr>
            <w:r>
              <w:rPr>
                <w:rFonts w:ascii="仿宋_GB2312" w:hAnsi="仿宋_GB2312" w:eastAsia="仿宋_GB2312" w:cs="仿宋_GB2312"/>
                <w:color w:val="000000"/>
                <w:sz w:val="21"/>
              </w:rPr>
              <w:t>要求提供完全满足以下功能要求的系统全流程截图：可针对不同项目分类设定不同的经费卡拆分、预算拆分模式，包含建卡模式（多张卡、单张卡），建卡人员范围（单位内人员中建卡、项目组成员内建卡），预算分配方式（按留校预算分配、按入账预算分配、负责人确定）；在多张卡的建卡模式下拆分，可以拆分多张卡（多个经费负责人），并按经费到款拆分预算明细额度（预算拆分金额和到款金额保持一致）、按经费批复拆分预算明细额度（预算拆分金额和留校预算保持一致）、负责人自由选择预算拆分模式，拆分后，系统能根据预设的该类项目管理费提取方案自动计算管理费用。系统可在线预览经费入账单，并具有在线打印功能。</w:t>
            </w:r>
          </w:p>
          <w:p w14:paraId="267C36E2">
            <w:pPr>
              <w:pStyle w:val="5"/>
            </w:pPr>
            <w:r>
              <w:rPr>
                <w:rFonts w:ascii="仿宋_GB2312" w:hAnsi="仿宋_GB2312" w:eastAsia="仿宋_GB2312" w:cs="仿宋_GB2312"/>
                <w:color w:val="000000"/>
                <w:sz w:val="21"/>
              </w:rPr>
              <w:t>3.1.3 经费到账</w:t>
            </w:r>
          </w:p>
          <w:p w14:paraId="0D93387A">
            <w:pPr>
              <w:pStyle w:val="5"/>
              <w:ind w:firstLine="420"/>
            </w:pPr>
            <w:r>
              <w:rPr>
                <w:rFonts w:ascii="仿宋_GB2312" w:hAnsi="仿宋_GB2312" w:eastAsia="仿宋_GB2312" w:cs="仿宋_GB2312"/>
                <w:color w:val="000000"/>
                <w:sz w:val="21"/>
              </w:rPr>
              <w:t>经费认领数据会同步推送给财务系统（项目首次到账时会同步推送项目信息），财务系统接收数据后可实现财务手动或者财务系统自动建卡建账，完成经费划拨。</w:t>
            </w:r>
          </w:p>
          <w:p w14:paraId="251BB951">
            <w:pPr>
              <w:pStyle w:val="5"/>
              <w:ind w:firstLine="420"/>
            </w:pPr>
            <w:r>
              <w:rPr>
                <w:rFonts w:ascii="仿宋_GB2312" w:hAnsi="仿宋_GB2312" w:eastAsia="仿宋_GB2312" w:cs="仿宋_GB2312"/>
                <w:color w:val="000000"/>
                <w:sz w:val="21"/>
              </w:rPr>
              <w:t>可对项目到账信息进行查询、统计、导出，科研管理人员和项目负责人可查看经费卡入账明细。</w:t>
            </w:r>
          </w:p>
          <w:p w14:paraId="095719E9">
            <w:pPr>
              <w:pStyle w:val="5"/>
              <w:ind w:firstLine="420"/>
            </w:pPr>
            <w:r>
              <w:rPr>
                <w:rFonts w:ascii="仿宋_GB2312" w:hAnsi="仿宋_GB2312" w:eastAsia="仿宋_GB2312" w:cs="仿宋_GB2312"/>
                <w:color w:val="000000"/>
                <w:sz w:val="21"/>
              </w:rPr>
              <w:t>若财务部门需要纸质凭证，提供包括但不限于以下解决方案：1、科研人员可以在线打印经费到款通知单并送到财务；2、给财务人员分配权限账号，可批量打印到款通知单。</w:t>
            </w:r>
          </w:p>
          <w:p w14:paraId="0B0524DA">
            <w:pPr>
              <w:pStyle w:val="5"/>
            </w:pPr>
            <w:r>
              <w:rPr>
                <w:rFonts w:ascii="仿宋_GB2312" w:hAnsi="仿宋_GB2312" w:eastAsia="仿宋_GB2312" w:cs="仿宋_GB2312"/>
                <w:b/>
                <w:color w:val="000000"/>
                <w:sz w:val="21"/>
              </w:rPr>
              <w:t>3.2费用提取</w:t>
            </w:r>
          </w:p>
          <w:p w14:paraId="1B379F46">
            <w:pPr>
              <w:pStyle w:val="5"/>
              <w:ind w:firstLine="420"/>
            </w:pPr>
            <w:r>
              <w:rPr>
                <w:rFonts w:ascii="仿宋_GB2312" w:hAnsi="仿宋_GB2312" w:eastAsia="仿宋_GB2312" w:cs="仿宋_GB2312"/>
                <w:color w:val="000000"/>
                <w:sz w:val="21"/>
              </w:rPr>
              <w:t>科研管理人员可设置各类科研项目入账费用提取方案，配置各类费用提取公式。项目入账时，系统需依据银行到款类型和项目类型，自动套用对应的入账费用提取方案，计提入账费用，科研管理人员也可以手动调整最终入账费用提取金额。</w:t>
            </w:r>
          </w:p>
          <w:p w14:paraId="147B872F">
            <w:pPr>
              <w:pStyle w:val="5"/>
            </w:pPr>
            <w:r>
              <w:rPr>
                <w:rFonts w:ascii="仿宋_GB2312" w:hAnsi="仿宋_GB2312" w:eastAsia="仿宋_GB2312" w:cs="仿宋_GB2312"/>
                <w:color w:val="000000"/>
                <w:sz w:val="24"/>
              </w:rPr>
              <w:t>▲</w:t>
            </w:r>
            <w:r>
              <w:rPr>
                <w:rFonts w:ascii="仿宋_GB2312" w:hAnsi="仿宋_GB2312" w:eastAsia="仿宋_GB2312" w:cs="仿宋_GB2312"/>
                <w:b/>
                <w:color w:val="000000"/>
                <w:sz w:val="21"/>
              </w:rPr>
              <w:t>3.3经费执行</w:t>
            </w:r>
          </w:p>
          <w:p w14:paraId="491E4BFD">
            <w:pPr>
              <w:pStyle w:val="5"/>
            </w:pPr>
            <w:r>
              <w:rPr>
                <w:rFonts w:ascii="仿宋_GB2312" w:hAnsi="仿宋_GB2312" w:eastAsia="仿宋_GB2312" w:cs="仿宋_GB2312"/>
                <w:color w:val="000000"/>
                <w:sz w:val="21"/>
              </w:rPr>
              <w:t>3.3.1 经费外拨</w:t>
            </w:r>
          </w:p>
          <w:p w14:paraId="752C205F">
            <w:pPr>
              <w:pStyle w:val="5"/>
              <w:ind w:firstLine="420"/>
            </w:pPr>
            <w:r>
              <w:rPr>
                <w:rFonts w:ascii="仿宋_GB2312" w:hAnsi="仿宋_GB2312" w:eastAsia="仿宋_GB2312" w:cs="仿宋_GB2312"/>
                <w:color w:val="000000"/>
                <w:sz w:val="21"/>
              </w:rPr>
              <w:t>合作单位的外拨经费登记、审核，由项目负责人发起，从所负责项目入账经费中申请外拨经费，科研管理人员审批。审批通过的经费外拨数据会同步推送给财务系统，财务系统接收经费外拨数据后根据财务管理制度进行外拨操作。</w:t>
            </w:r>
          </w:p>
          <w:p w14:paraId="5F7377F5">
            <w:pPr>
              <w:pStyle w:val="5"/>
            </w:pPr>
            <w:r>
              <w:rPr>
                <w:rFonts w:ascii="仿宋_GB2312" w:hAnsi="仿宋_GB2312" w:eastAsia="仿宋_GB2312" w:cs="仿宋_GB2312"/>
                <w:color w:val="000000"/>
                <w:sz w:val="21"/>
              </w:rPr>
              <w:t>3.3.2 经费变更</w:t>
            </w:r>
          </w:p>
          <w:p w14:paraId="01EA8BFE">
            <w:pPr>
              <w:pStyle w:val="5"/>
              <w:ind w:firstLine="380"/>
            </w:pPr>
            <w:r>
              <w:rPr>
                <w:rFonts w:ascii="仿宋_GB2312" w:hAnsi="仿宋_GB2312" w:eastAsia="仿宋_GB2312" w:cs="仿宋_GB2312"/>
                <w:color w:val="000000"/>
                <w:sz w:val="19"/>
              </w:rPr>
              <w:t>项目进行过程中若经费发生了变更，可在线提交变更申请，审批通过后系统自动将经费变更数据推送给财务系统，财务系统接受经费变更数据后根据财务管理制度进行经费变更操作。</w:t>
            </w:r>
          </w:p>
          <w:p w14:paraId="34F629FF">
            <w:pPr>
              <w:pStyle w:val="5"/>
            </w:pPr>
            <w:r>
              <w:rPr>
                <w:rFonts w:ascii="仿宋_GB2312" w:hAnsi="仿宋_GB2312" w:eastAsia="仿宋_GB2312" w:cs="仿宋_GB2312"/>
                <w:color w:val="000000"/>
                <w:sz w:val="21"/>
              </w:rPr>
              <w:t>3.3.3 经费报销数据对接</w:t>
            </w:r>
          </w:p>
          <w:p w14:paraId="55D79B9F">
            <w:pPr>
              <w:pStyle w:val="5"/>
              <w:ind w:firstLine="420"/>
            </w:pPr>
            <w:r>
              <w:rPr>
                <w:rFonts w:ascii="仿宋_GB2312" w:hAnsi="仿宋_GB2312" w:eastAsia="仿宋_GB2312" w:cs="仿宋_GB2312"/>
                <w:color w:val="000000"/>
                <w:sz w:val="21"/>
              </w:rPr>
              <w:t>需与财务系统对接，获取科研项目经费报销数据。可实现滞后不超过4小时的报销数据科研系统与财务系统同步。</w:t>
            </w:r>
          </w:p>
          <w:p w14:paraId="05C31056">
            <w:pPr>
              <w:pStyle w:val="5"/>
            </w:pPr>
            <w:r>
              <w:rPr>
                <w:rFonts w:ascii="仿宋_GB2312" w:hAnsi="仿宋_GB2312" w:eastAsia="仿宋_GB2312" w:cs="仿宋_GB2312"/>
                <w:color w:val="000000"/>
                <w:sz w:val="21"/>
              </w:rPr>
              <w:t>3.3.4 经费结转</w:t>
            </w:r>
          </w:p>
          <w:p w14:paraId="6446E353">
            <w:pPr>
              <w:pStyle w:val="5"/>
              <w:ind w:firstLine="420"/>
            </w:pPr>
            <w:r>
              <w:rPr>
                <w:rFonts w:ascii="仿宋_GB2312" w:hAnsi="仿宋_GB2312" w:eastAsia="仿宋_GB2312" w:cs="仿宋_GB2312"/>
                <w:color w:val="000000"/>
                <w:sz w:val="21"/>
              </w:rPr>
              <w:t>针对已结项但经费尚有结余的项目，可进行结转操作。经费结转可由项目负责人发起，科研管理人员审批，也可由科研管理人员统一结转。结转操作完成后系统将结转数据推送给财务系统，财务系统接收结转数据后根据财务制度进行结转操作。</w:t>
            </w:r>
          </w:p>
          <w:p w14:paraId="746ABC04">
            <w:pPr>
              <w:pStyle w:val="5"/>
            </w:pPr>
            <w:r>
              <w:rPr>
                <w:rFonts w:ascii="仿宋_GB2312" w:hAnsi="仿宋_GB2312" w:eastAsia="仿宋_GB2312" w:cs="仿宋_GB2312"/>
                <w:color w:val="000000"/>
                <w:sz w:val="21"/>
              </w:rPr>
              <w:t>3.3.5 经费工作量分割</w:t>
            </w:r>
          </w:p>
          <w:p w14:paraId="5109A465">
            <w:pPr>
              <w:pStyle w:val="5"/>
            </w:pPr>
            <w:r>
              <w:rPr>
                <w:rFonts w:ascii="仿宋_GB2312" w:hAnsi="仿宋_GB2312" w:eastAsia="仿宋_GB2312" w:cs="仿宋_GB2312"/>
                <w:color w:val="000000"/>
                <w:sz w:val="21"/>
              </w:rPr>
              <w:t xml:space="preserve">   </w:t>
            </w:r>
            <w:r>
              <w:rPr>
                <w:rFonts w:ascii="仿宋_GB2312" w:hAnsi="仿宋_GB2312" w:eastAsia="仿宋_GB2312" w:cs="仿宋_GB2312"/>
                <w:b/>
                <w:color w:val="000000"/>
                <w:sz w:val="21"/>
              </w:rPr>
              <w:t xml:space="preserve"> </w:t>
            </w:r>
            <w:r>
              <w:rPr>
                <w:rFonts w:ascii="仿宋_GB2312" w:hAnsi="仿宋_GB2312" w:eastAsia="仿宋_GB2312" w:cs="仿宋_GB2312"/>
                <w:color w:val="000000"/>
                <w:sz w:val="21"/>
              </w:rPr>
              <w:t>要求提供完全满足以下功能要求的系统全流程截图：</w:t>
            </w:r>
            <w:r>
              <w:rPr>
                <w:rFonts w:ascii="仿宋_GB2312" w:hAnsi="仿宋_GB2312" w:eastAsia="仿宋_GB2312" w:cs="仿宋_GB2312"/>
                <w:b/>
                <w:color w:val="000000"/>
                <w:sz w:val="21"/>
              </w:rPr>
              <w:t xml:space="preserve"> </w:t>
            </w:r>
            <w:r>
              <w:rPr>
                <w:rFonts w:ascii="仿宋_GB2312" w:hAnsi="仿宋_GB2312" w:eastAsia="仿宋_GB2312" w:cs="仿宋_GB2312"/>
                <w:color w:val="000000"/>
                <w:sz w:val="21"/>
              </w:rPr>
              <w:t>可分割项目经费工作量至各项目成员，用于项目成员工作量考核。</w:t>
            </w:r>
          </w:p>
          <w:p w14:paraId="1438398E">
            <w:pPr>
              <w:pStyle w:val="5"/>
            </w:pPr>
            <w:r>
              <w:rPr>
                <w:rFonts w:ascii="仿宋_GB2312" w:hAnsi="仿宋_GB2312" w:eastAsia="仿宋_GB2312" w:cs="仿宋_GB2312"/>
                <w:color w:val="000000"/>
                <w:sz w:val="21"/>
              </w:rPr>
              <w:t>3.3.6项目绩效分割</w:t>
            </w:r>
          </w:p>
          <w:p w14:paraId="71E6490F">
            <w:pPr>
              <w:pStyle w:val="5"/>
              <w:ind w:firstLine="420"/>
            </w:pPr>
            <w:r>
              <w:rPr>
                <w:rFonts w:ascii="仿宋_GB2312" w:hAnsi="仿宋_GB2312" w:eastAsia="仿宋_GB2312" w:cs="仿宋_GB2312"/>
                <w:color w:val="000000"/>
                <w:sz w:val="21"/>
              </w:rPr>
              <w:t>要求提供完全满足以下功能要求的系统全流程截图：可分割项目绩效经费至各项目成员，经科研管理人员审批后进行绩效发放。</w:t>
            </w:r>
          </w:p>
          <w:p w14:paraId="357B3BC6">
            <w:pPr>
              <w:pStyle w:val="5"/>
            </w:pPr>
            <w:r>
              <w:rPr>
                <w:rFonts w:ascii="仿宋_GB2312" w:hAnsi="仿宋_GB2312" w:eastAsia="仿宋_GB2312" w:cs="仿宋_GB2312"/>
                <w:color w:val="000000"/>
                <w:sz w:val="21"/>
              </w:rPr>
              <w:t>3.3.7执行进度统计</w:t>
            </w:r>
          </w:p>
          <w:p w14:paraId="1FD6918A">
            <w:pPr>
              <w:pStyle w:val="5"/>
              <w:ind w:firstLine="420"/>
            </w:pPr>
            <w:r>
              <w:rPr>
                <w:rFonts w:ascii="仿宋_GB2312" w:hAnsi="仿宋_GB2312" w:eastAsia="仿宋_GB2312" w:cs="仿宋_GB2312"/>
                <w:color w:val="000000"/>
                <w:sz w:val="21"/>
              </w:rPr>
              <w:t>要求提供完全满足以下功能要求的系统全流程截图：系统需与财务系统对接，同步获取项目经费报销数据，并从项目类别、学院和预算科目等维度，对科研项目经费到账和执行情况进行统计分析。</w:t>
            </w:r>
          </w:p>
          <w:p w14:paraId="71DDB7F3">
            <w:pPr>
              <w:pStyle w:val="5"/>
            </w:pPr>
            <w:r>
              <w:rPr>
                <w:rFonts w:ascii="仿宋_GB2312" w:hAnsi="仿宋_GB2312" w:eastAsia="仿宋_GB2312" w:cs="仿宋_GB2312"/>
                <w:color w:val="000000"/>
                <w:sz w:val="21"/>
              </w:rPr>
              <w:t>3.3.8经费预警</w:t>
            </w:r>
          </w:p>
          <w:p w14:paraId="124585BE">
            <w:pPr>
              <w:pStyle w:val="5"/>
              <w:ind w:firstLine="420"/>
            </w:pPr>
            <w:r>
              <w:rPr>
                <w:rFonts w:ascii="仿宋_GB2312" w:hAnsi="仿宋_GB2312" w:eastAsia="仿宋_GB2312" w:cs="仿宋_GB2312"/>
                <w:color w:val="000000"/>
                <w:sz w:val="21"/>
              </w:rPr>
              <w:t>要求提供完全满足以下功能要求的系统全流程截图：科研管理人员可针对不同类别项目，设置经费预警触发条件、发送方式、发送对象、发送内容等信息。对经费执行进度较慢触发预警条件的项目，系统需自动向项目负责人发送预警信息。</w:t>
            </w:r>
          </w:p>
          <w:p w14:paraId="79F24B93">
            <w:pPr>
              <w:pStyle w:val="5"/>
            </w:pPr>
            <w:r>
              <w:rPr>
                <w:rFonts w:ascii="仿宋_GB2312" w:hAnsi="仿宋_GB2312" w:eastAsia="仿宋_GB2312" w:cs="仿宋_GB2312"/>
                <w:b/>
                <w:color w:val="000000"/>
                <w:sz w:val="24"/>
              </w:rPr>
              <w:t>4.成果管理</w:t>
            </w:r>
          </w:p>
          <w:p w14:paraId="63DD4ADD">
            <w:pPr>
              <w:pStyle w:val="5"/>
              <w:ind w:firstLine="420"/>
            </w:pPr>
            <w:r>
              <w:rPr>
                <w:rFonts w:ascii="仿宋_GB2312" w:hAnsi="仿宋_GB2312" w:eastAsia="仿宋_GB2312" w:cs="仿宋_GB2312"/>
                <w:color w:val="000000"/>
                <w:sz w:val="21"/>
              </w:rPr>
              <w:t>成果管理子系统需包括各类科研成果、知识产权、成果获奖以及学术交流活动信息管理等功能。</w:t>
            </w:r>
          </w:p>
          <w:p w14:paraId="7ECA721E">
            <w:pPr>
              <w:pStyle w:val="5"/>
            </w:pPr>
            <w:r>
              <w:rPr>
                <w:rFonts w:ascii="仿宋_GB2312" w:hAnsi="仿宋_GB2312" w:eastAsia="仿宋_GB2312" w:cs="仿宋_GB2312"/>
                <w:b/>
                <w:color w:val="000000"/>
                <w:sz w:val="21"/>
              </w:rPr>
              <w:t>4.1科研成果</w:t>
            </w:r>
          </w:p>
          <w:p w14:paraId="1FA99F66">
            <w:pPr>
              <w:pStyle w:val="5"/>
              <w:ind w:firstLine="420"/>
            </w:pPr>
            <w:r>
              <w:rPr>
                <w:rFonts w:ascii="仿宋_GB2312" w:hAnsi="仿宋_GB2312" w:eastAsia="仿宋_GB2312" w:cs="仿宋_GB2312"/>
                <w:color w:val="000000"/>
                <w:sz w:val="21"/>
              </w:rPr>
              <w:t>科研成果模块需提供论文、学术著作、研究报告、鉴定成果、艺术作品等成果信息管理功能。</w:t>
            </w:r>
          </w:p>
          <w:p w14:paraId="4F08258C">
            <w:pPr>
              <w:pStyle w:val="5"/>
            </w:pPr>
            <w:r>
              <w:rPr>
                <w:rFonts w:ascii="仿宋_GB2312" w:hAnsi="仿宋_GB2312" w:eastAsia="仿宋_GB2312" w:cs="仿宋_GB2312"/>
                <w:color w:val="000000"/>
                <w:sz w:val="21"/>
              </w:rPr>
              <w:t>4.1.1论文</w:t>
            </w:r>
          </w:p>
          <w:p w14:paraId="7F19A262">
            <w:pPr>
              <w:pStyle w:val="5"/>
            </w:pPr>
            <w:r>
              <w:rPr>
                <w:rFonts w:ascii="仿宋_GB2312" w:hAnsi="仿宋_GB2312" w:eastAsia="仿宋_GB2312" w:cs="仿宋_GB2312"/>
                <w:color w:val="000000"/>
                <w:sz w:val="21"/>
              </w:rPr>
              <w:t>4.1.1.1论文投稿</w:t>
            </w:r>
          </w:p>
          <w:p w14:paraId="6247BD91">
            <w:pPr>
              <w:pStyle w:val="5"/>
              <w:ind w:firstLine="420"/>
            </w:pPr>
            <w:r>
              <w:rPr>
                <w:rFonts w:ascii="仿宋_GB2312" w:hAnsi="仿宋_GB2312" w:eastAsia="仿宋_GB2312" w:cs="仿宋_GB2312"/>
                <w:color w:val="000000"/>
                <w:sz w:val="21"/>
              </w:rPr>
              <w:t>系统支持论文投稿全流程管理，需对投稿件的真实性、署名顺序及伦理合规性等进行登记审核，登记环节同步填报版面费报销信息、关联对应项目信息，同时留存投稿件电子版归档。投稿函可自动生成并在线打印，纸质版需经科研管理部门签字确认后存档备案。</w:t>
            </w:r>
          </w:p>
          <w:p w14:paraId="16C189C1">
            <w:pPr>
              <w:pStyle w:val="5"/>
            </w:pPr>
            <w:r>
              <w:rPr>
                <w:rFonts w:ascii="仿宋_GB2312" w:hAnsi="仿宋_GB2312" w:eastAsia="仿宋_GB2312" w:cs="仿宋_GB2312"/>
                <w:color w:val="000000"/>
                <w:sz w:val="21"/>
              </w:rPr>
              <w:t>4.1.1.2论文管理</w:t>
            </w:r>
          </w:p>
          <w:p w14:paraId="468A18A4">
            <w:pPr>
              <w:pStyle w:val="5"/>
              <w:ind w:firstLine="420"/>
            </w:pPr>
            <w:r>
              <w:rPr>
                <w:rFonts w:ascii="仿宋_GB2312" w:hAnsi="仿宋_GB2312" w:eastAsia="仿宋_GB2312" w:cs="仿宋_GB2312"/>
                <w:color w:val="000000"/>
                <w:sz w:val="21"/>
              </w:rPr>
              <w:t>需提供论文信息新增、删除、编辑、查询、审核、批量管理、导入、导出以及统计分析功能。增加SCI论文分区及是否TOP期刊选择，增加SCI论文影响因子填写。</w:t>
            </w:r>
          </w:p>
          <w:p w14:paraId="1FEE9D80">
            <w:pPr>
              <w:pStyle w:val="5"/>
              <w:ind w:firstLine="420"/>
            </w:pPr>
            <w:r>
              <w:rPr>
                <w:rFonts w:ascii="仿宋_GB2312" w:hAnsi="仿宋_GB2312" w:eastAsia="仿宋_GB2312" w:cs="仿宋_GB2312"/>
                <w:color w:val="000000"/>
                <w:sz w:val="21"/>
              </w:rPr>
              <w:t>系统需实现用户对期刊进行分级管理，一个刊物级别可对应多个期刊或者期刊源。用户可根据自身需求，建立刊物级别划分标准。划分刊物级别后，论文信息自动与刊物级别匹配。</w:t>
            </w:r>
          </w:p>
          <w:p w14:paraId="3E75D5DD">
            <w:pPr>
              <w:pStyle w:val="5"/>
            </w:pPr>
            <w:r>
              <w:rPr>
                <w:rFonts w:ascii="仿宋_GB2312" w:hAnsi="仿宋_GB2312" w:eastAsia="仿宋_GB2312" w:cs="仿宋_GB2312"/>
                <w:color w:val="000000"/>
                <w:sz w:val="21"/>
              </w:rPr>
              <w:t>4.1.2 学术著作</w:t>
            </w:r>
          </w:p>
          <w:p w14:paraId="546DB02C">
            <w:pPr>
              <w:pStyle w:val="5"/>
              <w:spacing w:after="120"/>
              <w:ind w:firstLine="480"/>
            </w:pPr>
            <w:r>
              <w:rPr>
                <w:rFonts w:ascii="仿宋_GB2312" w:hAnsi="仿宋_GB2312" w:eastAsia="仿宋_GB2312" w:cs="仿宋_GB2312"/>
                <w:color w:val="000000"/>
                <w:sz w:val="21"/>
              </w:rPr>
              <w:t>需提供著作信息新增、删除、编辑、查询、审核、导入、导出以及统计分析功能。</w:t>
            </w:r>
          </w:p>
          <w:p w14:paraId="35E704A6">
            <w:pPr>
              <w:pStyle w:val="5"/>
            </w:pPr>
            <w:r>
              <w:rPr>
                <w:rFonts w:ascii="仿宋_GB2312" w:hAnsi="仿宋_GB2312" w:eastAsia="仿宋_GB2312" w:cs="仿宋_GB2312"/>
                <w:color w:val="000000"/>
                <w:sz w:val="21"/>
              </w:rPr>
              <w:t>4.1.3 研究报告</w:t>
            </w:r>
          </w:p>
          <w:p w14:paraId="270C835C">
            <w:pPr>
              <w:pStyle w:val="5"/>
              <w:ind w:firstLine="420"/>
            </w:pPr>
            <w:r>
              <w:rPr>
                <w:rFonts w:ascii="仿宋_GB2312" w:hAnsi="仿宋_GB2312" w:eastAsia="仿宋_GB2312" w:cs="仿宋_GB2312"/>
                <w:color w:val="000000"/>
                <w:sz w:val="21"/>
              </w:rPr>
              <w:t>需提供研究报告信息新增、删除、编辑、查询、审核、导入、导出以及统计分析功能。</w:t>
            </w:r>
          </w:p>
          <w:p w14:paraId="32AFA436">
            <w:pPr>
              <w:pStyle w:val="5"/>
            </w:pPr>
            <w:r>
              <w:rPr>
                <w:rFonts w:ascii="仿宋_GB2312" w:hAnsi="仿宋_GB2312" w:eastAsia="仿宋_GB2312" w:cs="仿宋_GB2312"/>
                <w:color w:val="000000"/>
                <w:sz w:val="21"/>
              </w:rPr>
              <w:t>4.1.4鉴定成果</w:t>
            </w:r>
          </w:p>
          <w:p w14:paraId="000520CB">
            <w:pPr>
              <w:pStyle w:val="5"/>
              <w:ind w:firstLine="420"/>
            </w:pPr>
            <w:r>
              <w:rPr>
                <w:rFonts w:ascii="仿宋_GB2312" w:hAnsi="仿宋_GB2312" w:eastAsia="仿宋_GB2312" w:cs="仿宋_GB2312"/>
                <w:color w:val="000000"/>
                <w:sz w:val="21"/>
              </w:rPr>
              <w:t>需提供鉴定成果信息新增、删除、编辑、查询、审核、导入、导出以及统计分析功能。</w:t>
            </w:r>
          </w:p>
          <w:p w14:paraId="05C7C0B2">
            <w:pPr>
              <w:pStyle w:val="5"/>
            </w:pPr>
            <w:r>
              <w:rPr>
                <w:rFonts w:ascii="仿宋_GB2312" w:hAnsi="仿宋_GB2312" w:eastAsia="仿宋_GB2312" w:cs="仿宋_GB2312"/>
                <w:color w:val="000000"/>
                <w:sz w:val="21"/>
              </w:rPr>
              <w:t>4.1.5 艺术作品</w:t>
            </w:r>
          </w:p>
          <w:p w14:paraId="0414833C">
            <w:pPr>
              <w:pStyle w:val="5"/>
              <w:ind w:firstLine="420"/>
            </w:pPr>
            <w:r>
              <w:rPr>
                <w:rFonts w:ascii="仿宋_GB2312" w:hAnsi="仿宋_GB2312" w:eastAsia="仿宋_GB2312" w:cs="仿宋_GB2312"/>
                <w:color w:val="000000"/>
                <w:sz w:val="21"/>
              </w:rPr>
              <w:t>需提供艺术作品信息新增、删除、编辑、查询、审核、导入、导出以及统计分析功能。</w:t>
            </w:r>
          </w:p>
          <w:p w14:paraId="4888F290">
            <w:pPr>
              <w:pStyle w:val="5"/>
            </w:pPr>
            <w:r>
              <w:rPr>
                <w:rFonts w:ascii="仿宋_GB2312" w:hAnsi="仿宋_GB2312" w:eastAsia="仿宋_GB2312" w:cs="仿宋_GB2312"/>
                <w:b/>
                <w:color w:val="000000"/>
                <w:sz w:val="21"/>
              </w:rPr>
              <w:t>4.2知识产权</w:t>
            </w:r>
          </w:p>
          <w:p w14:paraId="25070457">
            <w:pPr>
              <w:pStyle w:val="5"/>
              <w:ind w:firstLine="420"/>
            </w:pPr>
            <w:r>
              <w:rPr>
                <w:rFonts w:ascii="仿宋_GB2312" w:hAnsi="仿宋_GB2312" w:eastAsia="仿宋_GB2312" w:cs="仿宋_GB2312"/>
                <w:color w:val="000000"/>
                <w:sz w:val="21"/>
              </w:rPr>
              <w:t>知识产权模块需提供专利、著作权、药证、新品种、标准等知识产权信息管理功能。</w:t>
            </w:r>
          </w:p>
          <w:p w14:paraId="63FC655F">
            <w:pPr>
              <w:pStyle w:val="5"/>
            </w:pPr>
            <w:r>
              <w:rPr>
                <w:rFonts w:ascii="仿宋_GB2312" w:hAnsi="仿宋_GB2312" w:eastAsia="仿宋_GB2312" w:cs="仿宋_GB2312"/>
                <w:color w:val="000000"/>
                <w:sz w:val="21"/>
              </w:rPr>
              <w:t>4.2.1 专利</w:t>
            </w:r>
          </w:p>
          <w:p w14:paraId="47886581">
            <w:pPr>
              <w:pStyle w:val="5"/>
              <w:ind w:firstLine="420"/>
            </w:pPr>
            <w:r>
              <w:rPr>
                <w:rFonts w:ascii="仿宋_GB2312" w:hAnsi="仿宋_GB2312" w:eastAsia="仿宋_GB2312" w:cs="仿宋_GB2312"/>
                <w:color w:val="000000"/>
                <w:sz w:val="21"/>
              </w:rPr>
              <w:t>要求提供完全满足以下功能要求的系统全流程截图：需提供专利信息新增、删除、编辑、查询、审核、导入、导出以及统计分析功能。可对专利预申请、申请、公开、授权等过程信息进行管理。专利申请人在申请专利时，如果需要专利代理公司协助完成，可在专利预申请时指定专利代理公司，管理员审核通过后，把专利预申请信息和材料发送至代理公司，专利代理公司需凭账号登录系统，对专利信息进行管理和维护。管理员可管理和维护专利代理公司基本信息和账号信息。</w:t>
            </w:r>
          </w:p>
          <w:p w14:paraId="04192C8E">
            <w:pPr>
              <w:pStyle w:val="5"/>
            </w:pPr>
            <w:r>
              <w:rPr>
                <w:rFonts w:ascii="仿宋_GB2312" w:hAnsi="仿宋_GB2312" w:eastAsia="仿宋_GB2312" w:cs="仿宋_GB2312"/>
                <w:color w:val="000000"/>
                <w:sz w:val="21"/>
              </w:rPr>
              <w:t>4.2.2著作权</w:t>
            </w:r>
          </w:p>
          <w:p w14:paraId="75D531DD">
            <w:pPr>
              <w:pStyle w:val="5"/>
              <w:ind w:firstLine="420"/>
            </w:pPr>
            <w:r>
              <w:rPr>
                <w:rFonts w:ascii="仿宋_GB2312" w:hAnsi="仿宋_GB2312" w:eastAsia="仿宋_GB2312" w:cs="仿宋_GB2312"/>
                <w:color w:val="000000"/>
                <w:sz w:val="21"/>
              </w:rPr>
              <w:t>需提供著作权信息新增、删除、编辑、审核、导入、导出和统计分析功能。</w:t>
            </w:r>
          </w:p>
          <w:p w14:paraId="73CE9F16">
            <w:pPr>
              <w:pStyle w:val="5"/>
            </w:pPr>
            <w:r>
              <w:rPr>
                <w:rFonts w:ascii="仿宋_GB2312" w:hAnsi="仿宋_GB2312" w:eastAsia="仿宋_GB2312" w:cs="仿宋_GB2312"/>
                <w:color w:val="000000"/>
                <w:sz w:val="21"/>
              </w:rPr>
              <w:t>4.2.3标准</w:t>
            </w:r>
          </w:p>
          <w:p w14:paraId="068EBC0F">
            <w:pPr>
              <w:pStyle w:val="5"/>
              <w:ind w:firstLine="420"/>
            </w:pPr>
            <w:r>
              <w:rPr>
                <w:rFonts w:ascii="仿宋_GB2312" w:hAnsi="仿宋_GB2312" w:eastAsia="仿宋_GB2312" w:cs="仿宋_GB2312"/>
                <w:color w:val="000000"/>
                <w:sz w:val="21"/>
              </w:rPr>
              <w:t>需提供标准信息新增、删除、编辑、审核、导入、导出和统计分析功能。</w:t>
            </w:r>
          </w:p>
          <w:p w14:paraId="59F3482F">
            <w:pPr>
              <w:pStyle w:val="5"/>
            </w:pPr>
            <w:r>
              <w:rPr>
                <w:rFonts w:ascii="仿宋_GB2312" w:hAnsi="仿宋_GB2312" w:eastAsia="仿宋_GB2312" w:cs="仿宋_GB2312"/>
                <w:color w:val="000000"/>
                <w:sz w:val="21"/>
              </w:rPr>
              <w:t>4.2.4药证</w:t>
            </w:r>
          </w:p>
          <w:p w14:paraId="6DD463BB">
            <w:pPr>
              <w:pStyle w:val="5"/>
              <w:ind w:firstLine="420"/>
            </w:pPr>
            <w:r>
              <w:rPr>
                <w:rFonts w:ascii="仿宋_GB2312" w:hAnsi="仿宋_GB2312" w:eastAsia="仿宋_GB2312" w:cs="仿宋_GB2312"/>
                <w:color w:val="000000"/>
                <w:sz w:val="21"/>
              </w:rPr>
              <w:t>需提供药证信息新增、删除、编辑、审核、导入、导出和统计分析功能。</w:t>
            </w:r>
          </w:p>
          <w:p w14:paraId="1CC8213A">
            <w:pPr>
              <w:pStyle w:val="5"/>
            </w:pPr>
            <w:r>
              <w:rPr>
                <w:rFonts w:ascii="仿宋_GB2312" w:hAnsi="仿宋_GB2312" w:eastAsia="仿宋_GB2312" w:cs="仿宋_GB2312"/>
                <w:color w:val="000000"/>
                <w:sz w:val="21"/>
              </w:rPr>
              <w:t>4.2.5新品种</w:t>
            </w:r>
          </w:p>
          <w:p w14:paraId="2B557D8E">
            <w:pPr>
              <w:pStyle w:val="5"/>
              <w:ind w:firstLine="420"/>
            </w:pPr>
            <w:r>
              <w:rPr>
                <w:rFonts w:ascii="仿宋_GB2312" w:hAnsi="仿宋_GB2312" w:eastAsia="仿宋_GB2312" w:cs="仿宋_GB2312"/>
                <w:color w:val="000000"/>
                <w:sz w:val="21"/>
              </w:rPr>
              <w:t>需提供新品种信息新增、删除、编辑、审核、导入、导出和统计分析功能。</w:t>
            </w:r>
          </w:p>
          <w:p w14:paraId="1552F8FE">
            <w:pPr>
              <w:pStyle w:val="5"/>
            </w:pPr>
            <w:r>
              <w:rPr>
                <w:rFonts w:ascii="仿宋_GB2312" w:hAnsi="仿宋_GB2312" w:eastAsia="仿宋_GB2312" w:cs="仿宋_GB2312"/>
                <w:b/>
                <w:color w:val="000000"/>
                <w:sz w:val="21"/>
              </w:rPr>
              <w:t>4.3成果获奖</w:t>
            </w:r>
          </w:p>
          <w:p w14:paraId="68290C0E">
            <w:pPr>
              <w:pStyle w:val="5"/>
              <w:ind w:firstLine="420"/>
            </w:pPr>
            <w:r>
              <w:rPr>
                <w:rFonts w:ascii="仿宋_GB2312" w:hAnsi="仿宋_GB2312" w:eastAsia="仿宋_GB2312" w:cs="仿宋_GB2312"/>
                <w:color w:val="000000"/>
                <w:sz w:val="21"/>
              </w:rPr>
              <w:t>需提供获奖成果信息新增、删除、编辑、查询、审核、导入、导出以及统计分析功能。</w:t>
            </w:r>
          </w:p>
          <w:p w14:paraId="0849B1EA">
            <w:pPr>
              <w:pStyle w:val="5"/>
            </w:pPr>
            <w:r>
              <w:rPr>
                <w:rFonts w:ascii="仿宋_GB2312" w:hAnsi="仿宋_GB2312" w:eastAsia="仿宋_GB2312" w:cs="仿宋_GB2312"/>
                <w:b/>
                <w:color w:val="000000"/>
                <w:sz w:val="21"/>
              </w:rPr>
              <w:t>4.4学术交流</w:t>
            </w:r>
          </w:p>
          <w:p w14:paraId="4A157102">
            <w:pPr>
              <w:pStyle w:val="5"/>
              <w:ind w:firstLine="420"/>
            </w:pPr>
            <w:r>
              <w:rPr>
                <w:rFonts w:ascii="仿宋_GB2312" w:hAnsi="仿宋_GB2312" w:eastAsia="仿宋_GB2312" w:cs="仿宋_GB2312"/>
                <w:color w:val="000000"/>
                <w:sz w:val="21"/>
              </w:rPr>
              <w:t>学术交流模块需提供主办会议、学术讲座、参加会议、合作研究等活动信息管理功能。</w:t>
            </w:r>
          </w:p>
          <w:p w14:paraId="28B191CD">
            <w:pPr>
              <w:pStyle w:val="5"/>
            </w:pPr>
            <w:r>
              <w:rPr>
                <w:rFonts w:ascii="仿宋_GB2312" w:hAnsi="仿宋_GB2312" w:eastAsia="仿宋_GB2312" w:cs="仿宋_GB2312"/>
                <w:color w:val="000000"/>
                <w:sz w:val="21"/>
              </w:rPr>
              <w:t>4.4.1 主办会议</w:t>
            </w:r>
          </w:p>
          <w:p w14:paraId="5EC59744">
            <w:pPr>
              <w:pStyle w:val="5"/>
              <w:ind w:firstLine="420"/>
            </w:pPr>
            <w:r>
              <w:rPr>
                <w:rFonts w:ascii="仿宋_GB2312" w:hAnsi="仿宋_GB2312" w:eastAsia="仿宋_GB2312" w:cs="仿宋_GB2312"/>
                <w:color w:val="000000"/>
                <w:sz w:val="21"/>
              </w:rPr>
              <w:t>主办会议指学校承办的会议，系统需提供主办会议信息新增、删除、编辑、审核、导入、导出和统计分析功能。</w:t>
            </w:r>
          </w:p>
          <w:p w14:paraId="1B70B389">
            <w:pPr>
              <w:pStyle w:val="5"/>
              <w:ind w:firstLine="420"/>
            </w:pPr>
            <w:r>
              <w:rPr>
                <w:rFonts w:ascii="仿宋_GB2312" w:hAnsi="仿宋_GB2312" w:eastAsia="仿宋_GB2312" w:cs="仿宋_GB2312"/>
                <w:color w:val="000000"/>
                <w:sz w:val="21"/>
              </w:rPr>
              <w:t>主办会议可分为国际、国内、省内等多个级别进行管理。</w:t>
            </w:r>
          </w:p>
          <w:p w14:paraId="4A22557F">
            <w:pPr>
              <w:pStyle w:val="5"/>
            </w:pPr>
            <w:r>
              <w:rPr>
                <w:rFonts w:ascii="仿宋_GB2312" w:hAnsi="仿宋_GB2312" w:eastAsia="仿宋_GB2312" w:cs="仿宋_GB2312"/>
                <w:color w:val="000000"/>
                <w:sz w:val="21"/>
              </w:rPr>
              <w:t>4.4.2学术讲座</w:t>
            </w:r>
          </w:p>
          <w:p w14:paraId="05FF5FFA">
            <w:pPr>
              <w:pStyle w:val="5"/>
              <w:ind w:firstLine="420"/>
            </w:pPr>
            <w:r>
              <w:rPr>
                <w:rFonts w:ascii="仿宋_GB2312" w:hAnsi="仿宋_GB2312" w:eastAsia="仿宋_GB2312" w:cs="仿宋_GB2312"/>
                <w:color w:val="000000"/>
                <w:sz w:val="21"/>
              </w:rPr>
              <w:t>学术讲座指对二级单位组织的各类交流论坛和讲座。系统需提供学术讲座信息新增、删除、编辑、审核、导入、导出和统计分析功能。</w:t>
            </w:r>
          </w:p>
          <w:p w14:paraId="52178154">
            <w:pPr>
              <w:pStyle w:val="5"/>
            </w:pPr>
            <w:r>
              <w:rPr>
                <w:rFonts w:ascii="仿宋_GB2312" w:hAnsi="仿宋_GB2312" w:eastAsia="仿宋_GB2312" w:cs="仿宋_GB2312"/>
                <w:color w:val="000000"/>
                <w:sz w:val="21"/>
              </w:rPr>
              <w:t>4.4.3 参加会议</w:t>
            </w:r>
          </w:p>
          <w:p w14:paraId="27BB20E1">
            <w:pPr>
              <w:pStyle w:val="5"/>
              <w:ind w:firstLine="420"/>
            </w:pPr>
            <w:r>
              <w:rPr>
                <w:rFonts w:ascii="仿宋_GB2312" w:hAnsi="仿宋_GB2312" w:eastAsia="仿宋_GB2312" w:cs="仿宋_GB2312"/>
                <w:color w:val="000000"/>
                <w:sz w:val="21"/>
              </w:rPr>
              <w:t>参加会议是指对科研人员外出参加的学术会议。科研人员登记相应的会议信息，需通过科研管理人员审核后备案。</w:t>
            </w:r>
          </w:p>
          <w:p w14:paraId="2807BA8A">
            <w:pPr>
              <w:pStyle w:val="5"/>
            </w:pPr>
            <w:r>
              <w:rPr>
                <w:rFonts w:ascii="仿宋_GB2312" w:hAnsi="仿宋_GB2312" w:eastAsia="仿宋_GB2312" w:cs="仿宋_GB2312"/>
                <w:color w:val="000000"/>
                <w:sz w:val="21"/>
              </w:rPr>
              <w:t>4.4.4 合作研究</w:t>
            </w:r>
          </w:p>
          <w:p w14:paraId="4247ABE8">
            <w:pPr>
              <w:pStyle w:val="5"/>
              <w:ind w:firstLine="420"/>
            </w:pPr>
            <w:r>
              <w:rPr>
                <w:rFonts w:ascii="仿宋_GB2312" w:hAnsi="仿宋_GB2312" w:eastAsia="仿宋_GB2312" w:cs="仿宋_GB2312"/>
                <w:color w:val="000000"/>
                <w:sz w:val="21"/>
              </w:rPr>
              <w:t>合作研究需包括人员派遣和人员接受两部分。</w:t>
            </w:r>
          </w:p>
          <w:p w14:paraId="2DE55F03">
            <w:pPr>
              <w:pStyle w:val="5"/>
            </w:pPr>
            <w:r>
              <w:rPr>
                <w:rFonts w:ascii="仿宋_GB2312" w:hAnsi="仿宋_GB2312" w:eastAsia="仿宋_GB2312" w:cs="仿宋_GB2312"/>
                <w:color w:val="000000"/>
                <w:sz w:val="21"/>
              </w:rPr>
              <w:t>4.4.4.1人员派遣</w:t>
            </w:r>
          </w:p>
          <w:p w14:paraId="3D2E29F1">
            <w:pPr>
              <w:pStyle w:val="5"/>
              <w:ind w:firstLine="420"/>
            </w:pPr>
            <w:r>
              <w:rPr>
                <w:rFonts w:ascii="仿宋_GB2312" w:hAnsi="仿宋_GB2312" w:eastAsia="仿宋_GB2312" w:cs="仿宋_GB2312"/>
                <w:color w:val="000000"/>
                <w:sz w:val="21"/>
              </w:rPr>
              <w:t>要求提供完全满足以下功能要求的系统全流程截图：人员派遣模块需提供对合作研究中派遣人员和研究课题信息的管理功能，包括派遣人员新增、删除、编辑、查询、审核、导入、导出以及统计分析等功能，可依据数据导入模板进行批量导入。</w:t>
            </w:r>
          </w:p>
          <w:p w14:paraId="729930F8">
            <w:pPr>
              <w:pStyle w:val="5"/>
            </w:pPr>
            <w:r>
              <w:rPr>
                <w:rFonts w:ascii="仿宋_GB2312" w:hAnsi="仿宋_GB2312" w:eastAsia="仿宋_GB2312" w:cs="仿宋_GB2312"/>
                <w:color w:val="000000"/>
                <w:sz w:val="21"/>
              </w:rPr>
              <w:t>4.4.4.2人员接受</w:t>
            </w:r>
          </w:p>
          <w:p w14:paraId="1FD41070">
            <w:pPr>
              <w:pStyle w:val="5"/>
              <w:ind w:firstLine="420"/>
            </w:pPr>
            <w:r>
              <w:rPr>
                <w:rFonts w:ascii="仿宋_GB2312" w:hAnsi="仿宋_GB2312" w:eastAsia="仿宋_GB2312" w:cs="仿宋_GB2312"/>
                <w:color w:val="000000"/>
                <w:sz w:val="21"/>
              </w:rPr>
              <w:t>要求提供完全满足以下功能要求的系统全流程截图：人员接受模块需提供对合作研究中课题信息和接受人员信息的管理等功能，包括接受人员新增、删除、编辑、查询、审核以及统计分析等功能。</w:t>
            </w:r>
          </w:p>
          <w:p w14:paraId="2E205E9B">
            <w:pPr>
              <w:pStyle w:val="5"/>
            </w:pPr>
            <w:r>
              <w:rPr>
                <w:rFonts w:ascii="仿宋_GB2312" w:hAnsi="仿宋_GB2312" w:eastAsia="仿宋_GB2312" w:cs="仿宋_GB2312"/>
                <w:b/>
                <w:color w:val="000000"/>
                <w:sz w:val="24"/>
              </w:rPr>
              <w:t>5.论文数据治理</w:t>
            </w:r>
          </w:p>
          <w:p w14:paraId="037CB77D">
            <w:pPr>
              <w:pStyle w:val="5"/>
            </w:pPr>
            <w:r>
              <w:rPr>
                <w:rFonts w:ascii="仿宋_GB2312" w:hAnsi="仿宋_GB2312" w:eastAsia="仿宋_GB2312" w:cs="仿宋_GB2312"/>
                <w:b/>
                <w:color w:val="000000"/>
                <w:sz w:val="21"/>
              </w:rPr>
              <w:t>▲5.1采集治理</w:t>
            </w:r>
          </w:p>
          <w:p w14:paraId="659AD6D7">
            <w:pPr>
              <w:pStyle w:val="5"/>
            </w:pPr>
            <w:r>
              <w:rPr>
                <w:rFonts w:ascii="仿宋_GB2312" w:hAnsi="仿宋_GB2312" w:eastAsia="仿宋_GB2312" w:cs="仿宋_GB2312"/>
                <w:color w:val="000000"/>
                <w:sz w:val="21"/>
              </w:rPr>
              <w:t>要求提供完全满足以下功能要求的系统全流程截图：</w:t>
            </w:r>
          </w:p>
          <w:p w14:paraId="24E6934E">
            <w:pPr>
              <w:pStyle w:val="5"/>
            </w:pPr>
            <w:r>
              <w:rPr>
                <w:rFonts w:ascii="仿宋_GB2312" w:hAnsi="仿宋_GB2312" w:eastAsia="仿宋_GB2312" w:cs="仿宋_GB2312"/>
                <w:color w:val="000000"/>
                <w:sz w:val="21"/>
              </w:rPr>
              <w:t>5.1.1批量采集</w:t>
            </w:r>
          </w:p>
          <w:p w14:paraId="5235DCDC">
            <w:pPr>
              <w:pStyle w:val="5"/>
              <w:ind w:firstLine="420"/>
            </w:pPr>
            <w:r>
              <w:rPr>
                <w:rFonts w:ascii="仿宋_GB2312" w:hAnsi="仿宋_GB2312" w:eastAsia="仿宋_GB2312" w:cs="仿宋_GB2312"/>
                <w:color w:val="000000"/>
                <w:sz w:val="21"/>
              </w:rPr>
              <w:t>要求提供完全满足以下功能要求的系统全流程截图：可自动批量采集学校中英文论文发表数据（包括WOS、EI、知网、万方、维普，需要学校有相应论文数据库授权。如数据服务商限制服务，则此功能不可使用），展示所采集数据结果，采集数据标引出论文收录源（如WOS、EI、知网等），并保存原始数据链接，点击链接可跳转和查看论文数据源原始网页信息（如知网），网页信息内容需自动提取并存储入库。</w:t>
            </w:r>
          </w:p>
          <w:p w14:paraId="29168520">
            <w:pPr>
              <w:pStyle w:val="5"/>
            </w:pPr>
            <w:r>
              <w:rPr>
                <w:rFonts w:ascii="仿宋_GB2312" w:hAnsi="仿宋_GB2312" w:eastAsia="仿宋_GB2312" w:cs="仿宋_GB2312"/>
                <w:color w:val="000000"/>
                <w:sz w:val="21"/>
              </w:rPr>
              <w:t>5.1.2集中治理</w:t>
            </w:r>
          </w:p>
          <w:p w14:paraId="50B2E0DB">
            <w:pPr>
              <w:pStyle w:val="5"/>
              <w:ind w:firstLine="420"/>
            </w:pPr>
            <w:r>
              <w:rPr>
                <w:rFonts w:ascii="仿宋_GB2312" w:hAnsi="仿宋_GB2312" w:eastAsia="仿宋_GB2312" w:cs="仿宋_GB2312"/>
                <w:color w:val="000000"/>
                <w:sz w:val="21"/>
              </w:rPr>
              <w:t>要求提供完全满足以下功能要求的系统全流程截图：可自动识别和合并多源数据（即同一篇论文被多个数据源收录时，如WOS、EI等，自动合并成一篇），展示合并结果，合并结果同时保存多个数据源的所有信息。</w:t>
            </w:r>
          </w:p>
          <w:p w14:paraId="25876B3B">
            <w:pPr>
              <w:pStyle w:val="5"/>
            </w:pPr>
            <w:r>
              <w:rPr>
                <w:rFonts w:ascii="仿宋_GB2312" w:hAnsi="仿宋_GB2312" w:eastAsia="仿宋_GB2312" w:cs="仿宋_GB2312"/>
                <w:color w:val="000000"/>
                <w:sz w:val="21"/>
              </w:rPr>
              <w:t>5.1.3智能识别</w:t>
            </w:r>
          </w:p>
          <w:p w14:paraId="48166CD6">
            <w:pPr>
              <w:pStyle w:val="5"/>
              <w:ind w:firstLine="420"/>
            </w:pPr>
            <w:r>
              <w:rPr>
                <w:rFonts w:ascii="仿宋_GB2312" w:hAnsi="仿宋_GB2312" w:eastAsia="仿宋_GB2312" w:cs="仿宋_GB2312"/>
                <w:color w:val="000000"/>
                <w:sz w:val="21"/>
              </w:rPr>
              <w:t>要求提供完全满足以下功能要求的系统全流程截图：可自动识别论文的发表期刊、出版日期、卷期页、ISSN号、学校署名、成员信息、是否第一作者、是否通讯作者。可自动匹配引证信息，包括汤森路透JCR分区和中科院分区（需要学校有相应数据权限），分区信息含大类分区、小类分区、年度影响因子、被引次数等信息。</w:t>
            </w:r>
          </w:p>
          <w:p w14:paraId="1A828253">
            <w:pPr>
              <w:pStyle w:val="5"/>
            </w:pPr>
            <w:r>
              <w:rPr>
                <w:rFonts w:ascii="仿宋_GB2312" w:hAnsi="仿宋_GB2312" w:eastAsia="仿宋_GB2312" w:cs="仿宋_GB2312"/>
                <w:b/>
                <w:color w:val="000000"/>
                <w:sz w:val="21"/>
              </w:rPr>
              <w:t>▲5.2共享应用</w:t>
            </w:r>
          </w:p>
          <w:p w14:paraId="62D8819D">
            <w:pPr>
              <w:pStyle w:val="5"/>
              <w:ind w:firstLine="420"/>
            </w:pPr>
            <w:r>
              <w:rPr>
                <w:rFonts w:ascii="仿宋_GB2312" w:hAnsi="仿宋_GB2312" w:eastAsia="仿宋_GB2312" w:cs="仿宋_GB2312"/>
                <w:color w:val="000000"/>
                <w:sz w:val="21"/>
              </w:rPr>
              <w:t>论文治理数据需接入学校系统，实现论文治理数据共享和应用。</w:t>
            </w:r>
          </w:p>
          <w:p w14:paraId="2081BEEF">
            <w:pPr>
              <w:pStyle w:val="5"/>
            </w:pPr>
            <w:r>
              <w:rPr>
                <w:rFonts w:ascii="仿宋_GB2312" w:hAnsi="仿宋_GB2312" w:eastAsia="仿宋_GB2312" w:cs="仿宋_GB2312"/>
                <w:b/>
                <w:color w:val="000000"/>
                <w:sz w:val="24"/>
              </w:rPr>
              <w:t>6.教育部统计</w:t>
            </w:r>
          </w:p>
          <w:p w14:paraId="74BD00E8">
            <w:pPr>
              <w:pStyle w:val="5"/>
              <w:ind w:firstLine="420"/>
            </w:pPr>
            <w:r>
              <w:rPr>
                <w:rFonts w:ascii="仿宋_GB2312" w:hAnsi="仿宋_GB2312" w:eastAsia="仿宋_GB2312" w:cs="仿宋_GB2312"/>
                <w:color w:val="000000"/>
                <w:sz w:val="21"/>
              </w:rPr>
              <w:t>基于教育部年度科技、社科统计要求，提供教育部统计辅助软件或者工具，采用Excel和XML格式数据包载入教育部统计数据；能对载入的教育部统计数据进行编辑和检查，能生成教育部统计表；能导出XML格式数据包，并能导入到教育部社科统计系统中。同时提供教育部年度科研统计兼容方案和相关证明材料。</w:t>
            </w:r>
          </w:p>
          <w:p w14:paraId="7962F9FC">
            <w:pPr>
              <w:pStyle w:val="5"/>
            </w:pPr>
            <w:r>
              <w:rPr>
                <w:rFonts w:ascii="仿宋_GB2312" w:hAnsi="仿宋_GB2312" w:eastAsia="仿宋_GB2312" w:cs="仿宋_GB2312"/>
                <w:b/>
                <w:color w:val="000000"/>
                <w:sz w:val="24"/>
              </w:rPr>
              <w:t>7.科研考核</w:t>
            </w:r>
          </w:p>
          <w:p w14:paraId="0D6F241F">
            <w:pPr>
              <w:pStyle w:val="5"/>
              <w:ind w:firstLine="420"/>
            </w:pPr>
            <w:r>
              <w:rPr>
                <w:rFonts w:ascii="仿宋_GB2312" w:hAnsi="仿宋_GB2312" w:eastAsia="仿宋_GB2312" w:cs="仿宋_GB2312"/>
                <w:color w:val="000000"/>
                <w:sz w:val="21"/>
              </w:rPr>
              <w:t>提供考核方案设置、计分细则设置、岗位标准设置、分摊方案设置、考核流程管理、考核分值确认以及考核结果统计等功能。</w:t>
            </w:r>
          </w:p>
          <w:p w14:paraId="656C8127">
            <w:pPr>
              <w:pStyle w:val="5"/>
            </w:pPr>
            <w:r>
              <w:rPr>
                <w:rFonts w:ascii="仿宋_GB2312" w:hAnsi="仿宋_GB2312" w:eastAsia="仿宋_GB2312" w:cs="仿宋_GB2312"/>
                <w:b/>
                <w:color w:val="000000"/>
                <w:sz w:val="21"/>
              </w:rPr>
              <w:t>7.1考核方案设置</w:t>
            </w:r>
          </w:p>
          <w:p w14:paraId="3516EDC2">
            <w:pPr>
              <w:pStyle w:val="5"/>
              <w:ind w:firstLine="420"/>
            </w:pPr>
            <w:r>
              <w:rPr>
                <w:rFonts w:ascii="仿宋_GB2312" w:hAnsi="仿宋_GB2312" w:eastAsia="仿宋_GB2312" w:cs="仿宋_GB2312"/>
                <w:color w:val="000000"/>
                <w:sz w:val="21"/>
              </w:rPr>
              <w:t>在考核工作开始前，需选定考核范围以及对应的计分细则、分摊方案和岗位标准，形成具体的考核方案。</w:t>
            </w:r>
          </w:p>
          <w:p w14:paraId="59D2E517">
            <w:pPr>
              <w:pStyle w:val="5"/>
              <w:ind w:firstLine="420"/>
            </w:pPr>
            <w:r>
              <w:rPr>
                <w:rFonts w:ascii="仿宋_GB2312" w:hAnsi="仿宋_GB2312" w:eastAsia="仿宋_GB2312" w:cs="仿宋_GB2312"/>
                <w:color w:val="000000"/>
                <w:sz w:val="21"/>
              </w:rPr>
              <w:t>系统需提供考核方案新增、编辑、查询等功能。考核范围包括各类科研项目、经费和成果数据，指定考核范围时，需指定相应的计分细则。</w:t>
            </w:r>
          </w:p>
          <w:p w14:paraId="648AECE9">
            <w:pPr>
              <w:pStyle w:val="5"/>
            </w:pPr>
            <w:r>
              <w:rPr>
                <w:rFonts w:ascii="仿宋_GB2312" w:hAnsi="仿宋_GB2312" w:eastAsia="仿宋_GB2312" w:cs="仿宋_GB2312"/>
                <w:b/>
                <w:color w:val="000000"/>
                <w:sz w:val="21"/>
              </w:rPr>
              <w:t>7.2计分细则设置</w:t>
            </w:r>
          </w:p>
          <w:p w14:paraId="36DFD456">
            <w:pPr>
              <w:pStyle w:val="5"/>
              <w:ind w:firstLine="420"/>
            </w:pPr>
            <w:r>
              <w:rPr>
                <w:rFonts w:ascii="仿宋_GB2312" w:hAnsi="仿宋_GB2312" w:eastAsia="仿宋_GB2312" w:cs="仿宋_GB2312"/>
                <w:color w:val="000000"/>
                <w:sz w:val="21"/>
              </w:rPr>
              <w:t>要求提供完全满足以下功能要求的系统全流程截图：设置各类业务数据计分细则，包括基准分值、权重分值、分配方式、计算方式以及显示属性等，作为各类业务数据得分计算的依据。不同类型项目、成果数据可依据其不同属性字段建立相应的计分标准。</w:t>
            </w:r>
          </w:p>
          <w:p w14:paraId="45F6F61A">
            <w:pPr>
              <w:pStyle w:val="5"/>
            </w:pPr>
            <w:r>
              <w:rPr>
                <w:rFonts w:ascii="仿宋_GB2312" w:hAnsi="仿宋_GB2312" w:eastAsia="仿宋_GB2312" w:cs="仿宋_GB2312"/>
                <w:b/>
                <w:color w:val="000000"/>
                <w:sz w:val="21"/>
              </w:rPr>
              <w:t>7.3分摊方案设置</w:t>
            </w:r>
          </w:p>
          <w:p w14:paraId="32A4E5AF">
            <w:pPr>
              <w:pStyle w:val="5"/>
              <w:ind w:firstLine="420"/>
            </w:pPr>
            <w:r>
              <w:rPr>
                <w:rFonts w:ascii="仿宋_GB2312" w:hAnsi="仿宋_GB2312" w:eastAsia="仿宋_GB2312" w:cs="仿宋_GB2312"/>
                <w:color w:val="000000"/>
                <w:sz w:val="21"/>
              </w:rPr>
              <w:t>要求提供完全满足以下功能要求的系统全流程截图：设置多成员合作项目、成果的贡献分配方案，可依据成员排名或者署名顺序进行分摊，也可依据成员贡献率进行分摊。</w:t>
            </w:r>
          </w:p>
          <w:p w14:paraId="4F8C1977">
            <w:pPr>
              <w:pStyle w:val="5"/>
            </w:pPr>
            <w:r>
              <w:rPr>
                <w:rFonts w:ascii="仿宋_GB2312" w:hAnsi="仿宋_GB2312" w:eastAsia="仿宋_GB2312" w:cs="仿宋_GB2312"/>
                <w:b/>
                <w:color w:val="000000"/>
                <w:sz w:val="21"/>
              </w:rPr>
              <w:t>7.4岗位标准设置</w:t>
            </w:r>
          </w:p>
          <w:p w14:paraId="0B64B96A">
            <w:pPr>
              <w:pStyle w:val="5"/>
              <w:ind w:firstLine="420"/>
            </w:pPr>
            <w:r>
              <w:rPr>
                <w:rFonts w:ascii="仿宋_GB2312" w:hAnsi="仿宋_GB2312" w:eastAsia="仿宋_GB2312" w:cs="仿宋_GB2312"/>
                <w:color w:val="000000"/>
                <w:sz w:val="21"/>
              </w:rPr>
              <w:t>根据学校实际情况和职称标准，制定相应的岗位标准，即各岗位的基准分值。</w:t>
            </w:r>
          </w:p>
          <w:p w14:paraId="4FD95E7C">
            <w:pPr>
              <w:pStyle w:val="5"/>
            </w:pPr>
            <w:r>
              <w:rPr>
                <w:rFonts w:ascii="仿宋_GB2312" w:hAnsi="仿宋_GB2312" w:eastAsia="仿宋_GB2312" w:cs="仿宋_GB2312"/>
                <w:b/>
                <w:color w:val="000000"/>
                <w:sz w:val="21"/>
              </w:rPr>
              <w:t>7.5考核流程管理</w:t>
            </w:r>
          </w:p>
          <w:p w14:paraId="2B87744C">
            <w:pPr>
              <w:pStyle w:val="5"/>
              <w:ind w:firstLine="420"/>
            </w:pPr>
            <w:r>
              <w:rPr>
                <w:rFonts w:ascii="仿宋_GB2312" w:hAnsi="仿宋_GB2312" w:eastAsia="仿宋_GB2312" w:cs="仿宋_GB2312"/>
                <w:color w:val="000000"/>
                <w:sz w:val="21"/>
              </w:rPr>
              <w:t>要求提供完全满足以下功能要求的系统全流程截图：</w:t>
            </w:r>
          </w:p>
          <w:p w14:paraId="48A53BEF">
            <w:pPr>
              <w:pStyle w:val="5"/>
              <w:ind w:firstLine="420"/>
            </w:pPr>
            <w:r>
              <w:rPr>
                <w:rFonts w:ascii="仿宋_GB2312" w:hAnsi="仿宋_GB2312" w:eastAsia="仿宋_GB2312" w:cs="仿宋_GB2312"/>
                <w:b/>
                <w:color w:val="000000"/>
                <w:sz w:val="21"/>
              </w:rPr>
              <w:t>新增考核批次</w:t>
            </w:r>
            <w:r>
              <w:rPr>
                <w:rFonts w:ascii="仿宋_GB2312" w:hAnsi="仿宋_GB2312" w:eastAsia="仿宋_GB2312" w:cs="仿宋_GB2312"/>
                <w:color w:val="000000"/>
                <w:sz w:val="21"/>
              </w:rPr>
              <w:t xml:space="preserve">  建立本次考核批次信息，包括考核批次名称、考核方案、开始日期、结束日期等信息。</w:t>
            </w:r>
          </w:p>
          <w:p w14:paraId="2FC64405">
            <w:pPr>
              <w:pStyle w:val="5"/>
              <w:ind w:firstLine="420"/>
            </w:pPr>
            <w:r>
              <w:rPr>
                <w:rFonts w:ascii="仿宋_GB2312" w:hAnsi="仿宋_GB2312" w:eastAsia="仿宋_GB2312" w:cs="仿宋_GB2312"/>
                <w:b/>
                <w:color w:val="000000"/>
                <w:sz w:val="21"/>
              </w:rPr>
              <w:t>导入考核人员</w:t>
            </w:r>
            <w:r>
              <w:rPr>
                <w:rFonts w:ascii="仿宋_GB2312" w:hAnsi="仿宋_GB2312" w:eastAsia="仿宋_GB2312" w:cs="仿宋_GB2312"/>
                <w:color w:val="000000"/>
                <w:sz w:val="21"/>
              </w:rPr>
              <w:t xml:space="preserve">  科研管理人员可按照系统提供的Excel模板，批量导入考核人员信息，也可以逐项登记考核人员信息。</w:t>
            </w:r>
          </w:p>
          <w:p w14:paraId="34AFB1F5">
            <w:pPr>
              <w:pStyle w:val="5"/>
              <w:ind w:firstLine="420"/>
            </w:pPr>
            <w:r>
              <w:rPr>
                <w:rFonts w:ascii="仿宋_GB2312" w:hAnsi="仿宋_GB2312" w:eastAsia="仿宋_GB2312" w:cs="仿宋_GB2312"/>
                <w:b/>
                <w:color w:val="000000"/>
                <w:sz w:val="21"/>
              </w:rPr>
              <w:t>启动考核</w:t>
            </w:r>
            <w:r>
              <w:rPr>
                <w:rFonts w:ascii="仿宋_GB2312" w:hAnsi="仿宋_GB2312" w:eastAsia="仿宋_GB2312" w:cs="仿宋_GB2312"/>
                <w:color w:val="000000"/>
                <w:sz w:val="21"/>
              </w:rPr>
              <w:t xml:space="preserve">  启动考核后，系统自动计算被考核人员分值，并将考核结果推送给被考核人员进行确认。</w:t>
            </w:r>
          </w:p>
          <w:p w14:paraId="41F31E92">
            <w:pPr>
              <w:pStyle w:val="5"/>
              <w:ind w:firstLine="420"/>
            </w:pPr>
            <w:r>
              <w:rPr>
                <w:rFonts w:ascii="仿宋_GB2312" w:hAnsi="仿宋_GB2312" w:eastAsia="仿宋_GB2312" w:cs="仿宋_GB2312"/>
                <w:b/>
                <w:color w:val="000000"/>
                <w:sz w:val="21"/>
              </w:rPr>
              <w:t>考核过程监控</w:t>
            </w:r>
            <w:r>
              <w:rPr>
                <w:rFonts w:ascii="仿宋_GB2312" w:hAnsi="仿宋_GB2312" w:eastAsia="仿宋_GB2312" w:cs="仿宋_GB2312"/>
                <w:color w:val="000000"/>
                <w:sz w:val="21"/>
              </w:rPr>
              <w:t xml:space="preserve">  科研管理人员可在线跟踪被考核人员分值和确认进度。</w:t>
            </w:r>
          </w:p>
          <w:p w14:paraId="785F2489">
            <w:pPr>
              <w:pStyle w:val="5"/>
            </w:pPr>
            <w:r>
              <w:rPr>
                <w:rFonts w:ascii="仿宋_GB2312" w:hAnsi="仿宋_GB2312" w:eastAsia="仿宋_GB2312" w:cs="仿宋_GB2312"/>
                <w:b/>
                <w:color w:val="000000"/>
                <w:sz w:val="21"/>
              </w:rPr>
              <w:t>7.6考核分值确认</w:t>
            </w:r>
          </w:p>
          <w:p w14:paraId="404095F3">
            <w:pPr>
              <w:pStyle w:val="5"/>
              <w:ind w:firstLine="420"/>
            </w:pPr>
            <w:r>
              <w:rPr>
                <w:rFonts w:ascii="仿宋_GB2312" w:hAnsi="仿宋_GB2312" w:eastAsia="仿宋_GB2312" w:cs="仿宋_GB2312"/>
                <w:color w:val="000000"/>
                <w:sz w:val="21"/>
              </w:rPr>
              <w:t>被考核人员登录系统后，在我的考核里可查看个人考核详情并确认分值结果，决定是否提交申述意见。提交申述意见后，由科研管理人员对申述意见逐条进行处理。</w:t>
            </w:r>
          </w:p>
          <w:p w14:paraId="75C81CF3">
            <w:pPr>
              <w:pStyle w:val="5"/>
            </w:pPr>
            <w:r>
              <w:rPr>
                <w:rFonts w:ascii="仿宋_GB2312" w:hAnsi="仿宋_GB2312" w:eastAsia="仿宋_GB2312" w:cs="仿宋_GB2312"/>
                <w:b/>
                <w:color w:val="000000"/>
                <w:sz w:val="21"/>
              </w:rPr>
              <w:t>7.7考核结果统计</w:t>
            </w:r>
          </w:p>
          <w:p w14:paraId="66128237">
            <w:pPr>
              <w:pStyle w:val="5"/>
              <w:ind w:firstLine="420"/>
            </w:pPr>
            <w:r>
              <w:rPr>
                <w:rFonts w:ascii="仿宋_GB2312" w:hAnsi="仿宋_GB2312" w:eastAsia="仿宋_GB2312" w:cs="仿宋_GB2312"/>
                <w:color w:val="000000"/>
                <w:sz w:val="21"/>
              </w:rPr>
              <w:t>要求提供完全满足以下功能要求的系统全流程截图：</w:t>
            </w:r>
          </w:p>
          <w:p w14:paraId="41FC7FCF">
            <w:pPr>
              <w:pStyle w:val="5"/>
              <w:ind w:firstLine="420"/>
            </w:pPr>
            <w:r>
              <w:rPr>
                <w:rFonts w:ascii="仿宋_GB2312" w:hAnsi="仿宋_GB2312" w:eastAsia="仿宋_GB2312" w:cs="仿宋_GB2312"/>
                <w:b/>
                <w:color w:val="000000"/>
                <w:sz w:val="21"/>
              </w:rPr>
              <w:t>考核结束</w:t>
            </w:r>
            <w:r>
              <w:rPr>
                <w:rFonts w:ascii="仿宋_GB2312" w:hAnsi="仿宋_GB2312" w:eastAsia="仿宋_GB2312" w:cs="仿宋_GB2312"/>
                <w:color w:val="000000"/>
                <w:sz w:val="21"/>
              </w:rPr>
              <w:t xml:space="preserve">  当所有被考核人员完成考核结果确认后，考核结束。科研管理人员可查看、查询和统计所有考核结果。</w:t>
            </w:r>
          </w:p>
          <w:p w14:paraId="3711F992">
            <w:pPr>
              <w:pStyle w:val="5"/>
              <w:ind w:firstLine="420"/>
            </w:pPr>
            <w:r>
              <w:rPr>
                <w:rFonts w:ascii="仿宋_GB2312" w:hAnsi="仿宋_GB2312" w:eastAsia="仿宋_GB2312" w:cs="仿宋_GB2312"/>
                <w:b/>
                <w:color w:val="000000"/>
                <w:sz w:val="21"/>
              </w:rPr>
              <w:t>考核备案导出</w:t>
            </w:r>
            <w:r>
              <w:rPr>
                <w:rFonts w:ascii="仿宋_GB2312" w:hAnsi="仿宋_GB2312" w:eastAsia="仿宋_GB2312" w:cs="仿宋_GB2312"/>
                <w:color w:val="000000"/>
                <w:sz w:val="21"/>
              </w:rPr>
              <w:t xml:space="preserve">  科研管理人员可对考核结果进行备案、导出等操作，可查看和导出考核排名表。</w:t>
            </w:r>
          </w:p>
          <w:p w14:paraId="723B7945">
            <w:pPr>
              <w:pStyle w:val="5"/>
            </w:pPr>
            <w:r>
              <w:rPr>
                <w:rFonts w:ascii="仿宋_GB2312" w:hAnsi="仿宋_GB2312" w:eastAsia="仿宋_GB2312" w:cs="仿宋_GB2312"/>
                <w:b/>
                <w:color w:val="000000"/>
                <w:sz w:val="24"/>
              </w:rPr>
              <w:t>8.基础资源</w:t>
            </w:r>
          </w:p>
          <w:p w14:paraId="7FF127D2">
            <w:pPr>
              <w:pStyle w:val="5"/>
              <w:ind w:firstLine="420"/>
            </w:pPr>
            <w:r>
              <w:rPr>
                <w:rFonts w:ascii="仿宋_GB2312" w:hAnsi="仿宋_GB2312" w:eastAsia="仿宋_GB2312" w:cs="仿宋_GB2312"/>
                <w:color w:val="000000"/>
                <w:sz w:val="21"/>
              </w:rPr>
              <w:t>基础资源子系统需提供科研队伍（含科研人员、专家人才以及组织结构）和科研平台信息管理功能。</w:t>
            </w:r>
          </w:p>
          <w:p w14:paraId="3C151249">
            <w:pPr>
              <w:pStyle w:val="5"/>
            </w:pPr>
            <w:r>
              <w:rPr>
                <w:rFonts w:ascii="仿宋_GB2312" w:hAnsi="仿宋_GB2312" w:eastAsia="仿宋_GB2312" w:cs="仿宋_GB2312"/>
                <w:b/>
                <w:color w:val="000000"/>
                <w:sz w:val="21"/>
              </w:rPr>
              <w:t>8.1科研队伍</w:t>
            </w:r>
          </w:p>
          <w:p w14:paraId="01C4F673">
            <w:pPr>
              <w:pStyle w:val="5"/>
              <w:ind w:firstLine="420"/>
            </w:pPr>
            <w:r>
              <w:rPr>
                <w:rFonts w:ascii="仿宋_GB2312" w:hAnsi="仿宋_GB2312" w:eastAsia="仿宋_GB2312" w:cs="仿宋_GB2312"/>
                <w:color w:val="000000"/>
                <w:sz w:val="21"/>
              </w:rPr>
              <w:t>需提供科研人员、专家人才和组织结构信息管理功能。</w:t>
            </w:r>
          </w:p>
          <w:p w14:paraId="751A9704">
            <w:pPr>
              <w:pStyle w:val="5"/>
            </w:pPr>
            <w:r>
              <w:rPr>
                <w:rFonts w:ascii="仿宋_GB2312" w:hAnsi="仿宋_GB2312" w:eastAsia="仿宋_GB2312" w:cs="仿宋_GB2312"/>
                <w:color w:val="000000"/>
                <w:sz w:val="21"/>
              </w:rPr>
              <w:t>8.1.1 科研人员</w:t>
            </w:r>
          </w:p>
          <w:p w14:paraId="4263A99A">
            <w:pPr>
              <w:pStyle w:val="5"/>
              <w:ind w:firstLine="420"/>
            </w:pPr>
            <w:r>
              <w:rPr>
                <w:rFonts w:ascii="仿宋_GB2312" w:hAnsi="仿宋_GB2312" w:eastAsia="仿宋_GB2312" w:cs="仿宋_GB2312"/>
                <w:color w:val="000000"/>
                <w:sz w:val="21"/>
              </w:rPr>
              <w:t>需实现科研人员基本信息和详细信息（科研相关信息）管理。系统可定期同步人事系统，获取科研人员基本信息。</w:t>
            </w:r>
          </w:p>
          <w:p w14:paraId="0293C8ED">
            <w:pPr>
              <w:pStyle w:val="5"/>
              <w:ind w:firstLine="420"/>
            </w:pPr>
            <w:r>
              <w:rPr>
                <w:rFonts w:ascii="仿宋_GB2312" w:hAnsi="仿宋_GB2312" w:eastAsia="仿宋_GB2312" w:cs="仿宋_GB2312"/>
                <w:color w:val="000000"/>
                <w:sz w:val="21"/>
              </w:rPr>
              <w:t>系统需自动统计科研人员相关项目、经费、成果等数据，生成个人科研详情表。科研管理人员可以通过科研人员列表，查看科研人员的科研详情表。</w:t>
            </w:r>
          </w:p>
          <w:p w14:paraId="795F6AA8">
            <w:pPr>
              <w:pStyle w:val="5"/>
              <w:ind w:firstLine="420"/>
            </w:pPr>
            <w:r>
              <w:rPr>
                <w:rFonts w:ascii="仿宋_GB2312" w:hAnsi="仿宋_GB2312" w:eastAsia="仿宋_GB2312" w:cs="仿宋_GB2312"/>
                <w:color w:val="000000"/>
                <w:sz w:val="21"/>
              </w:rPr>
              <w:t>科研人员可以查看自己的科研详情表，可对科研详情表所展示的内容进行筛选，对所展示的字段进行设置，导出相应的Excel表格，实现在线打印。</w:t>
            </w:r>
          </w:p>
          <w:p w14:paraId="0EA68953">
            <w:pPr>
              <w:pStyle w:val="5"/>
            </w:pPr>
            <w:r>
              <w:rPr>
                <w:rFonts w:ascii="仿宋_GB2312" w:hAnsi="仿宋_GB2312" w:eastAsia="仿宋_GB2312" w:cs="仿宋_GB2312"/>
                <w:color w:val="000000"/>
                <w:sz w:val="21"/>
              </w:rPr>
              <w:t>8.1.2 专家人才</w:t>
            </w:r>
          </w:p>
          <w:p w14:paraId="6250103C">
            <w:pPr>
              <w:pStyle w:val="5"/>
              <w:ind w:firstLine="420"/>
            </w:pPr>
            <w:r>
              <w:rPr>
                <w:rFonts w:ascii="仿宋_GB2312" w:hAnsi="仿宋_GB2312" w:eastAsia="仿宋_GB2312" w:cs="仿宋_GB2312"/>
                <w:color w:val="000000"/>
                <w:sz w:val="21"/>
              </w:rPr>
              <w:t>需建立专家库，并提供专家信息管理功能，包括校内和校外专家。</w:t>
            </w:r>
          </w:p>
          <w:p w14:paraId="19B202C1">
            <w:pPr>
              <w:pStyle w:val="5"/>
              <w:ind w:firstLine="420"/>
            </w:pPr>
            <w:r>
              <w:rPr>
                <w:rFonts w:ascii="仿宋_GB2312" w:hAnsi="仿宋_GB2312" w:eastAsia="仿宋_GB2312" w:cs="仿宋_GB2312"/>
                <w:color w:val="000000"/>
                <w:sz w:val="21"/>
              </w:rPr>
              <w:t>系统需提供专家分组和遴选功能，并根据需要进行专家分组和遴选操作，以支撑相关评审工作开展。专家可登录系统，对分配的项目申报材料进行在线评审和打分。</w:t>
            </w:r>
          </w:p>
          <w:p w14:paraId="54F72C14">
            <w:pPr>
              <w:pStyle w:val="5"/>
            </w:pPr>
            <w:r>
              <w:rPr>
                <w:rFonts w:ascii="仿宋_GB2312" w:hAnsi="仿宋_GB2312" w:eastAsia="仿宋_GB2312" w:cs="仿宋_GB2312"/>
                <w:b/>
                <w:color w:val="000000"/>
                <w:sz w:val="21"/>
              </w:rPr>
              <w:t>8.2组织结构</w:t>
            </w:r>
          </w:p>
          <w:p w14:paraId="7B44729A">
            <w:pPr>
              <w:pStyle w:val="5"/>
              <w:ind w:firstLine="420"/>
            </w:pPr>
            <w:r>
              <w:rPr>
                <w:rFonts w:ascii="仿宋_GB2312" w:hAnsi="仿宋_GB2312" w:eastAsia="仿宋_GB2312" w:cs="仿宋_GB2312"/>
                <w:color w:val="000000"/>
                <w:sz w:val="21"/>
              </w:rPr>
              <w:t>需提供组织结构信息管理功能，包括相关科研单位和管理单位信息管理。可设置相关单位负责人、联系人等信息，可设置其下属/二级单位。</w:t>
            </w:r>
          </w:p>
          <w:p w14:paraId="21DB0A1E">
            <w:pPr>
              <w:pStyle w:val="5"/>
              <w:ind w:firstLine="420"/>
            </w:pPr>
            <w:r>
              <w:rPr>
                <w:rFonts w:ascii="仿宋_GB2312" w:hAnsi="仿宋_GB2312" w:eastAsia="仿宋_GB2312" w:cs="仿宋_GB2312"/>
                <w:color w:val="000000"/>
                <w:sz w:val="21"/>
              </w:rPr>
              <w:t>系统需实现通过单位列表，查看和统计单位人员信息，统计单位科研项目、成果等信息。</w:t>
            </w:r>
          </w:p>
          <w:p w14:paraId="0E5A325E">
            <w:pPr>
              <w:pStyle w:val="5"/>
            </w:pPr>
            <w:r>
              <w:rPr>
                <w:rFonts w:ascii="仿宋_GB2312" w:hAnsi="仿宋_GB2312" w:eastAsia="仿宋_GB2312" w:cs="仿宋_GB2312"/>
                <w:b/>
                <w:color w:val="000000"/>
                <w:sz w:val="21"/>
              </w:rPr>
              <w:t>8.3科研平台</w:t>
            </w:r>
          </w:p>
          <w:p w14:paraId="1BD958DF">
            <w:pPr>
              <w:pStyle w:val="5"/>
              <w:ind w:firstLine="420"/>
            </w:pPr>
            <w:r>
              <w:rPr>
                <w:rFonts w:ascii="仿宋_GB2312" w:hAnsi="仿宋_GB2312" w:eastAsia="仿宋_GB2312" w:cs="仿宋_GB2312"/>
                <w:color w:val="000000"/>
                <w:sz w:val="21"/>
              </w:rPr>
              <w:t>科研平台通常指相关实体或者虚拟的研究机构，包括实验室、研究基地、研究中心、工程中心等研究机构。包括科研平台信息新增、删除、编辑、查询、审核、导入、导出以及统计分析功能，权限设置为每个二级单位科研秘书可以登录，具有新增、删除、编辑、查询、审核、导入、导出权限。</w:t>
            </w:r>
          </w:p>
          <w:p w14:paraId="6590E198">
            <w:pPr>
              <w:pStyle w:val="5"/>
              <w:ind w:firstLine="420"/>
            </w:pPr>
            <w:r>
              <w:rPr>
                <w:rFonts w:ascii="仿宋_GB2312" w:hAnsi="仿宋_GB2312" w:eastAsia="仿宋_GB2312" w:cs="仿宋_GB2312"/>
                <w:color w:val="000000"/>
                <w:sz w:val="21"/>
              </w:rPr>
              <w:t>科研管理人员可管理和维护研究机构基本信息，可查看研究机构的科研人员列表，可统计各研究机构科研人员、项目、成果和获奖等信息。</w:t>
            </w:r>
          </w:p>
          <w:p w14:paraId="7B3386CC">
            <w:pPr>
              <w:pStyle w:val="5"/>
              <w:keepNext w:val="0"/>
              <w:keepLines w:val="0"/>
              <w:pageBreakBefore w:val="0"/>
              <w:shd w:val="clear"/>
              <w:kinsoku/>
              <w:wordWrap/>
              <w:overflowPunct/>
              <w:topLinePunct w:val="0"/>
              <w:autoSpaceDE/>
              <w:autoSpaceDN/>
              <w:bidi w:val="0"/>
              <w:adjustRightInd/>
              <w:snapToGrid/>
              <w:spacing w:line="240" w:lineRule="auto"/>
              <w:ind w:firstLine="482" w:firstLineChars="200"/>
              <w:textAlignment w:val="auto"/>
              <w:rPr>
                <w:rFonts w:hint="eastAsia" w:ascii="仿宋_GB2312" w:hAnsi="仿宋_GB2312" w:eastAsia="仿宋_GB2312" w:cs="仿宋_GB2312"/>
                <w:b/>
                <w:color w:val="auto"/>
                <w:sz w:val="24"/>
                <w:highlight w:val="none"/>
                <w:shd w:val="clear" w:color="auto" w:fill="auto"/>
                <w:lang w:val="en-US" w:eastAsia="zh-CN"/>
              </w:rPr>
            </w:pPr>
            <w:r>
              <w:rPr>
                <w:rFonts w:hint="eastAsia" w:ascii="仿宋_GB2312" w:hAnsi="仿宋_GB2312" w:eastAsia="仿宋_GB2312" w:cs="仿宋_GB2312"/>
                <w:b/>
                <w:color w:val="auto"/>
                <w:sz w:val="24"/>
                <w:highlight w:val="none"/>
                <w:shd w:val="clear" w:color="auto" w:fill="auto"/>
                <w:lang w:val="en-US" w:eastAsia="zh-CN"/>
              </w:rPr>
              <w:t>9.</w:t>
            </w:r>
            <w:r>
              <w:rPr>
                <w:rFonts w:ascii="仿宋_GB2312" w:hAnsi="仿宋_GB2312" w:eastAsia="仿宋_GB2312" w:cs="仿宋_GB2312"/>
                <w:b/>
                <w:color w:val="auto"/>
                <w:sz w:val="24"/>
                <w:highlight w:val="none"/>
                <w:shd w:val="clear" w:color="auto" w:fill="auto"/>
              </w:rPr>
              <w:t>科研平台</w:t>
            </w:r>
            <w:r>
              <w:rPr>
                <w:rFonts w:hint="eastAsia" w:ascii="仿宋_GB2312" w:hAnsi="仿宋_GB2312" w:eastAsia="仿宋_GB2312" w:cs="仿宋_GB2312"/>
                <w:b/>
                <w:color w:val="auto"/>
                <w:sz w:val="24"/>
                <w:highlight w:val="none"/>
                <w:shd w:val="clear" w:color="auto" w:fill="auto"/>
                <w:lang w:val="en-US" w:eastAsia="zh-CN"/>
              </w:rPr>
              <w:t>和团队</w:t>
            </w:r>
          </w:p>
          <w:p w14:paraId="2DA3FEFB">
            <w:pPr>
              <w:pStyle w:val="5"/>
              <w:shd w:val="clear"/>
              <w:ind w:firstLine="422" w:firstLineChars="200"/>
              <w:rPr>
                <w:rFonts w:hint="eastAsia" w:ascii="仿宋_GB2312" w:hAnsi="仿宋_GB2312" w:eastAsia="仿宋_GB2312" w:cs="仿宋_GB2312"/>
                <w:b/>
                <w:bCs w:val="0"/>
                <w:color w:val="auto"/>
                <w:sz w:val="21"/>
                <w:highlight w:val="none"/>
                <w:shd w:val="clear" w:color="auto" w:fill="auto"/>
                <w:lang w:val="en-US" w:eastAsia="zh-CN"/>
              </w:rPr>
            </w:pPr>
            <w:r>
              <w:rPr>
                <w:rFonts w:hint="eastAsia" w:ascii="仿宋_GB2312" w:hAnsi="仿宋_GB2312" w:eastAsia="仿宋_GB2312" w:cs="仿宋_GB2312"/>
                <w:b/>
                <w:bCs w:val="0"/>
                <w:color w:val="auto"/>
                <w:sz w:val="21"/>
                <w:highlight w:val="none"/>
                <w:shd w:val="clear" w:color="auto" w:fill="auto"/>
                <w:lang w:val="en-US" w:eastAsia="zh-CN"/>
              </w:rPr>
              <w:t>9.1科研平台</w:t>
            </w:r>
          </w:p>
          <w:p w14:paraId="68EC6CF5">
            <w:pPr>
              <w:shd w:val="clear"/>
              <w:spacing w:line="360" w:lineRule="auto"/>
              <w:ind w:firstLine="422" w:firstLineChars="200"/>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9.1.1科研平台信息管理</w:t>
            </w:r>
          </w:p>
          <w:p w14:paraId="13E9F21E">
            <w:pPr>
              <w:pStyle w:val="5"/>
              <w:shd w:val="clear"/>
              <w:ind w:firstLine="420" w:firstLineChars="0"/>
              <w:rPr>
                <w:rFonts w:hint="eastAsia" w:ascii="仿宋_GB2312" w:hAnsi="仿宋_GB2312" w:eastAsia="仿宋_GB2312" w:cs="仿宋_GB2312"/>
                <w:color w:val="auto"/>
                <w:sz w:val="21"/>
                <w:highlight w:val="none"/>
                <w:shd w:val="clear" w:color="auto" w:fill="auto"/>
                <w:lang w:val="en-US" w:eastAsia="zh-CN"/>
              </w:rPr>
            </w:pPr>
            <w:r>
              <w:rPr>
                <w:rFonts w:hint="eastAsia" w:ascii="仿宋_GB2312" w:hAnsi="仿宋_GB2312" w:eastAsia="仿宋_GB2312" w:cs="仿宋_GB2312"/>
                <w:color w:val="auto"/>
                <w:sz w:val="21"/>
                <w:highlight w:val="none"/>
                <w:shd w:val="clear" w:color="auto" w:fill="auto"/>
                <w:lang w:val="en-US" w:eastAsia="zh-CN"/>
              </w:rPr>
              <w:t>实现科研平台全维度基础信息规范化管控，包括科研平台名称、编号、挂靠单位、平台级别、成立日期、地址、负责人、联系人、场地位置、面积、批准建设部门、机构类别、批复筹建时间、验收通过时间、是否对外开放、是否属于合建、主要技术领域、科研平台简介等信息；可灵活管理平台校内外人员，支持校内人员信息一键关联及人员在职状态标记。系统支持从科研平台类别、科研平台级别、挂靠单位、人事单位等角度对全校科研平台情况进行查询和统计。</w:t>
            </w:r>
          </w:p>
          <w:p w14:paraId="3BE8D176">
            <w:pPr>
              <w:pStyle w:val="5"/>
              <w:shd w:val="clear"/>
              <w:ind w:firstLine="482" w:firstLineChars="200"/>
              <w:rPr>
                <w:rFonts w:hint="eastAsia" w:ascii="仿宋_GB2312" w:hAnsi="仿宋_GB2312" w:eastAsia="仿宋_GB2312" w:cs="仿宋_GB2312"/>
                <w:b/>
                <w:bCs w:val="0"/>
                <w:color w:val="auto"/>
                <w:sz w:val="24"/>
                <w:highlight w:val="none"/>
                <w:shd w:val="clear" w:color="auto" w:fill="auto"/>
                <w:lang w:val="en-US" w:eastAsia="en-US"/>
              </w:rPr>
            </w:pPr>
            <w:r>
              <w:rPr>
                <w:rFonts w:hint="eastAsia" w:ascii="仿宋_GB2312" w:hAnsi="仿宋_GB2312" w:eastAsia="仿宋_GB2312" w:cs="仿宋_GB2312"/>
                <w:b/>
                <w:bCs w:val="0"/>
                <w:color w:val="auto"/>
                <w:sz w:val="24"/>
                <w:highlight w:val="none"/>
                <w:shd w:val="clear" w:color="auto" w:fill="auto"/>
                <w:lang w:val="en-US" w:eastAsia="zh-CN"/>
              </w:rPr>
              <w:t>9.1.2科研平台统计分析</w:t>
            </w:r>
          </w:p>
          <w:p w14:paraId="63E73D7D">
            <w:pPr>
              <w:pStyle w:val="5"/>
              <w:shd w:val="clear"/>
              <w:ind w:firstLine="420" w:firstLineChars="0"/>
              <w:rPr>
                <w:rFonts w:hint="eastAsia" w:ascii="仿宋_GB2312" w:hAnsi="仿宋_GB2312" w:eastAsia="仿宋_GB2312" w:cs="仿宋_GB2312"/>
                <w:color w:val="auto"/>
                <w:sz w:val="21"/>
                <w:highlight w:val="none"/>
                <w:shd w:val="clear" w:color="auto" w:fill="auto"/>
                <w:lang w:val="en-US" w:eastAsia="zh-CN"/>
              </w:rPr>
            </w:pPr>
            <w:r>
              <w:rPr>
                <w:rFonts w:hint="eastAsia" w:ascii="仿宋_GB2312" w:hAnsi="仿宋_GB2312" w:eastAsia="仿宋_GB2312" w:cs="仿宋_GB2312"/>
                <w:color w:val="auto"/>
                <w:sz w:val="21"/>
                <w:highlight w:val="none"/>
                <w:shd w:val="clear" w:color="auto" w:fill="auto"/>
                <w:lang w:val="en-US" w:eastAsia="zh-CN"/>
              </w:rPr>
              <w:t>实现科研平台数据统计与画像分析功能。系统自动归集平台内科研人员的项目、成果及获奖数据，智能生成多维度平台画像，同时支持全量数据的汇总统计与明细查询。</w:t>
            </w:r>
          </w:p>
          <w:p w14:paraId="78D6873C">
            <w:pPr>
              <w:pStyle w:val="5"/>
              <w:shd w:val="clear"/>
              <w:ind w:firstLine="482" w:firstLineChars="200"/>
              <w:rPr>
                <w:rFonts w:hint="eastAsia" w:ascii="仿宋_GB2312" w:hAnsi="仿宋_GB2312" w:eastAsia="仿宋_GB2312" w:cs="仿宋_GB2312"/>
                <w:b/>
                <w:bCs w:val="0"/>
                <w:color w:val="auto"/>
                <w:sz w:val="24"/>
                <w:highlight w:val="none"/>
                <w:shd w:val="clear" w:color="auto" w:fill="auto"/>
                <w:lang w:val="en-US" w:eastAsia="zh-CN"/>
              </w:rPr>
            </w:pPr>
            <w:r>
              <w:rPr>
                <w:rFonts w:hint="eastAsia" w:ascii="仿宋_GB2312" w:hAnsi="仿宋_GB2312" w:eastAsia="仿宋_GB2312" w:cs="仿宋_GB2312"/>
                <w:b/>
                <w:bCs w:val="0"/>
                <w:color w:val="auto"/>
                <w:sz w:val="24"/>
                <w:highlight w:val="none"/>
                <w:shd w:val="clear" w:color="auto" w:fill="auto"/>
                <w:lang w:val="en-US" w:eastAsia="zh-CN"/>
              </w:rPr>
              <w:t>9.1.3科研平台过程管理</w:t>
            </w:r>
          </w:p>
          <w:p w14:paraId="6BC26E7F">
            <w:pPr>
              <w:pStyle w:val="5"/>
              <w:shd w:val="clear"/>
              <w:ind w:firstLine="420" w:firstLineChars="0"/>
              <w:rPr>
                <w:rFonts w:hint="eastAsia" w:ascii="仿宋_GB2312" w:hAnsi="仿宋_GB2312" w:eastAsia="仿宋_GB2312" w:cs="仿宋_GB2312"/>
                <w:color w:val="auto"/>
                <w:sz w:val="21"/>
                <w:highlight w:val="none"/>
                <w:shd w:val="clear" w:color="auto" w:fill="auto"/>
                <w:lang w:val="en-US" w:eastAsia="zh-CN"/>
              </w:rPr>
            </w:pPr>
            <w:r>
              <w:rPr>
                <w:rFonts w:hint="eastAsia" w:ascii="仿宋_GB2312" w:hAnsi="仿宋_GB2312" w:eastAsia="仿宋_GB2312" w:cs="仿宋_GB2312"/>
                <w:color w:val="auto"/>
                <w:sz w:val="21"/>
                <w:highlight w:val="none"/>
                <w:shd w:val="clear" w:color="auto" w:fill="auto"/>
                <w:lang w:val="en-US" w:eastAsia="zh-CN"/>
              </w:rPr>
              <w:t>平台负责人可提交科研平台中期检查、变更等材料，可上传附件，经科研秘书、科技处管理员审核后进行备案。</w:t>
            </w:r>
          </w:p>
          <w:p w14:paraId="25445A7D">
            <w:pPr>
              <w:pStyle w:val="5"/>
              <w:shd w:val="clear"/>
              <w:ind w:firstLine="482" w:firstLineChars="200"/>
              <w:rPr>
                <w:rFonts w:hint="eastAsia" w:ascii="仿宋_GB2312" w:hAnsi="仿宋_GB2312" w:eastAsia="仿宋_GB2312" w:cs="仿宋_GB2312"/>
                <w:b/>
                <w:bCs w:val="0"/>
                <w:color w:val="auto"/>
                <w:sz w:val="24"/>
                <w:highlight w:val="none"/>
                <w:shd w:val="clear" w:color="auto" w:fill="auto"/>
                <w:lang w:val="en-US" w:eastAsia="zh-CN"/>
              </w:rPr>
            </w:pPr>
            <w:r>
              <w:rPr>
                <w:rFonts w:hint="eastAsia" w:ascii="仿宋_GB2312" w:hAnsi="仿宋_GB2312" w:eastAsia="仿宋_GB2312" w:cs="仿宋_GB2312"/>
                <w:b/>
                <w:bCs w:val="0"/>
                <w:color w:val="auto"/>
                <w:sz w:val="24"/>
                <w:highlight w:val="none"/>
                <w:shd w:val="clear" w:color="auto" w:fill="auto"/>
                <w:lang w:val="en-US" w:eastAsia="zh-CN"/>
              </w:rPr>
              <w:t>9.1.4科研平台考核</w:t>
            </w:r>
          </w:p>
          <w:p w14:paraId="08D1145C">
            <w:pPr>
              <w:pStyle w:val="5"/>
              <w:shd w:val="clear"/>
              <w:ind w:firstLine="420"/>
              <w:rPr>
                <w:rFonts w:hint="eastAsia" w:ascii="仿宋_GB2312" w:hAnsi="仿宋_GB2312" w:eastAsia="仿宋_GB2312" w:cs="仿宋_GB2312"/>
                <w:color w:val="auto"/>
                <w:sz w:val="21"/>
                <w:highlight w:val="none"/>
                <w:shd w:val="clear" w:color="auto" w:fill="auto"/>
                <w:lang w:val="en-US" w:eastAsia="zh-Hans"/>
              </w:rPr>
            </w:pPr>
            <w:r>
              <w:rPr>
                <w:rFonts w:hint="eastAsia" w:ascii="仿宋_GB2312" w:hAnsi="仿宋_GB2312" w:eastAsia="仿宋_GB2312" w:cs="仿宋_GB2312"/>
                <w:color w:val="auto"/>
                <w:sz w:val="21"/>
                <w:highlight w:val="none"/>
                <w:shd w:val="clear" w:color="auto" w:fill="auto"/>
                <w:lang w:val="en-US" w:eastAsia="zh-Hans"/>
              </w:rPr>
              <w:t>科研平台负责人在线提交平台年度总结报告，经依托学院审批后，提交</w:t>
            </w:r>
            <w:r>
              <w:rPr>
                <w:rFonts w:hint="eastAsia" w:ascii="仿宋_GB2312" w:hAnsi="仿宋_GB2312" w:eastAsia="仿宋_GB2312" w:cs="仿宋_GB2312"/>
                <w:color w:val="auto"/>
                <w:sz w:val="21"/>
                <w:highlight w:val="none"/>
                <w:shd w:val="clear" w:color="auto" w:fill="auto"/>
                <w:lang w:val="en-US" w:eastAsia="zh-CN"/>
              </w:rPr>
              <w:t>科技处</w:t>
            </w:r>
            <w:r>
              <w:rPr>
                <w:rFonts w:hint="eastAsia" w:ascii="仿宋_GB2312" w:hAnsi="仿宋_GB2312" w:eastAsia="仿宋_GB2312" w:cs="仿宋_GB2312"/>
                <w:color w:val="auto"/>
                <w:sz w:val="21"/>
                <w:highlight w:val="none"/>
                <w:shd w:val="clear" w:color="auto" w:fill="auto"/>
                <w:lang w:val="en-US" w:eastAsia="zh-Hans"/>
              </w:rPr>
              <w:t>审批后备案。专家库建设，支持专家分组管理，支持专家遴选，专家账号管理及维护。</w:t>
            </w:r>
            <w:r>
              <w:rPr>
                <w:rFonts w:hint="eastAsia" w:ascii="仿宋_GB2312" w:hAnsi="仿宋_GB2312" w:eastAsia="仿宋_GB2312" w:cs="仿宋_GB2312"/>
                <w:color w:val="auto"/>
                <w:sz w:val="21"/>
                <w:highlight w:val="none"/>
                <w:shd w:val="clear" w:color="auto" w:fill="auto"/>
                <w:lang w:val="en-US" w:eastAsia="zh-CN"/>
              </w:rPr>
              <w:t>科技处</w:t>
            </w:r>
            <w:r>
              <w:rPr>
                <w:rFonts w:hint="eastAsia" w:ascii="仿宋_GB2312" w:hAnsi="仿宋_GB2312" w:eastAsia="仿宋_GB2312" w:cs="仿宋_GB2312"/>
                <w:color w:val="auto"/>
                <w:sz w:val="21"/>
                <w:highlight w:val="none"/>
                <w:shd w:val="clear" w:color="auto" w:fill="auto"/>
                <w:lang w:val="en-US" w:eastAsia="zh-Hans"/>
              </w:rPr>
              <w:t>可指派专家，对平台年度总结报告进行考核评估。专家登录系统后，可对指定平台进行考核评估，登记评估意见</w:t>
            </w:r>
            <w:r>
              <w:rPr>
                <w:rFonts w:hint="eastAsia" w:ascii="仿宋_GB2312" w:hAnsi="仿宋_GB2312" w:eastAsia="仿宋_GB2312" w:cs="仿宋_GB2312"/>
                <w:color w:val="auto"/>
                <w:sz w:val="21"/>
                <w:highlight w:val="none"/>
                <w:shd w:val="clear" w:color="auto" w:fill="auto"/>
                <w:lang w:val="en-US" w:eastAsia="zh-CN"/>
              </w:rPr>
              <w:t>；科技处</w:t>
            </w:r>
            <w:r>
              <w:rPr>
                <w:rFonts w:hint="eastAsia" w:ascii="仿宋_GB2312" w:hAnsi="仿宋_GB2312" w:eastAsia="仿宋_GB2312" w:cs="仿宋_GB2312"/>
                <w:color w:val="auto"/>
                <w:sz w:val="21"/>
                <w:highlight w:val="none"/>
                <w:shd w:val="clear" w:color="auto" w:fill="auto"/>
                <w:lang w:val="en-US" w:eastAsia="zh-Hans"/>
              </w:rPr>
              <w:t>可汇总专家评估意见，登记最终考核评估结果。</w:t>
            </w:r>
          </w:p>
          <w:p w14:paraId="39E044F9">
            <w:pPr>
              <w:pStyle w:val="5"/>
              <w:shd w:val="clear"/>
              <w:ind w:firstLine="482" w:firstLineChars="200"/>
              <w:rPr>
                <w:rFonts w:hint="eastAsia" w:ascii="仿宋_GB2312" w:hAnsi="仿宋_GB2312" w:eastAsia="仿宋_GB2312" w:cs="仿宋_GB2312"/>
                <w:b/>
                <w:bCs w:val="0"/>
                <w:color w:val="auto"/>
                <w:sz w:val="24"/>
                <w:highlight w:val="none"/>
                <w:shd w:val="clear" w:color="auto" w:fill="auto"/>
                <w:lang w:val="en-US" w:eastAsia="zh-CN"/>
              </w:rPr>
            </w:pPr>
            <w:r>
              <w:rPr>
                <w:rFonts w:hint="eastAsia" w:ascii="仿宋_GB2312" w:hAnsi="仿宋_GB2312" w:eastAsia="仿宋_GB2312" w:cs="仿宋_GB2312"/>
                <w:b/>
                <w:bCs w:val="0"/>
                <w:color w:val="auto"/>
                <w:sz w:val="24"/>
                <w:highlight w:val="none"/>
                <w:shd w:val="clear" w:color="auto" w:fill="auto"/>
                <w:lang w:val="en-US" w:eastAsia="zh-CN"/>
              </w:rPr>
              <w:t>9.1.5科研平台类别管理</w:t>
            </w:r>
          </w:p>
          <w:p w14:paraId="20ABD074">
            <w:pPr>
              <w:pStyle w:val="5"/>
              <w:shd w:val="clear"/>
              <w:ind w:firstLine="420" w:firstLineChars="200"/>
              <w:rPr>
                <w:rFonts w:hint="eastAsia" w:ascii="仿宋_GB2312" w:hAnsi="仿宋_GB2312" w:eastAsia="仿宋_GB2312" w:cs="仿宋_GB2312"/>
                <w:snapToGrid/>
                <w:color w:val="auto"/>
                <w:sz w:val="21"/>
                <w:szCs w:val="20"/>
                <w:highlight w:val="none"/>
                <w:shd w:val="clear" w:color="auto" w:fill="auto"/>
                <w:lang w:val="en-US" w:eastAsia="zh-Hans"/>
              </w:rPr>
            </w:pPr>
            <w:r>
              <w:rPr>
                <w:rFonts w:hint="eastAsia" w:ascii="仿宋_GB2312" w:hAnsi="仿宋_GB2312" w:eastAsia="仿宋_GB2312" w:cs="仿宋_GB2312"/>
                <w:snapToGrid/>
                <w:color w:val="auto"/>
                <w:sz w:val="21"/>
                <w:szCs w:val="20"/>
                <w:highlight w:val="none"/>
                <w:shd w:val="clear" w:color="auto" w:fill="auto"/>
                <w:lang w:val="en-US" w:eastAsia="zh-Hans"/>
              </w:rPr>
              <w:t>支持不同平台类别设置，支持分级建档。支持平台科研人员、平台负责人、科研秘书、科技处管理员多级管理流程。</w:t>
            </w:r>
          </w:p>
          <w:p w14:paraId="757557BE">
            <w:pPr>
              <w:pStyle w:val="5"/>
              <w:shd w:val="clear"/>
              <w:ind w:firstLine="422" w:firstLineChars="200"/>
              <w:rPr>
                <w:rFonts w:hint="eastAsia" w:ascii="仿宋_GB2312" w:hAnsi="仿宋_GB2312" w:eastAsia="仿宋_GB2312" w:cs="仿宋_GB2312"/>
                <w:b/>
                <w:bCs w:val="0"/>
                <w:color w:val="auto"/>
                <w:sz w:val="21"/>
                <w:highlight w:val="none"/>
                <w:shd w:val="clear" w:color="auto" w:fill="auto"/>
                <w:lang w:val="en-US" w:eastAsia="zh-CN"/>
              </w:rPr>
            </w:pPr>
            <w:r>
              <w:rPr>
                <w:rFonts w:hint="eastAsia" w:ascii="仿宋_GB2312" w:hAnsi="仿宋_GB2312" w:eastAsia="仿宋_GB2312" w:cs="仿宋_GB2312"/>
                <w:b/>
                <w:bCs w:val="0"/>
                <w:color w:val="auto"/>
                <w:sz w:val="21"/>
                <w:highlight w:val="none"/>
                <w:shd w:val="clear" w:color="auto" w:fill="auto"/>
                <w:lang w:val="en-US" w:eastAsia="zh-CN"/>
              </w:rPr>
              <w:t>9.2科研团队</w:t>
            </w:r>
          </w:p>
          <w:p w14:paraId="647AC20D">
            <w:pPr>
              <w:shd w:val="clear"/>
              <w:spacing w:line="360" w:lineRule="auto"/>
              <w:ind w:firstLine="422" w:firstLineChars="200"/>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9.2.1科研团队信息管理</w:t>
            </w:r>
          </w:p>
          <w:p w14:paraId="4DAD35FE">
            <w:pPr>
              <w:pStyle w:val="5"/>
              <w:shd w:val="clear"/>
              <w:ind w:firstLine="420" w:firstLineChars="200"/>
              <w:rPr>
                <w:rFonts w:hint="eastAsia" w:ascii="仿宋_GB2312" w:hAnsi="仿宋_GB2312" w:eastAsia="仿宋_GB2312" w:cs="仿宋_GB2312"/>
                <w:snapToGrid/>
                <w:color w:val="auto"/>
                <w:sz w:val="21"/>
                <w:szCs w:val="20"/>
                <w:highlight w:val="none"/>
                <w:shd w:val="clear" w:color="auto" w:fill="auto"/>
                <w:lang w:val="en-US" w:eastAsia="zh-Hans"/>
              </w:rPr>
            </w:pPr>
            <w:r>
              <w:rPr>
                <w:rFonts w:hint="eastAsia" w:ascii="仿宋_GB2312" w:hAnsi="仿宋_GB2312" w:eastAsia="仿宋_GB2312" w:cs="仿宋_GB2312"/>
                <w:snapToGrid/>
                <w:color w:val="auto"/>
                <w:sz w:val="21"/>
                <w:szCs w:val="20"/>
                <w:highlight w:val="none"/>
                <w:shd w:val="clear" w:color="auto" w:fill="auto"/>
                <w:lang w:val="en-US" w:eastAsia="zh-Hans"/>
              </w:rPr>
              <w:t>实现科研团队的管理。包括科研团队信息新增、删除、编辑、查询、审核、导入、导出以及统计分析功能；可灵活管理团队校内外人员，支持校内人员信息一键关联。科技处管理员、科研秘书可管理和维护权限范围内的科研团队基本信息，可查看科研团队的科研人员列表，可统计各科研团队下的科研人员、项目、成果和获奖等信息。</w:t>
            </w:r>
          </w:p>
          <w:p w14:paraId="399559DA">
            <w:pPr>
              <w:shd w:val="clear"/>
              <w:spacing w:line="360" w:lineRule="auto"/>
              <w:ind w:firstLine="422" w:firstLineChars="200"/>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9.2.2科研团队过程管理</w:t>
            </w:r>
          </w:p>
          <w:p w14:paraId="7F97CE55">
            <w:pPr>
              <w:pStyle w:val="5"/>
              <w:shd w:val="clear"/>
              <w:ind w:firstLine="420"/>
              <w:rPr>
                <w:rFonts w:hint="eastAsia" w:ascii="仿宋_GB2312" w:hAnsi="仿宋_GB2312" w:eastAsia="仿宋_GB2312" w:cs="仿宋_GB2312"/>
                <w:snapToGrid/>
                <w:color w:val="auto"/>
                <w:sz w:val="21"/>
                <w:szCs w:val="20"/>
                <w:highlight w:val="none"/>
                <w:shd w:val="clear" w:color="auto" w:fill="auto"/>
                <w:lang w:val="en-US" w:eastAsia="zh-Hans"/>
              </w:rPr>
            </w:pPr>
            <w:r>
              <w:rPr>
                <w:rFonts w:hint="eastAsia" w:ascii="仿宋_GB2312" w:hAnsi="仿宋_GB2312" w:eastAsia="仿宋_GB2312" w:cs="仿宋_GB2312"/>
                <w:snapToGrid/>
                <w:color w:val="auto"/>
                <w:sz w:val="21"/>
                <w:szCs w:val="20"/>
                <w:highlight w:val="none"/>
                <w:shd w:val="clear" w:color="auto" w:fill="auto"/>
                <w:lang w:val="en-US" w:eastAsia="zh-Hans"/>
              </w:rPr>
              <w:t>团队负责人可提交中期检查、变更等材料，可上传附件，经科研秘书、科技处管理员审核后进行备案。</w:t>
            </w:r>
          </w:p>
          <w:p w14:paraId="4E2115D3">
            <w:pPr>
              <w:shd w:val="clear"/>
              <w:spacing w:line="360" w:lineRule="auto"/>
              <w:ind w:firstLine="422" w:firstLineChars="200"/>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9.2.3科研团队统计分析</w:t>
            </w:r>
          </w:p>
          <w:p w14:paraId="42CF8CE7">
            <w:pPr>
              <w:pStyle w:val="5"/>
              <w:shd w:val="clear"/>
              <w:ind w:firstLine="420" w:firstLineChars="200"/>
              <w:rPr>
                <w:rFonts w:hint="eastAsia" w:ascii="仿宋_GB2312" w:hAnsi="仿宋_GB2312" w:eastAsia="仿宋_GB2312" w:cs="仿宋_GB2312"/>
                <w:snapToGrid/>
                <w:color w:val="auto"/>
                <w:sz w:val="21"/>
                <w:szCs w:val="20"/>
                <w:highlight w:val="none"/>
                <w:shd w:val="clear" w:color="auto" w:fill="auto"/>
                <w:lang w:val="en-US" w:eastAsia="zh-Hans"/>
              </w:rPr>
            </w:pPr>
            <w:r>
              <w:rPr>
                <w:rFonts w:hint="eastAsia" w:ascii="仿宋_GB2312" w:hAnsi="仿宋_GB2312" w:eastAsia="仿宋_GB2312" w:cs="仿宋_GB2312"/>
                <w:snapToGrid/>
                <w:color w:val="auto"/>
                <w:sz w:val="21"/>
                <w:szCs w:val="20"/>
                <w:highlight w:val="none"/>
                <w:shd w:val="clear" w:color="auto" w:fill="auto"/>
                <w:lang w:val="en-US" w:eastAsia="zh-Hans"/>
              </w:rPr>
              <w:t>实现科研团队数据统计与画像分析功能。系统自动归集团队内科研人员的项目、成果及获奖数据，智能生成多</w:t>
            </w:r>
            <w:r>
              <w:rPr>
                <w:rFonts w:hint="eastAsia" w:ascii="仿宋_GB2312" w:hAnsi="仿宋_GB2312" w:eastAsia="仿宋_GB2312" w:cs="仿宋_GB2312"/>
                <w:color w:val="auto"/>
                <w:sz w:val="21"/>
                <w:highlight w:val="none"/>
                <w:shd w:val="clear" w:color="auto" w:fill="auto"/>
                <w:lang w:val="en-US" w:eastAsia="zh-Hans"/>
              </w:rPr>
              <w:t>维度团队画像，同时支持全量数据的汇总统计与明细查询</w:t>
            </w:r>
            <w:r>
              <w:rPr>
                <w:rFonts w:hint="eastAsia" w:ascii="仿宋_GB2312" w:hAnsi="仿宋_GB2312" w:eastAsia="仿宋_GB2312" w:cs="仿宋_GB2312"/>
                <w:color w:val="auto"/>
                <w:sz w:val="21"/>
                <w:highlight w:val="none"/>
                <w:shd w:val="clear" w:color="auto" w:fill="auto"/>
              </w:rPr>
              <w:t>。</w:t>
            </w:r>
          </w:p>
          <w:p w14:paraId="42E8656A">
            <w:pPr>
              <w:pStyle w:val="5"/>
              <w:keepNext w:val="0"/>
              <w:keepLines w:val="0"/>
              <w:pageBreakBefore w:val="0"/>
              <w:shd w:val="clear"/>
              <w:kinsoku/>
              <w:wordWrap/>
              <w:overflowPunct/>
              <w:topLinePunct w:val="0"/>
              <w:autoSpaceDE/>
              <w:autoSpaceDN/>
              <w:bidi w:val="0"/>
              <w:adjustRightInd/>
              <w:snapToGrid/>
              <w:spacing w:line="240" w:lineRule="auto"/>
              <w:ind w:firstLine="482" w:firstLineChars="200"/>
              <w:textAlignment w:val="auto"/>
              <w:rPr>
                <w:rFonts w:hint="default" w:ascii="仿宋_GB2312" w:hAnsi="仿宋_GB2312" w:eastAsia="仿宋_GB2312" w:cs="仿宋_GB2312"/>
                <w:b/>
                <w:color w:val="auto"/>
                <w:sz w:val="24"/>
                <w:highlight w:val="none"/>
                <w:shd w:val="clear" w:color="auto" w:fill="auto"/>
                <w:lang w:val="en-US" w:eastAsia="zh-CN"/>
              </w:rPr>
            </w:pPr>
            <w:r>
              <w:rPr>
                <w:rFonts w:hint="eastAsia" w:ascii="仿宋_GB2312" w:hAnsi="仿宋_GB2312" w:eastAsia="仿宋_GB2312" w:cs="仿宋_GB2312"/>
                <w:b/>
                <w:color w:val="auto"/>
                <w:sz w:val="24"/>
                <w:highlight w:val="none"/>
                <w:shd w:val="clear" w:color="auto" w:fill="auto"/>
                <w:lang w:val="en-US" w:eastAsia="zh-CN"/>
              </w:rPr>
              <w:t>10.学会协会管理</w:t>
            </w:r>
          </w:p>
          <w:p w14:paraId="7A63BFC3">
            <w:pPr>
              <w:pStyle w:val="5"/>
              <w:keepNext w:val="0"/>
              <w:keepLines w:val="0"/>
              <w:pageBreakBefore w:val="0"/>
              <w:shd w:val="clear"/>
              <w:kinsoku/>
              <w:wordWrap/>
              <w:overflowPunct/>
              <w:topLinePunct w:val="0"/>
              <w:autoSpaceDE/>
              <w:autoSpaceDN/>
              <w:bidi w:val="0"/>
              <w:adjustRightInd/>
              <w:snapToGrid/>
              <w:spacing w:line="240" w:lineRule="auto"/>
              <w:ind w:firstLine="422" w:firstLineChars="200"/>
              <w:textAlignment w:val="auto"/>
              <w:rPr>
                <w:rFonts w:hint="eastAsia" w:ascii="仿宋_GB2312" w:hAnsi="仿宋_GB2312" w:eastAsia="仿宋_GB2312" w:cs="仿宋_GB2312"/>
                <w:color w:val="auto"/>
                <w:sz w:val="21"/>
                <w:highlight w:val="none"/>
                <w:shd w:val="clear" w:color="auto" w:fill="auto"/>
                <w:lang w:val="en-US" w:eastAsia="zh-CN"/>
              </w:rPr>
            </w:pPr>
            <w:r>
              <w:rPr>
                <w:rFonts w:hint="eastAsia" w:ascii="仿宋_GB2312" w:hAnsi="仿宋_GB2312" w:eastAsia="仿宋_GB2312" w:cs="仿宋_GB2312"/>
                <w:b/>
                <w:color w:val="auto"/>
                <w:sz w:val="21"/>
                <w:highlight w:val="none"/>
                <w:shd w:val="clear" w:color="auto" w:fill="auto"/>
                <w:lang w:val="en-US" w:eastAsia="zh-CN"/>
              </w:rPr>
              <w:t>10.1</w:t>
            </w:r>
            <w:r>
              <w:rPr>
                <w:rFonts w:hint="eastAsia" w:ascii="仿宋_GB2312" w:hAnsi="仿宋_GB2312" w:eastAsia="仿宋_GB2312" w:cs="仿宋_GB2312"/>
                <w:b/>
                <w:bCs/>
                <w:color w:val="auto"/>
                <w:sz w:val="21"/>
                <w:highlight w:val="none"/>
                <w:shd w:val="clear" w:color="auto" w:fill="auto"/>
                <w:lang w:val="en-US" w:eastAsia="zh-CN"/>
              </w:rPr>
              <w:t>学会协会管理</w:t>
            </w:r>
          </w:p>
          <w:p w14:paraId="0D71ED90">
            <w:pPr>
              <w:pStyle w:val="5"/>
              <w:keepNext w:val="0"/>
              <w:keepLines w:val="0"/>
              <w:pageBreakBefore w:val="0"/>
              <w:shd w:val="clear"/>
              <w:kinsoku/>
              <w:wordWrap/>
              <w:overflowPunct/>
              <w:topLinePunct w:val="0"/>
              <w:autoSpaceDE/>
              <w:autoSpaceDN/>
              <w:bidi w:val="0"/>
              <w:adjustRightInd/>
              <w:snapToGrid/>
              <w:spacing w:line="240" w:lineRule="auto"/>
              <w:ind w:firstLine="420" w:firstLineChars="200"/>
              <w:textAlignment w:val="auto"/>
              <w:rPr>
                <w:rFonts w:hint="eastAsia" w:ascii="仿宋_GB2312" w:hAnsi="仿宋_GB2312" w:eastAsia="仿宋_GB2312" w:cs="仿宋_GB2312"/>
                <w:color w:val="auto"/>
                <w:sz w:val="21"/>
                <w:highlight w:val="none"/>
                <w:shd w:val="clear" w:color="auto" w:fill="auto"/>
                <w:lang w:val="en-US" w:eastAsia="zh-Hans"/>
              </w:rPr>
            </w:pPr>
            <w:r>
              <w:rPr>
                <w:rFonts w:hint="eastAsia" w:ascii="仿宋_GB2312" w:hAnsi="仿宋_GB2312" w:eastAsia="仿宋_GB2312" w:cs="仿宋_GB2312"/>
                <w:color w:val="auto"/>
                <w:sz w:val="21"/>
                <w:highlight w:val="none"/>
                <w:shd w:val="clear" w:color="auto" w:fill="auto"/>
                <w:lang w:val="en-US" w:eastAsia="zh-Hans"/>
              </w:rPr>
              <w:t>支持针对依托学校的学会、协会的规范化管理工作，涵盖学会基础信息、会员人员信息管控。同时对学会、协会开展的大型活动实行事前报备审批管理，学会、协会负责人可在系统中提交活动申请，经科研秘书、科技处管理员审核后归档备案。</w:t>
            </w:r>
          </w:p>
          <w:p w14:paraId="1A485B1B">
            <w:pPr>
              <w:pStyle w:val="5"/>
              <w:keepNext w:val="0"/>
              <w:keepLines w:val="0"/>
              <w:pageBreakBefore w:val="0"/>
              <w:shd w:val="clear"/>
              <w:kinsoku/>
              <w:wordWrap/>
              <w:overflowPunct/>
              <w:topLinePunct w:val="0"/>
              <w:autoSpaceDE/>
              <w:autoSpaceDN/>
              <w:bidi w:val="0"/>
              <w:adjustRightInd/>
              <w:snapToGrid/>
              <w:spacing w:line="240" w:lineRule="auto"/>
              <w:ind w:firstLine="422" w:firstLineChars="200"/>
              <w:textAlignment w:val="auto"/>
              <w:rPr>
                <w:rFonts w:hint="eastAsia" w:ascii="仿宋_GB2312" w:hAnsi="仿宋_GB2312" w:eastAsia="仿宋_GB2312" w:cs="仿宋_GB2312"/>
                <w:color w:val="auto"/>
                <w:sz w:val="21"/>
                <w:highlight w:val="none"/>
                <w:shd w:val="clear" w:color="auto" w:fill="auto"/>
                <w:lang w:val="en-US" w:eastAsia="zh-CN"/>
              </w:rPr>
            </w:pPr>
            <w:r>
              <w:rPr>
                <w:rFonts w:hint="eastAsia" w:ascii="仿宋_GB2312" w:hAnsi="仿宋_GB2312" w:eastAsia="仿宋_GB2312" w:cs="仿宋_GB2312"/>
                <w:b/>
                <w:color w:val="auto"/>
                <w:sz w:val="21"/>
                <w:highlight w:val="none"/>
                <w:shd w:val="clear" w:color="auto" w:fill="auto"/>
                <w:lang w:val="en-US" w:eastAsia="zh-CN"/>
              </w:rPr>
              <w:t>10.2</w:t>
            </w:r>
            <w:r>
              <w:rPr>
                <w:rFonts w:hint="eastAsia" w:ascii="仿宋_GB2312" w:hAnsi="仿宋_GB2312" w:eastAsia="仿宋_GB2312" w:cs="仿宋_GB2312"/>
                <w:b/>
                <w:bCs/>
                <w:color w:val="auto"/>
                <w:sz w:val="21"/>
                <w:highlight w:val="none"/>
                <w:shd w:val="clear" w:color="auto" w:fill="auto"/>
                <w:lang w:val="en-US" w:eastAsia="zh-CN"/>
              </w:rPr>
              <w:t>学术任职管理</w:t>
            </w:r>
          </w:p>
          <w:p w14:paraId="085EFF4D">
            <w:pPr>
              <w:pStyle w:val="5"/>
              <w:shd w:val="clear"/>
              <w:ind w:firstLine="420" w:firstLineChars="200"/>
              <w:rPr>
                <w:color w:val="auto"/>
                <w:highlight w:val="none"/>
                <w:shd w:val="clear" w:color="FFFFFF" w:fill="D9D9D9"/>
              </w:rPr>
            </w:pPr>
            <w:r>
              <w:rPr>
                <w:rFonts w:hint="eastAsia" w:ascii="仿宋_GB2312" w:hAnsi="仿宋_GB2312" w:eastAsia="仿宋_GB2312" w:cs="仿宋_GB2312"/>
                <w:color w:val="auto"/>
                <w:sz w:val="21"/>
                <w:highlight w:val="none"/>
                <w:shd w:val="clear" w:color="auto" w:fill="auto"/>
                <w:lang w:val="en-US" w:eastAsia="zh-Hans"/>
              </w:rPr>
              <w:t>科研人员学会、期刊任职信息登记、审核，证书上传，学术任职信息统计分析。</w:t>
            </w:r>
          </w:p>
          <w:p w14:paraId="5EBCFD77">
            <w:pPr>
              <w:pStyle w:val="5"/>
              <w:ind w:firstLine="560" w:firstLineChars="200"/>
            </w:pPr>
            <w:r>
              <w:rPr>
                <w:rFonts w:ascii="仿宋_GB2312" w:hAnsi="仿宋_GB2312" w:eastAsia="仿宋_GB2312" w:cs="仿宋_GB2312"/>
                <w:color w:val="000000"/>
                <w:sz w:val="28"/>
              </w:rPr>
              <w:t>▲</w:t>
            </w:r>
            <w:r>
              <w:rPr>
                <w:rFonts w:hint="eastAsia" w:ascii="仿宋_GB2312" w:hAnsi="仿宋_GB2312" w:eastAsia="仿宋_GB2312" w:cs="仿宋_GB2312"/>
                <w:b/>
                <w:color w:val="000000"/>
                <w:sz w:val="24"/>
                <w:lang w:val="en-US" w:eastAsia="zh-CN"/>
              </w:rPr>
              <w:t>11</w:t>
            </w:r>
            <w:r>
              <w:rPr>
                <w:rFonts w:ascii="仿宋_GB2312" w:hAnsi="仿宋_GB2312" w:eastAsia="仿宋_GB2312" w:cs="仿宋_GB2312"/>
                <w:b/>
                <w:color w:val="000000"/>
                <w:sz w:val="24"/>
              </w:rPr>
              <w:t>.移动科研</w:t>
            </w:r>
          </w:p>
          <w:p w14:paraId="107B47DF">
            <w:pPr>
              <w:pStyle w:val="5"/>
              <w:ind w:firstLine="420"/>
            </w:pPr>
            <w:r>
              <w:rPr>
                <w:rFonts w:ascii="仿宋_GB2312" w:hAnsi="仿宋_GB2312" w:eastAsia="仿宋_GB2312" w:cs="仿宋_GB2312"/>
                <w:color w:val="000000"/>
                <w:sz w:val="21"/>
              </w:rPr>
              <w:t>通过与微信公众号对接，实现科研动态信息（通知公告、待办事项、项目立项、经费入账、绩效发放、执行预警等）实时推送到个人，提升科研服务体验。</w:t>
            </w:r>
            <w:r>
              <w:br w:type="textWrapping"/>
            </w:r>
            <w:r>
              <w:rPr>
                <w:rFonts w:ascii="仿宋_GB2312" w:hAnsi="仿宋_GB2312" w:eastAsia="仿宋_GB2312" w:cs="仿宋_GB2312"/>
                <w:color w:val="000000"/>
                <w:sz w:val="21"/>
              </w:rPr>
              <w:t xml:space="preserve">    科研人员绑定科研微信服务号账号后，可以在微信端自主查询个人科研项目、经费、成果等信息。</w:t>
            </w:r>
          </w:p>
          <w:p w14:paraId="3975A99A">
            <w:pPr>
              <w:pStyle w:val="5"/>
              <w:ind w:firstLine="420"/>
            </w:pPr>
            <w:r>
              <w:rPr>
                <w:rFonts w:ascii="仿宋_GB2312" w:hAnsi="仿宋_GB2312" w:eastAsia="仿宋_GB2312" w:cs="仿宋_GB2312"/>
                <w:color w:val="000000"/>
                <w:sz w:val="21"/>
              </w:rPr>
              <w:t>可实现主体核心科研业务（项目申报及评审除外）科研人员及管理人员在移动端填报、上传及审批功能。</w:t>
            </w:r>
          </w:p>
          <w:p w14:paraId="67A41A59">
            <w:pPr>
              <w:pStyle w:val="5"/>
              <w:ind w:firstLine="482" w:firstLineChars="200"/>
            </w:pPr>
            <w:r>
              <w:rPr>
                <w:rFonts w:ascii="仿宋_GB2312" w:hAnsi="仿宋_GB2312" w:eastAsia="仿宋_GB2312" w:cs="仿宋_GB2312"/>
                <w:b/>
                <w:color w:val="000000"/>
                <w:sz w:val="24"/>
              </w:rPr>
              <w:t>1</w:t>
            </w:r>
            <w:r>
              <w:rPr>
                <w:rFonts w:hint="eastAsia" w:ascii="仿宋_GB2312" w:hAnsi="仿宋_GB2312" w:eastAsia="仿宋_GB2312" w:cs="仿宋_GB2312"/>
                <w:b/>
                <w:color w:val="000000"/>
                <w:sz w:val="24"/>
                <w:lang w:val="en-US" w:eastAsia="zh-CN"/>
              </w:rPr>
              <w:t>2</w:t>
            </w:r>
            <w:r>
              <w:rPr>
                <w:rFonts w:ascii="仿宋_GB2312" w:hAnsi="仿宋_GB2312" w:eastAsia="仿宋_GB2312" w:cs="仿宋_GB2312"/>
                <w:b/>
                <w:color w:val="000000"/>
                <w:sz w:val="24"/>
              </w:rPr>
              <w:t>.系统对接</w:t>
            </w:r>
          </w:p>
          <w:p w14:paraId="4302B97E">
            <w:pPr>
              <w:pStyle w:val="5"/>
              <w:ind w:firstLine="600"/>
            </w:pPr>
            <w:r>
              <w:rPr>
                <w:rFonts w:ascii="仿宋_GB2312" w:hAnsi="仿宋_GB2312" w:eastAsia="仿宋_GB2312" w:cs="仿宋_GB2312"/>
                <w:color w:val="000000"/>
                <w:sz w:val="21"/>
              </w:rPr>
              <w:t>所有功能模块均基于我校智慧校园平台，完成包括用户、认证、门户等在内的各个层面的集成整合，达到数字化校园的使用及管理一致性。包含但不限于以下内容：</w:t>
            </w:r>
          </w:p>
          <w:p w14:paraId="0B8F3C9A">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.1统一身份认证系统</w:t>
            </w:r>
          </w:p>
          <w:p w14:paraId="6445D0F3">
            <w:pPr>
              <w:pStyle w:val="5"/>
              <w:ind w:firstLine="600"/>
            </w:pPr>
            <w:r>
              <w:rPr>
                <w:rFonts w:ascii="仿宋_GB2312" w:hAnsi="仿宋_GB2312" w:eastAsia="仿宋_GB2312" w:cs="仿宋_GB2312"/>
                <w:color w:val="000000"/>
                <w:sz w:val="21"/>
              </w:rPr>
              <w:t>本项目所含所有系统及应用（含数据展示服务），均必须与学校统一身份认证平台进行认证对接。确定一套用户身份信息（将工号作为教师唯一标识），作为认证权限中心和智慧校园的用户权威身份信息。且与统一身份认证平台免费对接，如对接产生的一切费用都必须包含在此次报价内，不得再让学校支付此费用。</w:t>
            </w:r>
          </w:p>
          <w:p w14:paraId="19BA660E">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.2门户及服务集成</w:t>
            </w:r>
          </w:p>
          <w:p w14:paraId="2E2FE143">
            <w:pPr>
              <w:pStyle w:val="5"/>
              <w:ind w:firstLine="420"/>
            </w:pPr>
            <w:r>
              <w:rPr>
                <w:rFonts w:ascii="仿宋_GB2312" w:hAnsi="仿宋_GB2312" w:eastAsia="仿宋_GB2312" w:cs="仿宋_GB2312"/>
                <w:color w:val="000000"/>
                <w:sz w:val="21"/>
              </w:rPr>
              <w:t>1.与一网通办平台的集成：本项目所含所有系统及应用（含数据分析），必须与学校已有一网通办大厅进行对接集成，通过一网通办平台的集成工具进行应用系统整合，提供整合页面和集成接口，把一网通办平台平台作为所有本项目系统访问的唯一服务入口。且与一网通办平台平台对接，如对接产生的一切费用都必须包含在此次报价内，不得再让学校支付此费用。</w:t>
            </w:r>
          </w:p>
          <w:p w14:paraId="73B72DA5">
            <w:pPr>
              <w:pStyle w:val="5"/>
              <w:ind w:firstLine="420"/>
            </w:pPr>
            <w:r>
              <w:rPr>
                <w:rFonts w:ascii="仿宋_GB2312" w:hAnsi="仿宋_GB2312" w:eastAsia="仿宋_GB2312" w:cs="仿宋_GB2312"/>
                <w:color w:val="000000"/>
                <w:sz w:val="21"/>
              </w:rPr>
              <w:t>2.移动端集成：移动端服务要求符合H5规范，可独立运行，实现移动服务接入学校移动端APP今日校园及企业维修。</w:t>
            </w:r>
          </w:p>
          <w:p w14:paraId="0CF0754C">
            <w:pPr>
              <w:pStyle w:val="5"/>
              <w:ind w:firstLine="420"/>
            </w:pPr>
            <w:r>
              <w:rPr>
                <w:rFonts w:ascii="仿宋_GB2312" w:hAnsi="仿宋_GB2312" w:eastAsia="仿宋_GB2312" w:cs="仿宋_GB2312"/>
                <w:color w:val="000000"/>
                <w:sz w:val="21"/>
              </w:rPr>
              <w:t>3.服务集成：本项目内涉及流程类任务及消息通知类信息需通过调用学校任务中及消息中心接口，实时发送任务及信息，例如预警提醒消息等，实际集成内容依学校实际需求为准。</w:t>
            </w:r>
          </w:p>
          <w:p w14:paraId="37426A46">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.3数据中台对接</w:t>
            </w:r>
          </w:p>
          <w:p w14:paraId="0B425D3C">
            <w:pPr>
              <w:pStyle w:val="5"/>
              <w:ind w:firstLine="420"/>
            </w:pPr>
            <w:r>
              <w:rPr>
                <w:rFonts w:ascii="仿宋_GB2312" w:hAnsi="仿宋_GB2312" w:eastAsia="仿宋_GB2312" w:cs="仿宋_GB2312"/>
                <w:color w:val="000000"/>
                <w:sz w:val="21"/>
              </w:rPr>
              <w:t>与学校数据共享平台对接，实现学校组织架构及人员数据的获取，实现科研全量数据的共享，并将产生的全量数据按照标准数据字典格式推送给学校数据中台。</w:t>
            </w:r>
          </w:p>
          <w:p w14:paraId="4076B6B9">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.4短信、邮件对接</w:t>
            </w:r>
          </w:p>
          <w:p w14:paraId="5AEB3614">
            <w:pPr>
              <w:pStyle w:val="5"/>
              <w:ind w:firstLine="420"/>
            </w:pPr>
            <w:r>
              <w:rPr>
                <w:rFonts w:ascii="仿宋_GB2312" w:hAnsi="仿宋_GB2312" w:eastAsia="仿宋_GB2312" w:cs="仿宋_GB2312"/>
                <w:color w:val="000000"/>
                <w:sz w:val="21"/>
              </w:rPr>
              <w:t>与学校短信、邮件平台对接，实现短信、邮件发送的推送。</w:t>
            </w:r>
          </w:p>
          <w:p w14:paraId="7C4B63EC">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.5电子签章对接</w:t>
            </w:r>
          </w:p>
          <w:p w14:paraId="721C76E5">
            <w:pPr>
              <w:pStyle w:val="5"/>
              <w:ind w:firstLine="420"/>
            </w:pPr>
            <w:r>
              <w:rPr>
                <w:rFonts w:ascii="仿宋_GB2312" w:hAnsi="仿宋_GB2312" w:eastAsia="仿宋_GB2312" w:cs="仿宋_GB2312"/>
                <w:color w:val="000000"/>
                <w:sz w:val="21"/>
              </w:rPr>
              <w:t>与学校电子签章系统对接，实现系统自动生成单据时签章信息的调用。</w:t>
            </w:r>
          </w:p>
          <w:p w14:paraId="33999F7E">
            <w:pPr>
              <w:pStyle w:val="5"/>
              <w:ind w:firstLine="422" w:firstLineChars="200"/>
            </w:pPr>
            <w:r>
              <w:rPr>
                <w:rFonts w:ascii="仿宋_GB2312" w:hAnsi="仿宋_GB2312" w:eastAsia="仿宋_GB2312" w:cs="仿宋_GB2312"/>
                <w:b/>
                <w:color w:val="000000"/>
                <w:sz w:val="21"/>
              </w:rPr>
              <w:t>1</w:t>
            </w:r>
            <w:r>
              <w:rPr>
                <w:rFonts w:hint="eastAsia" w:ascii="仿宋_GB2312" w:hAnsi="仿宋_GB2312" w:eastAsia="仿宋_GB2312" w:cs="仿宋_GB2312"/>
                <w:b/>
                <w:color w:val="000000"/>
                <w:sz w:val="21"/>
                <w:lang w:val="en-US" w:eastAsia="zh-CN"/>
              </w:rPr>
              <w:t>2</w:t>
            </w:r>
            <w:r>
              <w:rPr>
                <w:rFonts w:ascii="仿宋_GB2312" w:hAnsi="仿宋_GB2312" w:eastAsia="仿宋_GB2312" w:cs="仿宋_GB2312"/>
                <w:b/>
                <w:color w:val="000000"/>
                <w:sz w:val="21"/>
              </w:rPr>
              <w:t>.6安全要求</w:t>
            </w:r>
          </w:p>
          <w:p w14:paraId="7DD39129">
            <w:pPr>
              <w:pStyle w:val="5"/>
              <w:ind w:firstLine="420"/>
            </w:pPr>
            <w:r>
              <w:rPr>
                <w:rFonts w:ascii="仿宋_GB2312" w:hAnsi="仿宋_GB2312" w:eastAsia="仿宋_GB2312" w:cs="仿宋_GB2312"/>
                <w:color w:val="000000"/>
                <w:sz w:val="21"/>
              </w:rPr>
              <w:t>以用户为基础，控制对系统的访问，用户密码管理符合业界通用的规范（如最小长度，数字字母混合），提供日志及审计功能，日志包括数据操作日志、系统登陆日志、版本更新日志等，监控敏感数据的访问和修改，可以防止任何通过网络进行的非授权访问，并且供应商应提供信息安全管理体系认证证书和信息技术服务管理体系认证证书；项目实施完成后，正式上线运行前需通过学校安全检测，符合学校安全要求，方可上线。</w:t>
            </w:r>
          </w:p>
          <w:p w14:paraId="7DCECE23">
            <w:pPr>
              <w:pStyle w:val="5"/>
              <w:ind w:firstLine="482" w:firstLineChars="200"/>
            </w:pPr>
            <w:r>
              <w:rPr>
                <w:rFonts w:ascii="仿宋_GB2312" w:hAnsi="仿宋_GB2312" w:eastAsia="仿宋_GB2312" w:cs="仿宋_GB2312"/>
                <w:b/>
                <w:color w:val="000000"/>
                <w:sz w:val="24"/>
              </w:rPr>
              <w:t>1</w:t>
            </w:r>
            <w:r>
              <w:rPr>
                <w:rFonts w:hint="eastAsia" w:ascii="仿宋_GB2312" w:hAnsi="仿宋_GB2312" w:eastAsia="仿宋_GB2312" w:cs="仿宋_GB2312"/>
                <w:b/>
                <w:color w:val="000000"/>
                <w:sz w:val="24"/>
                <w:lang w:val="en-US" w:eastAsia="zh-CN"/>
              </w:rPr>
              <w:t>3</w:t>
            </w:r>
            <w:r>
              <w:rPr>
                <w:rFonts w:ascii="仿宋_GB2312" w:hAnsi="仿宋_GB2312" w:eastAsia="仿宋_GB2312" w:cs="仿宋_GB2312"/>
                <w:b/>
                <w:color w:val="000000"/>
                <w:sz w:val="24"/>
              </w:rPr>
              <w:t>.历史数据迁移</w:t>
            </w:r>
          </w:p>
          <w:p w14:paraId="28C125C6">
            <w:pPr>
              <w:pStyle w:val="5"/>
              <w:ind w:firstLine="420"/>
            </w:pPr>
            <w:r>
              <w:rPr>
                <w:rFonts w:ascii="仿宋_GB2312" w:hAnsi="仿宋_GB2312" w:eastAsia="仿宋_GB2312" w:cs="仿宋_GB2312"/>
                <w:color w:val="000000"/>
                <w:sz w:val="21"/>
              </w:rPr>
              <w:t>要求投标时提供满足以下功能要求的方案：历史数据分析、处理、清洗、迁移和校验，提供历史数据迁移方案和一期系统数据标准，需投标单位与一期系统厂商自行对接，如产生费用则包含在本项目中，甲方不再额外支付费用。</w:t>
            </w:r>
          </w:p>
          <w:p w14:paraId="4C59678E">
            <w:pPr>
              <w:pStyle w:val="5"/>
              <w:ind w:firstLine="482" w:firstLineChars="200"/>
            </w:pPr>
            <w:r>
              <w:rPr>
                <w:rFonts w:ascii="仿宋_GB2312" w:hAnsi="仿宋_GB2312" w:eastAsia="仿宋_GB2312" w:cs="仿宋_GB2312"/>
                <w:b/>
                <w:color w:val="000000"/>
                <w:sz w:val="24"/>
              </w:rPr>
              <w:t>1</w:t>
            </w:r>
            <w:r>
              <w:rPr>
                <w:rFonts w:hint="eastAsia" w:ascii="仿宋_GB2312" w:hAnsi="仿宋_GB2312" w:eastAsia="仿宋_GB2312" w:cs="仿宋_GB2312"/>
                <w:b/>
                <w:color w:val="000000"/>
                <w:sz w:val="24"/>
                <w:lang w:val="en-US" w:eastAsia="zh-CN"/>
              </w:rPr>
              <w:t>4</w:t>
            </w:r>
            <w:r>
              <w:rPr>
                <w:rFonts w:ascii="仿宋_GB2312" w:hAnsi="仿宋_GB2312" w:eastAsia="仿宋_GB2312" w:cs="仿宋_GB2312"/>
                <w:b/>
                <w:color w:val="000000"/>
                <w:sz w:val="24"/>
              </w:rPr>
              <w:t>.模块授权</w:t>
            </w:r>
          </w:p>
          <w:p w14:paraId="767CDCCE">
            <w:pPr>
              <w:pStyle w:val="5"/>
              <w:jc w:val="both"/>
            </w:pPr>
            <w:r>
              <w:rPr>
                <w:rFonts w:ascii="仿宋_GB2312" w:hAnsi="仿宋_GB2312" w:eastAsia="仿宋_GB2312" w:cs="仿宋_GB2312"/>
                <w:color w:val="000000"/>
                <w:sz w:val="21"/>
              </w:rPr>
              <w:t>要求提供完全满足以下功能要求的系统全流程截图：项目负责人可将所负责项目授权给他人管理，可以授权所有项目，也可授权单个项目。被授权人登录系统后，可在线办理被授权的项目相关业务，如项目变更、经费认领等。</w:t>
            </w:r>
          </w:p>
        </w:tc>
      </w:tr>
      <w:tr w14:paraId="134578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0D211ED"/>
        </w:tc>
        <w:tc>
          <w:tcPr>
            <w:tcW w:w="2769" w:type="dxa"/>
          </w:tcPr>
          <w:p w14:paraId="3115D91F">
            <w:pPr>
              <w:pStyle w:val="5"/>
            </w:pPr>
            <w:r>
              <w:rPr>
                <w:rFonts w:ascii="仿宋_GB2312" w:hAnsi="仿宋_GB2312" w:eastAsia="仿宋_GB2312" w:cs="仿宋_GB2312"/>
              </w:rPr>
              <w:t>3</w:t>
            </w:r>
          </w:p>
        </w:tc>
        <w:tc>
          <w:tcPr>
            <w:tcW w:w="2769" w:type="dxa"/>
          </w:tcPr>
          <w:p w14:paraId="0B609896">
            <w:pPr>
              <w:pStyle w:val="5"/>
              <w:jc w:val="center"/>
            </w:pPr>
            <w:r>
              <w:rPr>
                <w:rFonts w:ascii="仿宋_GB2312" w:hAnsi="仿宋_GB2312" w:eastAsia="仿宋_GB2312" w:cs="仿宋_GB2312"/>
                <w:b/>
                <w:color w:val="000000"/>
                <w:sz w:val="21"/>
              </w:rPr>
              <w:t>建设清单</w:t>
            </w:r>
          </w:p>
          <w:tbl>
            <w:tblPr>
              <w:tblStyle w:val="3"/>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75"/>
              <w:gridCol w:w="752"/>
              <w:gridCol w:w="621"/>
            </w:tblGrid>
            <w:tr w14:paraId="33B5AA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95F115">
                  <w:pPr>
                    <w:pStyle w:val="5"/>
                    <w:jc w:val="center"/>
                  </w:pPr>
                  <w:r>
                    <w:rPr>
                      <w:rFonts w:ascii="仿宋_GB2312" w:hAnsi="仿宋_GB2312" w:eastAsia="仿宋_GB2312" w:cs="仿宋_GB2312"/>
                      <w:b/>
                      <w:color w:val="000000"/>
                      <w:sz w:val="21"/>
                    </w:rPr>
                    <w:t>模块</w:t>
                  </w:r>
                </w:p>
              </w:tc>
              <w:tc>
                <w:tcPr>
                  <w:tcW w:w="16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C09A9A">
                  <w:pPr>
                    <w:pStyle w:val="5"/>
                    <w:jc w:val="center"/>
                  </w:pPr>
                  <w:r>
                    <w:rPr>
                      <w:rFonts w:ascii="仿宋_GB2312" w:hAnsi="仿宋_GB2312" w:eastAsia="仿宋_GB2312" w:cs="仿宋_GB2312"/>
                      <w:b/>
                      <w:color w:val="000000"/>
                      <w:sz w:val="21"/>
                    </w:rPr>
                    <w:t>数量</w:t>
                  </w:r>
                </w:p>
              </w:tc>
              <w:tc>
                <w:tcPr>
                  <w:tcW w:w="11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F77ECD">
                  <w:pPr>
                    <w:pStyle w:val="5"/>
                    <w:jc w:val="center"/>
                  </w:pPr>
                  <w:r>
                    <w:rPr>
                      <w:rFonts w:ascii="仿宋_GB2312" w:hAnsi="仿宋_GB2312" w:eastAsia="仿宋_GB2312" w:cs="仿宋_GB2312"/>
                      <w:b/>
                      <w:color w:val="000000"/>
                      <w:sz w:val="21"/>
                    </w:rPr>
                    <w:t>单位</w:t>
                  </w:r>
                </w:p>
              </w:tc>
            </w:tr>
            <w:tr w14:paraId="1449AA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68DFC">
                  <w:pPr>
                    <w:pStyle w:val="5"/>
                    <w:jc w:val="center"/>
                  </w:pPr>
                  <w:r>
                    <w:rPr>
                      <w:rFonts w:ascii="仿宋_GB2312" w:hAnsi="仿宋_GB2312" w:eastAsia="仿宋_GB2312" w:cs="仿宋_GB2312"/>
                      <w:color w:val="000000"/>
                      <w:sz w:val="21"/>
                    </w:rPr>
                    <w:t>工作首页</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187FB3">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AB5CD">
                  <w:pPr>
                    <w:pStyle w:val="5"/>
                    <w:jc w:val="center"/>
                  </w:pPr>
                  <w:r>
                    <w:rPr>
                      <w:rFonts w:ascii="仿宋_GB2312" w:hAnsi="仿宋_GB2312" w:eastAsia="仿宋_GB2312" w:cs="仿宋_GB2312"/>
                      <w:color w:val="000000"/>
                      <w:sz w:val="21"/>
                    </w:rPr>
                    <w:t>套</w:t>
                  </w:r>
                </w:p>
              </w:tc>
            </w:tr>
            <w:tr w14:paraId="166F48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FB511D">
                  <w:pPr>
                    <w:pStyle w:val="5"/>
                    <w:jc w:val="center"/>
                  </w:pPr>
                  <w:r>
                    <w:rPr>
                      <w:rFonts w:ascii="仿宋_GB2312" w:hAnsi="仿宋_GB2312" w:eastAsia="仿宋_GB2312" w:cs="仿宋_GB2312"/>
                      <w:color w:val="000000"/>
                      <w:sz w:val="21"/>
                    </w:rPr>
                    <w:t>项目管理</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98BD6">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148E5">
                  <w:pPr>
                    <w:pStyle w:val="5"/>
                    <w:jc w:val="center"/>
                  </w:pPr>
                  <w:r>
                    <w:rPr>
                      <w:rFonts w:ascii="仿宋_GB2312" w:hAnsi="仿宋_GB2312" w:eastAsia="仿宋_GB2312" w:cs="仿宋_GB2312"/>
                      <w:color w:val="000000"/>
                      <w:sz w:val="21"/>
                    </w:rPr>
                    <w:t>套</w:t>
                  </w:r>
                </w:p>
              </w:tc>
            </w:tr>
            <w:tr w14:paraId="0CE3A3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F9315">
                  <w:pPr>
                    <w:pStyle w:val="5"/>
                    <w:jc w:val="center"/>
                  </w:pPr>
                  <w:r>
                    <w:rPr>
                      <w:rFonts w:ascii="仿宋_GB2312" w:hAnsi="仿宋_GB2312" w:eastAsia="仿宋_GB2312" w:cs="仿宋_GB2312"/>
                      <w:color w:val="000000"/>
                      <w:sz w:val="21"/>
                    </w:rPr>
                    <w:t>经费管理</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3A65E">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44973">
                  <w:pPr>
                    <w:pStyle w:val="5"/>
                    <w:jc w:val="center"/>
                  </w:pPr>
                  <w:r>
                    <w:rPr>
                      <w:rFonts w:ascii="仿宋_GB2312" w:hAnsi="仿宋_GB2312" w:eastAsia="仿宋_GB2312" w:cs="仿宋_GB2312"/>
                      <w:color w:val="000000"/>
                      <w:sz w:val="21"/>
                    </w:rPr>
                    <w:t>套</w:t>
                  </w:r>
                </w:p>
              </w:tc>
            </w:tr>
            <w:tr w14:paraId="3AA278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6E76A">
                  <w:pPr>
                    <w:pStyle w:val="5"/>
                    <w:jc w:val="center"/>
                  </w:pPr>
                  <w:r>
                    <w:rPr>
                      <w:rFonts w:ascii="仿宋_GB2312" w:hAnsi="仿宋_GB2312" w:eastAsia="仿宋_GB2312" w:cs="仿宋_GB2312"/>
                      <w:color w:val="000000"/>
                      <w:sz w:val="21"/>
                    </w:rPr>
                    <w:t>成果管理</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9F5373">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A1E9B">
                  <w:pPr>
                    <w:pStyle w:val="5"/>
                    <w:jc w:val="center"/>
                  </w:pPr>
                  <w:r>
                    <w:rPr>
                      <w:rFonts w:ascii="仿宋_GB2312" w:hAnsi="仿宋_GB2312" w:eastAsia="仿宋_GB2312" w:cs="仿宋_GB2312"/>
                      <w:color w:val="000000"/>
                      <w:sz w:val="21"/>
                    </w:rPr>
                    <w:t>套</w:t>
                  </w:r>
                </w:p>
              </w:tc>
            </w:tr>
            <w:tr w14:paraId="30680D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95AC20">
                  <w:pPr>
                    <w:pStyle w:val="5"/>
                    <w:jc w:val="center"/>
                  </w:pPr>
                  <w:r>
                    <w:rPr>
                      <w:rFonts w:ascii="仿宋_GB2312" w:hAnsi="仿宋_GB2312" w:eastAsia="仿宋_GB2312" w:cs="仿宋_GB2312"/>
                      <w:color w:val="000000"/>
                      <w:sz w:val="21"/>
                    </w:rPr>
                    <w:t>论文数据治理</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8CF8DA">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4EC6A">
                  <w:pPr>
                    <w:pStyle w:val="5"/>
                    <w:jc w:val="center"/>
                  </w:pPr>
                  <w:r>
                    <w:rPr>
                      <w:rFonts w:ascii="仿宋_GB2312" w:hAnsi="仿宋_GB2312" w:eastAsia="仿宋_GB2312" w:cs="仿宋_GB2312"/>
                      <w:color w:val="000000"/>
                      <w:sz w:val="21"/>
                    </w:rPr>
                    <w:t>套</w:t>
                  </w:r>
                </w:p>
              </w:tc>
            </w:tr>
            <w:tr w14:paraId="528199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36FD5">
                  <w:pPr>
                    <w:pStyle w:val="5"/>
                    <w:jc w:val="center"/>
                  </w:pPr>
                  <w:r>
                    <w:rPr>
                      <w:rFonts w:ascii="仿宋_GB2312" w:hAnsi="仿宋_GB2312" w:eastAsia="仿宋_GB2312" w:cs="仿宋_GB2312"/>
                      <w:color w:val="000000"/>
                      <w:sz w:val="21"/>
                    </w:rPr>
                    <w:t>教育部统计</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E95CFF">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71C1E">
                  <w:pPr>
                    <w:pStyle w:val="5"/>
                    <w:jc w:val="center"/>
                  </w:pPr>
                  <w:r>
                    <w:rPr>
                      <w:rFonts w:ascii="仿宋_GB2312" w:hAnsi="仿宋_GB2312" w:eastAsia="仿宋_GB2312" w:cs="仿宋_GB2312"/>
                      <w:color w:val="000000"/>
                      <w:sz w:val="21"/>
                    </w:rPr>
                    <w:t>套</w:t>
                  </w:r>
                </w:p>
              </w:tc>
            </w:tr>
            <w:tr w14:paraId="2A05A8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6614E">
                  <w:pPr>
                    <w:pStyle w:val="5"/>
                    <w:jc w:val="center"/>
                  </w:pPr>
                  <w:r>
                    <w:rPr>
                      <w:rFonts w:ascii="仿宋_GB2312" w:hAnsi="仿宋_GB2312" w:eastAsia="仿宋_GB2312" w:cs="仿宋_GB2312"/>
                      <w:color w:val="000000"/>
                      <w:sz w:val="21"/>
                    </w:rPr>
                    <w:t>科研考核</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9C1B4">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8BF3C">
                  <w:pPr>
                    <w:pStyle w:val="5"/>
                    <w:jc w:val="center"/>
                  </w:pPr>
                  <w:r>
                    <w:rPr>
                      <w:rFonts w:ascii="仿宋_GB2312" w:hAnsi="仿宋_GB2312" w:eastAsia="仿宋_GB2312" w:cs="仿宋_GB2312"/>
                      <w:color w:val="000000"/>
                      <w:sz w:val="21"/>
                    </w:rPr>
                    <w:t>套</w:t>
                  </w:r>
                </w:p>
              </w:tc>
            </w:tr>
            <w:tr w14:paraId="246BE0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13316A">
                  <w:pPr>
                    <w:pStyle w:val="5"/>
                    <w:jc w:val="center"/>
                    <w:rPr>
                      <w:rFonts w:hint="eastAsia" w:ascii="仿宋_GB2312" w:hAnsi="仿宋_GB2312" w:eastAsia="仿宋_GB2312" w:cs="仿宋_GB2312"/>
                      <w:color w:val="000000"/>
                      <w:sz w:val="21"/>
                      <w:lang w:val="en-US" w:eastAsia="zh-CN"/>
                    </w:rPr>
                  </w:pPr>
                  <w:r>
                    <w:rPr>
                      <w:rFonts w:ascii="仿宋_GB2312" w:hAnsi="仿宋_GB2312" w:eastAsia="仿宋_GB2312" w:cs="仿宋_GB2312"/>
                      <w:b w:val="0"/>
                      <w:color w:val="000000"/>
                      <w:sz w:val="21"/>
                    </w:rPr>
                    <w:t>科研平台</w:t>
                  </w:r>
                  <w:r>
                    <w:rPr>
                      <w:rFonts w:hint="eastAsia" w:ascii="仿宋_GB2312" w:hAnsi="仿宋_GB2312" w:eastAsia="仿宋_GB2312" w:cs="仿宋_GB2312"/>
                      <w:b w:val="0"/>
                      <w:color w:val="000000"/>
                      <w:sz w:val="21"/>
                      <w:lang w:val="en-US" w:eastAsia="zh-CN"/>
                    </w:rPr>
                    <w:t>和团队</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25819">
                  <w:pPr>
                    <w:pStyle w:val="5"/>
                    <w:jc w:val="center"/>
                    <w:rPr>
                      <w:rFonts w:hint="eastAsia" w:ascii="仿宋_GB2312" w:hAnsi="仿宋_GB2312" w:eastAsia="仿宋_GB2312" w:cs="仿宋_GB2312"/>
                      <w:color w:val="000000"/>
                      <w:sz w:val="21"/>
                      <w:lang w:val="en-US" w:eastAsia="zh-CN"/>
                    </w:rPr>
                  </w:pPr>
                  <w:r>
                    <w:rPr>
                      <w:rFonts w:hint="eastAsia" w:ascii="仿宋_GB2312" w:hAnsi="仿宋_GB2312" w:eastAsia="仿宋_GB2312" w:cs="仿宋_GB2312"/>
                      <w:color w:val="000000"/>
                      <w:sz w:val="21"/>
                      <w:lang w:val="en-US" w:eastAsia="zh-CN"/>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0ACA9A">
                  <w:pPr>
                    <w:pStyle w:val="5"/>
                    <w:jc w:val="center"/>
                    <w:rPr>
                      <w:rFonts w:hint="eastAsia" w:ascii="仿宋_GB2312" w:hAnsi="仿宋_GB2312" w:eastAsia="仿宋_GB2312" w:cs="仿宋_GB2312"/>
                      <w:color w:val="000000"/>
                      <w:sz w:val="21"/>
                      <w:lang w:val="en-US" w:eastAsia="zh-CN"/>
                    </w:rPr>
                  </w:pPr>
                  <w:r>
                    <w:rPr>
                      <w:rFonts w:hint="eastAsia" w:ascii="仿宋_GB2312" w:hAnsi="仿宋_GB2312" w:eastAsia="仿宋_GB2312" w:cs="仿宋_GB2312"/>
                      <w:color w:val="000000"/>
                      <w:sz w:val="21"/>
                      <w:lang w:val="en-US" w:eastAsia="zh-CN"/>
                    </w:rPr>
                    <w:t>套</w:t>
                  </w:r>
                </w:p>
              </w:tc>
            </w:tr>
            <w:tr w14:paraId="4D6E91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D7EC88">
                  <w:pPr>
                    <w:pStyle w:val="5"/>
                    <w:jc w:val="center"/>
                    <w:rPr>
                      <w:rFonts w:hint="eastAsia" w:ascii="仿宋_GB2312" w:hAnsi="仿宋_GB2312" w:eastAsia="仿宋_GB2312" w:cs="仿宋_GB2312"/>
                      <w:b w:val="0"/>
                      <w:color w:val="000000"/>
                      <w:sz w:val="21"/>
                      <w:lang w:val="en-US" w:eastAsia="zh-CN"/>
                    </w:rPr>
                  </w:pPr>
                  <w:r>
                    <w:rPr>
                      <w:rFonts w:hint="eastAsia" w:ascii="仿宋_GB2312" w:hAnsi="仿宋_GB2312" w:eastAsia="仿宋_GB2312" w:cs="仿宋_GB2312"/>
                      <w:b w:val="0"/>
                      <w:color w:val="000000"/>
                      <w:sz w:val="21"/>
                      <w:lang w:val="en-US" w:eastAsia="zh-CN"/>
                    </w:rPr>
                    <w:t>协会管理学会</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13293">
                  <w:pPr>
                    <w:pStyle w:val="5"/>
                    <w:jc w:val="center"/>
                    <w:rPr>
                      <w:rFonts w:hint="eastAsia" w:ascii="仿宋_GB2312" w:hAnsi="仿宋_GB2312" w:eastAsia="仿宋_GB2312" w:cs="仿宋_GB2312"/>
                      <w:color w:val="000000"/>
                      <w:sz w:val="21"/>
                      <w:lang w:val="en-US" w:eastAsia="zh-CN"/>
                    </w:rPr>
                  </w:pPr>
                  <w:r>
                    <w:rPr>
                      <w:rFonts w:hint="eastAsia" w:ascii="仿宋_GB2312" w:hAnsi="仿宋_GB2312" w:eastAsia="仿宋_GB2312" w:cs="仿宋_GB2312"/>
                      <w:color w:val="000000"/>
                      <w:sz w:val="21"/>
                      <w:lang w:val="en-US" w:eastAsia="zh-CN"/>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AF2B6">
                  <w:pPr>
                    <w:pStyle w:val="5"/>
                    <w:jc w:val="center"/>
                    <w:rPr>
                      <w:rFonts w:hint="eastAsia" w:ascii="仿宋_GB2312" w:hAnsi="仿宋_GB2312" w:eastAsia="仿宋_GB2312" w:cs="仿宋_GB2312"/>
                      <w:color w:val="000000"/>
                      <w:sz w:val="21"/>
                      <w:lang w:val="en-US" w:eastAsia="zh-CN"/>
                    </w:rPr>
                  </w:pPr>
                  <w:r>
                    <w:rPr>
                      <w:rFonts w:hint="eastAsia" w:ascii="仿宋_GB2312" w:hAnsi="仿宋_GB2312" w:eastAsia="仿宋_GB2312" w:cs="仿宋_GB2312"/>
                      <w:color w:val="000000"/>
                      <w:sz w:val="21"/>
                      <w:lang w:val="en-US" w:eastAsia="zh-CN"/>
                    </w:rPr>
                    <w:t>套</w:t>
                  </w:r>
                </w:p>
              </w:tc>
            </w:tr>
            <w:tr w14:paraId="0F7F84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F44E2">
                  <w:pPr>
                    <w:pStyle w:val="5"/>
                    <w:jc w:val="center"/>
                  </w:pPr>
                  <w:r>
                    <w:rPr>
                      <w:rFonts w:ascii="仿宋_GB2312" w:hAnsi="仿宋_GB2312" w:eastAsia="仿宋_GB2312" w:cs="仿宋_GB2312"/>
                      <w:color w:val="000000"/>
                      <w:sz w:val="21"/>
                    </w:rPr>
                    <w:t>基础资源</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CFE232">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9E4B25">
                  <w:pPr>
                    <w:pStyle w:val="5"/>
                    <w:jc w:val="center"/>
                  </w:pPr>
                  <w:r>
                    <w:rPr>
                      <w:rFonts w:ascii="仿宋_GB2312" w:hAnsi="仿宋_GB2312" w:eastAsia="仿宋_GB2312" w:cs="仿宋_GB2312"/>
                      <w:color w:val="000000"/>
                      <w:sz w:val="21"/>
                    </w:rPr>
                    <w:t>套</w:t>
                  </w:r>
                </w:p>
              </w:tc>
            </w:tr>
            <w:tr w14:paraId="09C2F4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061A7">
                  <w:pPr>
                    <w:pStyle w:val="5"/>
                    <w:jc w:val="center"/>
                  </w:pPr>
                  <w:r>
                    <w:rPr>
                      <w:rFonts w:ascii="仿宋_GB2312" w:hAnsi="仿宋_GB2312" w:eastAsia="仿宋_GB2312" w:cs="仿宋_GB2312"/>
                      <w:color w:val="000000"/>
                      <w:sz w:val="21"/>
                    </w:rPr>
                    <w:t>移动科研</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3C4F3">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30A68">
                  <w:pPr>
                    <w:pStyle w:val="5"/>
                    <w:jc w:val="center"/>
                  </w:pPr>
                  <w:r>
                    <w:rPr>
                      <w:rFonts w:ascii="仿宋_GB2312" w:hAnsi="仿宋_GB2312" w:eastAsia="仿宋_GB2312" w:cs="仿宋_GB2312"/>
                      <w:color w:val="000000"/>
                      <w:sz w:val="21"/>
                    </w:rPr>
                    <w:t>套</w:t>
                  </w:r>
                </w:p>
              </w:tc>
            </w:tr>
            <w:tr w14:paraId="0AD855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9C5083">
                  <w:pPr>
                    <w:pStyle w:val="5"/>
                    <w:jc w:val="center"/>
                  </w:pPr>
                  <w:r>
                    <w:rPr>
                      <w:rFonts w:ascii="仿宋_GB2312" w:hAnsi="仿宋_GB2312" w:eastAsia="仿宋_GB2312" w:cs="仿宋_GB2312"/>
                      <w:color w:val="000000"/>
                      <w:sz w:val="21"/>
                    </w:rPr>
                    <w:t>系统对接</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F5E699">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A451B">
                  <w:pPr>
                    <w:pStyle w:val="5"/>
                    <w:jc w:val="center"/>
                  </w:pPr>
                  <w:r>
                    <w:rPr>
                      <w:rFonts w:ascii="仿宋_GB2312" w:hAnsi="仿宋_GB2312" w:eastAsia="仿宋_GB2312" w:cs="仿宋_GB2312"/>
                      <w:color w:val="000000"/>
                      <w:sz w:val="21"/>
                    </w:rPr>
                    <w:t>套</w:t>
                  </w:r>
                </w:p>
              </w:tc>
            </w:tr>
            <w:tr w14:paraId="2AA5C9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36"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13DD2">
                  <w:pPr>
                    <w:pStyle w:val="5"/>
                    <w:jc w:val="center"/>
                  </w:pPr>
                  <w:r>
                    <w:rPr>
                      <w:rFonts w:ascii="仿宋_GB2312" w:hAnsi="仿宋_GB2312" w:eastAsia="仿宋_GB2312" w:cs="仿宋_GB2312"/>
                      <w:color w:val="000000"/>
                      <w:sz w:val="21"/>
                    </w:rPr>
                    <w:t>历史数据迁移</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40E980">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5C0F3">
                  <w:pPr>
                    <w:pStyle w:val="5"/>
                    <w:jc w:val="center"/>
                  </w:pPr>
                  <w:r>
                    <w:rPr>
                      <w:rFonts w:ascii="仿宋_GB2312" w:hAnsi="仿宋_GB2312" w:eastAsia="仿宋_GB2312" w:cs="仿宋_GB2312"/>
                      <w:color w:val="000000"/>
                      <w:sz w:val="21"/>
                    </w:rPr>
                    <w:t>套</w:t>
                  </w:r>
                </w:p>
              </w:tc>
            </w:tr>
            <w:tr w14:paraId="70633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44" w:hRule="atLeast"/>
              </w:trPr>
              <w:tc>
                <w:tcPr>
                  <w:tcW w:w="32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F92DB">
                  <w:pPr>
                    <w:pStyle w:val="5"/>
                    <w:jc w:val="center"/>
                  </w:pPr>
                  <w:r>
                    <w:rPr>
                      <w:rFonts w:ascii="仿宋_GB2312" w:hAnsi="仿宋_GB2312" w:eastAsia="仿宋_GB2312" w:cs="仿宋_GB2312"/>
                      <w:color w:val="000000"/>
                      <w:sz w:val="21"/>
                    </w:rPr>
                    <w:t>模块授权</w:t>
                  </w:r>
                </w:p>
              </w:tc>
              <w:tc>
                <w:tcPr>
                  <w:tcW w:w="16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19381F">
                  <w:pPr>
                    <w:pStyle w:val="5"/>
                    <w:jc w:val="center"/>
                  </w:pPr>
                  <w:r>
                    <w:rPr>
                      <w:rFonts w:ascii="仿宋_GB2312" w:hAnsi="仿宋_GB2312" w:eastAsia="仿宋_GB2312" w:cs="仿宋_GB2312"/>
                      <w:color w:val="000000"/>
                      <w:sz w:val="21"/>
                    </w:rPr>
                    <w:t>1</w:t>
                  </w:r>
                </w:p>
              </w:tc>
              <w:tc>
                <w:tcPr>
                  <w:tcW w:w="1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1FB7E">
                  <w:pPr>
                    <w:pStyle w:val="5"/>
                    <w:jc w:val="center"/>
                  </w:pPr>
                  <w:r>
                    <w:rPr>
                      <w:rFonts w:ascii="仿宋_GB2312" w:hAnsi="仿宋_GB2312" w:eastAsia="仿宋_GB2312" w:cs="仿宋_GB2312"/>
                      <w:color w:val="000000"/>
                      <w:sz w:val="21"/>
                    </w:rPr>
                    <w:t>套</w:t>
                  </w:r>
                </w:p>
              </w:tc>
            </w:tr>
          </w:tbl>
          <w:p w14:paraId="5B764E44"/>
        </w:tc>
      </w:tr>
    </w:tbl>
    <w:p w14:paraId="547C8EC7">
      <w:pPr>
        <w:pStyle w:val="5"/>
      </w:pPr>
      <w:r>
        <w:rPr>
          <w:rFonts w:ascii="仿宋_GB2312" w:hAnsi="仿宋_GB2312" w:eastAsia="仿宋_GB2312" w:cs="仿宋_GB2312"/>
        </w:rPr>
        <w:t>7、供应商一般资格要求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614E9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0B046C">
            <w:pPr>
              <w:pStyle w:val="5"/>
            </w:pPr>
            <w:r>
              <w:rPr>
                <w:rFonts w:ascii="仿宋_GB2312" w:hAnsi="仿宋_GB2312" w:eastAsia="仿宋_GB2312" w:cs="仿宋_GB2312"/>
              </w:rPr>
              <w:t>序号</w:t>
            </w:r>
          </w:p>
        </w:tc>
        <w:tc>
          <w:tcPr>
            <w:tcW w:w="2769" w:type="dxa"/>
          </w:tcPr>
          <w:p w14:paraId="63F1290F">
            <w:pPr>
              <w:pStyle w:val="5"/>
            </w:pPr>
            <w:r>
              <w:rPr>
                <w:rFonts w:ascii="仿宋_GB2312" w:hAnsi="仿宋_GB2312" w:eastAsia="仿宋_GB2312" w:cs="仿宋_GB2312"/>
              </w:rPr>
              <w:t>资格要求名称</w:t>
            </w:r>
          </w:p>
        </w:tc>
        <w:tc>
          <w:tcPr>
            <w:tcW w:w="2769" w:type="dxa"/>
          </w:tcPr>
          <w:p w14:paraId="08037FEE">
            <w:pPr>
              <w:pStyle w:val="5"/>
            </w:pPr>
            <w:r>
              <w:rPr>
                <w:rFonts w:ascii="仿宋_GB2312" w:hAnsi="仿宋_GB2312" w:eastAsia="仿宋_GB2312" w:cs="仿宋_GB2312"/>
              </w:rPr>
              <w:t>资格要求详细说明</w:t>
            </w:r>
          </w:p>
        </w:tc>
      </w:tr>
      <w:tr w14:paraId="72F69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00EC33">
            <w:pPr>
              <w:pStyle w:val="5"/>
            </w:pPr>
            <w:r>
              <w:rPr>
                <w:rFonts w:ascii="仿宋_GB2312" w:hAnsi="仿宋_GB2312" w:eastAsia="仿宋_GB2312" w:cs="仿宋_GB2312"/>
              </w:rPr>
              <w:t>1</w:t>
            </w:r>
          </w:p>
        </w:tc>
        <w:tc>
          <w:tcPr>
            <w:tcW w:w="2769" w:type="dxa"/>
          </w:tcPr>
          <w:p w14:paraId="266833DC">
            <w:pPr>
              <w:pStyle w:val="5"/>
            </w:pPr>
            <w:r>
              <w:rPr>
                <w:rFonts w:ascii="仿宋_GB2312" w:hAnsi="仿宋_GB2312" w:eastAsia="仿宋_GB2312" w:cs="仿宋_GB2312"/>
              </w:rPr>
              <w:t>供应商应具备《中华人民共和国政府采购法》第二十二条规定的条件</w:t>
            </w:r>
          </w:p>
        </w:tc>
        <w:tc>
          <w:tcPr>
            <w:tcW w:w="2769" w:type="dxa"/>
          </w:tcPr>
          <w:p w14:paraId="5578EA2B">
            <w:pPr>
              <w:pStyle w:val="5"/>
            </w:pPr>
            <w:r>
              <w:rPr>
                <w:rFonts w:ascii="仿宋_GB2312" w:hAnsi="仿宋_GB2312" w:eastAsia="仿宋_GB2312" w:cs="仿宋_GB2312"/>
              </w:rPr>
              <w:t>1、供应商应具有独立承担民事责任的能力的企业法人、事业法人、其他组织或自然人，出具合法有效的营业执照或事业单位法人证书等国家规定的相关证明，自然人参与的提供其身份证明； 2、财务状况报告：提供经审计的2024或2025年度的财务报告（成立时间至提交投标文件截止时间不足一年的可提供成立后任意时段的资产负债表）或提交投标文件截止时间前六个月内其基本账户开户银行出具的资信证明及基本存款账户信息或信用担保机构出具的投标担保函；其他组织和自然人提供银行出具的资信证明或财务报表；注：提供财务报告的,必须为上传至注册会计师行业统一监管平台(http://acc.mof.gov.cn)并具有全国统一的二维码的财务报告。 3、税收缴纳证明：提供投标文件递交截止时间前一年内已缴纳任意一个月完税凭证或税务机关开具的完税证明（任意税种）；依法免税的应提供税务机关开具的免税证明； 4、社会保障资金缴纳证明：提供投标文件递交截止时间前一年内任意一个月已缴纳的社会保障资金的凭据（社会保障资金缴存单据或社保机构开具的社会保险参保缴费情况证明）；依法不需要缴纳社会保障资金的供应商应提供相关文件证明； 5、具有履行合同所必需的设备和专业技术能力的承诺函； 6、参加政府采购活动前3年内在经营活动中没有重大违法记录的书面声明。 注：供应商需在项目电子化交易系统中按要求填写《投标函》完成承诺并进行电子签章。</w:t>
            </w:r>
          </w:p>
        </w:tc>
      </w:tr>
      <w:tr w14:paraId="32AC50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A5770E">
            <w:pPr>
              <w:pStyle w:val="5"/>
            </w:pPr>
            <w:r>
              <w:rPr>
                <w:rFonts w:ascii="仿宋_GB2312" w:hAnsi="仿宋_GB2312" w:eastAsia="仿宋_GB2312" w:cs="仿宋_GB2312"/>
              </w:rPr>
              <w:t>2</w:t>
            </w:r>
          </w:p>
        </w:tc>
        <w:tc>
          <w:tcPr>
            <w:tcW w:w="2769" w:type="dxa"/>
          </w:tcPr>
          <w:p w14:paraId="091BA2F9">
            <w:pPr>
              <w:pStyle w:val="5"/>
            </w:pPr>
            <w:r>
              <w:rPr>
                <w:rFonts w:ascii="仿宋_GB2312" w:hAnsi="仿宋_GB2312" w:eastAsia="仿宋_GB2312" w:cs="仿宋_GB2312"/>
              </w:rPr>
              <w:t>供应商应提供健全的财务会计制度的证明材料；</w:t>
            </w:r>
          </w:p>
        </w:tc>
        <w:tc>
          <w:tcPr>
            <w:tcW w:w="2769" w:type="dxa"/>
          </w:tcPr>
          <w:p w14:paraId="0EF39A19">
            <w:pPr>
              <w:pStyle w:val="5"/>
            </w:pPr>
            <w:r>
              <w:rPr>
                <w:rFonts w:ascii="仿宋_GB2312" w:hAnsi="仿宋_GB2312" w:eastAsia="仿宋_GB2312" w:cs="仿宋_GB2312"/>
              </w:rPr>
              <w:t>财务状况报告：提供经审计的2024或2025年度的财务报告（成立时间至提交投标文件截止时间不足一年的可提供成立后任意时段的资产负债表）或提交投标文件截止时间前六个月内其基本账户开户银行出具的资信证明及基本存款账户信息或信用担保机构出具的投标担保函；其他组织和自然人提供银行出具的资信证明或财务报表；注：提供财务报告的,必须为上传至注册会计师行业统一监管平台(http://acc.mof.gov.cn)并具有全国统一的二维码的财务报告。 注：供应商需在项目电子化交易系统中按要求上传相应证明文件并进行电子签章。</w:t>
            </w:r>
          </w:p>
        </w:tc>
      </w:tr>
      <w:tr w14:paraId="71110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2B72423">
            <w:pPr>
              <w:pStyle w:val="5"/>
            </w:pPr>
            <w:r>
              <w:rPr>
                <w:rFonts w:ascii="仿宋_GB2312" w:hAnsi="仿宋_GB2312" w:eastAsia="仿宋_GB2312" w:cs="仿宋_GB2312"/>
              </w:rPr>
              <w:t>3</w:t>
            </w:r>
          </w:p>
        </w:tc>
        <w:tc>
          <w:tcPr>
            <w:tcW w:w="2769" w:type="dxa"/>
          </w:tcPr>
          <w:p w14:paraId="27396F1B">
            <w:pPr>
              <w:pStyle w:val="5"/>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21C6DE0E">
            <w:pPr>
              <w:pStyle w:val="5"/>
            </w:pPr>
            <w:r>
              <w:rPr>
                <w:rFonts w:ascii="仿宋_GB2312" w:hAnsi="仿宋_GB2312" w:eastAsia="仿宋_GB2312" w:cs="仿宋_GB2312"/>
              </w:rPr>
              <w:t>供应商需在项目电子化交易系统中按要求填写《投标函》完成承诺并进行电子签章。</w:t>
            </w:r>
          </w:p>
        </w:tc>
      </w:tr>
    </w:tbl>
    <w:p w14:paraId="1808BFF5">
      <w:pPr>
        <w:pStyle w:val="5"/>
      </w:pPr>
      <w:r>
        <w:rPr>
          <w:rFonts w:ascii="仿宋_GB2312" w:hAnsi="仿宋_GB2312" w:eastAsia="仿宋_GB2312" w:cs="仿宋_GB2312"/>
        </w:rPr>
        <w:t>8、供应商特殊资格要求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9"/>
        <w:gridCol w:w="1954"/>
        <w:gridCol w:w="5863"/>
      </w:tblGrid>
      <w:tr w14:paraId="72D463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9" w:type="dxa"/>
          </w:tcPr>
          <w:p w14:paraId="43244F78">
            <w:pPr>
              <w:pStyle w:val="5"/>
            </w:pPr>
            <w:r>
              <w:rPr>
                <w:rFonts w:ascii="仿宋_GB2312" w:hAnsi="仿宋_GB2312" w:eastAsia="仿宋_GB2312" w:cs="仿宋_GB2312"/>
              </w:rPr>
              <w:t>序号</w:t>
            </w:r>
          </w:p>
        </w:tc>
        <w:tc>
          <w:tcPr>
            <w:tcW w:w="1954" w:type="dxa"/>
          </w:tcPr>
          <w:p w14:paraId="4BA16045">
            <w:pPr>
              <w:pStyle w:val="5"/>
            </w:pPr>
            <w:r>
              <w:rPr>
                <w:rFonts w:ascii="仿宋_GB2312" w:hAnsi="仿宋_GB2312" w:eastAsia="仿宋_GB2312" w:cs="仿宋_GB2312"/>
              </w:rPr>
              <w:t>资格要求名称</w:t>
            </w:r>
          </w:p>
        </w:tc>
        <w:tc>
          <w:tcPr>
            <w:tcW w:w="5863" w:type="dxa"/>
          </w:tcPr>
          <w:p w14:paraId="73FA42C2">
            <w:pPr>
              <w:pStyle w:val="5"/>
            </w:pPr>
            <w:r>
              <w:rPr>
                <w:rFonts w:ascii="仿宋_GB2312" w:hAnsi="仿宋_GB2312" w:eastAsia="仿宋_GB2312" w:cs="仿宋_GB2312"/>
              </w:rPr>
              <w:t>资格要求详细说明</w:t>
            </w:r>
          </w:p>
        </w:tc>
      </w:tr>
      <w:tr w14:paraId="62D13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14179E41">
            <w:pPr>
              <w:pStyle w:val="5"/>
            </w:pPr>
            <w:r>
              <w:rPr>
                <w:rFonts w:ascii="仿宋_GB2312" w:hAnsi="仿宋_GB2312" w:eastAsia="仿宋_GB2312" w:cs="仿宋_GB2312"/>
              </w:rPr>
              <w:t>无</w:t>
            </w:r>
          </w:p>
        </w:tc>
      </w:tr>
    </w:tbl>
    <w:p w14:paraId="3060CC4C">
      <w:pPr>
        <w:pStyle w:val="5"/>
      </w:pPr>
      <w:r>
        <w:rPr>
          <w:rFonts w:ascii="仿宋_GB2312" w:hAnsi="仿宋_GB2312" w:eastAsia="仿宋_GB2312" w:cs="仿宋_GB2312"/>
        </w:rPr>
        <w:t>9、分包的评审条款</w:t>
      </w:r>
    </w:p>
    <w:p w14:paraId="45D2D9C3">
      <w:pPr>
        <w:pStyle w:val="5"/>
      </w:pPr>
      <w:r>
        <w:rPr>
          <w:rFonts w:ascii="仿宋_GB2312" w:hAnsi="仿宋_GB2312" w:eastAsia="仿宋_GB2312" w:cs="仿宋_GB2312"/>
        </w:rPr>
        <w:t>10、合同管理安排</w:t>
      </w:r>
    </w:p>
    <w:p w14:paraId="304BF817">
      <w:pPr>
        <w:pStyle w:val="5"/>
        <w:ind w:firstLine="840"/>
      </w:pPr>
      <w:r>
        <w:rPr>
          <w:rFonts w:ascii="仿宋_GB2312" w:hAnsi="仿宋_GB2312" w:eastAsia="仿宋_GB2312" w:cs="仿宋_GB2312"/>
        </w:rPr>
        <w:t>1）合同类型：买卖合同</w:t>
      </w:r>
    </w:p>
    <w:p w14:paraId="0676FC3B">
      <w:pPr>
        <w:pStyle w:val="5"/>
        <w:ind w:firstLine="840"/>
      </w:pPr>
      <w:r>
        <w:rPr>
          <w:rFonts w:ascii="仿宋_GB2312" w:hAnsi="仿宋_GB2312" w:eastAsia="仿宋_GB2312" w:cs="仿宋_GB2312"/>
        </w:rPr>
        <w:t>2）合同履行期限： 自合同签署之日起180天内完成系统部署、需求调研、</w:t>
      </w:r>
      <w:r>
        <w:rPr>
          <w:rFonts w:hint="eastAsia" w:ascii="仿宋_GB2312" w:hAnsi="仿宋_GB2312" w:eastAsia="仿宋_GB2312" w:cs="仿宋_GB2312"/>
        </w:rPr>
        <w:t>系统开发</w:t>
      </w:r>
      <w:r>
        <w:rPr>
          <w:rFonts w:ascii="仿宋_GB2312" w:hAnsi="仿宋_GB2312" w:eastAsia="仿宋_GB2312" w:cs="仿宋_GB2312"/>
        </w:rPr>
        <w:t>、调试上线工作。</w:t>
      </w:r>
    </w:p>
    <w:p w14:paraId="5500C2DB">
      <w:pPr>
        <w:pStyle w:val="5"/>
        <w:ind w:firstLine="840"/>
      </w:pPr>
      <w:r>
        <w:rPr>
          <w:rFonts w:ascii="仿宋_GB2312" w:hAnsi="仿宋_GB2312" w:eastAsia="仿宋_GB2312" w:cs="仿宋_GB2312"/>
        </w:rPr>
        <w:t>3）合同履约地点：西安医学院</w:t>
      </w:r>
    </w:p>
    <w:p w14:paraId="3082EF96">
      <w:pPr>
        <w:pStyle w:val="5"/>
        <w:ind w:firstLine="840"/>
      </w:pPr>
      <w:r>
        <w:rPr>
          <w:rFonts w:ascii="仿宋_GB2312" w:hAnsi="仿宋_GB2312" w:eastAsia="仿宋_GB2312" w:cs="仿宋_GB2312"/>
        </w:rPr>
        <w:t>4）支付方式：分期付款</w:t>
      </w:r>
    </w:p>
    <w:p w14:paraId="793A8A4A">
      <w:pPr>
        <w:pStyle w:val="5"/>
        <w:ind w:firstLine="840"/>
      </w:pPr>
      <w:r>
        <w:rPr>
          <w:rFonts w:ascii="仿宋_GB2312" w:hAnsi="仿宋_GB2312" w:eastAsia="仿宋_GB2312" w:cs="仿宋_GB2312"/>
        </w:rPr>
        <w:t>5）履约保证金及缴纳形式：</w:t>
      </w:r>
      <w:bookmarkStart w:id="0" w:name="_GoBack"/>
      <w:bookmarkEnd w:id="0"/>
    </w:p>
    <w:p w14:paraId="313177A5">
      <w:pPr>
        <w:pStyle w:val="5"/>
      </w:pPr>
      <w:r>
        <w:rPr>
          <w:rFonts w:ascii="仿宋_GB2312" w:hAnsi="仿宋_GB2312" w:eastAsia="仿宋_GB2312" w:cs="仿宋_GB2312"/>
        </w:rPr>
        <w:t>中标/成交供应商是否需要缴纳履约保证金：是</w:t>
      </w:r>
    </w:p>
    <w:p w14:paraId="1AD157AF">
      <w:pPr>
        <w:pStyle w:val="5"/>
        <w:ind w:firstLine="1200"/>
      </w:pPr>
      <w:r>
        <w:rPr>
          <w:rFonts w:ascii="仿宋_GB2312" w:hAnsi="仿宋_GB2312" w:eastAsia="仿宋_GB2312" w:cs="仿宋_GB2312"/>
        </w:rPr>
        <w:t>履约保证金缴纳比例：5%</w:t>
      </w:r>
    </w:p>
    <w:p w14:paraId="7C5934F4">
      <w:pPr>
        <w:pStyle w:val="5"/>
        <w:ind w:firstLine="1200"/>
      </w:pPr>
      <w:r>
        <w:rPr>
          <w:rFonts w:ascii="仿宋_GB2312" w:hAnsi="仿宋_GB2312" w:eastAsia="仿宋_GB2312" w:cs="仿宋_GB2312"/>
        </w:rPr>
        <w:t>缴纳方式：银行转账</w:t>
      </w:r>
    </w:p>
    <w:p w14:paraId="540F669D">
      <w:pPr>
        <w:pStyle w:val="5"/>
        <w:ind w:firstLine="1200"/>
      </w:pPr>
      <w:r>
        <w:rPr>
          <w:rFonts w:ascii="仿宋_GB2312" w:hAnsi="仿宋_GB2312" w:eastAsia="仿宋_GB2312" w:cs="仿宋_GB2312"/>
        </w:rPr>
        <w:t>缴纳说明：合同签订后，中标供应商交纳履约保证金到采购需求单位指定账户，履约期满后一次性无息返还至中标供应商。</w:t>
      </w:r>
    </w:p>
    <w:p w14:paraId="085F3E2E">
      <w:pPr>
        <w:pStyle w:val="5"/>
        <w:ind w:firstLine="840"/>
      </w:pPr>
      <w:r>
        <w:rPr>
          <w:rFonts w:ascii="仿宋_GB2312" w:hAnsi="仿宋_GB2312" w:eastAsia="仿宋_GB2312" w:cs="仿宋_GB2312"/>
        </w:rPr>
        <w:t>6）质量保证金及缴纳形式：</w:t>
      </w:r>
    </w:p>
    <w:p w14:paraId="3C0AC553">
      <w:pPr>
        <w:pStyle w:val="5"/>
      </w:pPr>
      <w:r>
        <w:rPr>
          <w:rFonts w:ascii="仿宋_GB2312" w:hAnsi="仿宋_GB2312" w:eastAsia="仿宋_GB2312" w:cs="仿宋_GB2312"/>
        </w:rPr>
        <w:t>中标/成交供应商是否需要缴纳质量保证金：否</w:t>
      </w:r>
    </w:p>
    <w:p w14:paraId="49C51BF6">
      <w:pPr>
        <w:pStyle w:val="5"/>
        <w:ind w:firstLine="840"/>
      </w:pPr>
      <w:r>
        <w:rPr>
          <w:rFonts w:ascii="仿宋_GB2312" w:hAnsi="仿宋_GB2312" w:eastAsia="仿宋_GB2312" w:cs="仿宋_GB2312"/>
        </w:rPr>
        <w:t>7）合同支付约定：</w:t>
      </w:r>
    </w:p>
    <w:p w14:paraId="1AC6EBA4">
      <w:pPr>
        <w:pStyle w:val="5"/>
      </w:pPr>
      <w:r>
        <w:rPr>
          <w:rFonts w:ascii="仿宋_GB2312" w:hAnsi="仿宋_GB2312" w:eastAsia="仿宋_GB2312" w:cs="仿宋_GB2312"/>
        </w:rPr>
        <w:t>1、 付款条件说明： 签订合同后，乙方出具相应金额发票（普票或专票）后 ，达到付款条件起 12 日内，支付合同总金额的 40.00%。</w:t>
      </w:r>
    </w:p>
    <w:p w14:paraId="65EF8E3C">
      <w:pPr>
        <w:pStyle w:val="5"/>
        <w:ind w:firstLine="1200"/>
      </w:pPr>
      <w:r>
        <w:rPr>
          <w:rFonts w:ascii="仿宋_GB2312" w:hAnsi="仿宋_GB2312" w:eastAsia="仿宋_GB2312" w:cs="仿宋_GB2312"/>
        </w:rPr>
        <w:t>2、 付款条件说明： 项目经甲方验收合格后，乙方出具相应金额发票（普票或专票）后 ，达到付款条件起 12 日内，支付合同总金额的 60.00%。</w:t>
      </w:r>
    </w:p>
    <w:p w14:paraId="5E9A160E">
      <w:pPr>
        <w:pStyle w:val="5"/>
        <w:ind w:firstLine="840"/>
      </w:pPr>
      <w:r>
        <w:rPr>
          <w:rFonts w:ascii="仿宋_GB2312" w:hAnsi="仿宋_GB2312" w:eastAsia="仿宋_GB2312" w:cs="仿宋_GB2312"/>
        </w:rPr>
        <w:t>8）验收交付标准和方法：按照技术参数要求和国家标准规范进行验收，按照采购人相关规则制度验收。</w:t>
      </w:r>
    </w:p>
    <w:p w14:paraId="1982100B">
      <w:pPr>
        <w:pStyle w:val="5"/>
        <w:ind w:firstLine="840"/>
      </w:pPr>
      <w:r>
        <w:rPr>
          <w:rFonts w:ascii="仿宋_GB2312" w:hAnsi="仿宋_GB2312" w:eastAsia="仿宋_GB2312" w:cs="仿宋_GB2312"/>
        </w:rPr>
        <w:t>9）质量保修范围和保修期：质量保修范围：所有科研系统 保修期：自项目验收合格后,供应商提供 三年免费保修服务。</w:t>
      </w:r>
    </w:p>
    <w:p w14:paraId="577DC6E5">
      <w:pPr>
        <w:pStyle w:val="5"/>
        <w:ind w:firstLine="840"/>
      </w:pPr>
      <w:r>
        <w:rPr>
          <w:rFonts w:ascii="仿宋_GB2312" w:hAnsi="仿宋_GB2312" w:eastAsia="仿宋_GB2312" w:cs="仿宋_GB2312"/>
        </w:rPr>
        <w:t>10）知识产权归属和处理方式：软件的知识产权归中标方所有，采购人最终用户对软件有永久使用权</w:t>
      </w:r>
    </w:p>
    <w:p w14:paraId="0DCE8945">
      <w:pPr>
        <w:pStyle w:val="5"/>
        <w:ind w:firstLine="840"/>
      </w:pPr>
      <w:r>
        <w:rPr>
          <w:rFonts w:ascii="仿宋_GB2312" w:hAnsi="仿宋_GB2312" w:eastAsia="仿宋_GB2312" w:cs="仿宋_GB2312"/>
        </w:rPr>
        <w:t>11）成本补偿和风险分担约定：本项目无成本补偿和风险分担约定，潜在供应商应结合本项目特征，充分考虑。</w:t>
      </w:r>
    </w:p>
    <w:p w14:paraId="26F22F67">
      <w:pPr>
        <w:pStyle w:val="5"/>
        <w:ind w:firstLine="840"/>
      </w:pPr>
      <w:r>
        <w:rPr>
          <w:rFonts w:ascii="仿宋_GB2312" w:hAnsi="仿宋_GB2312" w:eastAsia="仿宋_GB2312" w:cs="仿宋_GB2312"/>
        </w:rPr>
        <w:t>12）违约责任与解决争议的方法：在履行合同过程中发生争议的，双方应进行友好协商。若协商后仍不能达成协议可向甲方所在地人民法院起诉。</w:t>
      </w:r>
    </w:p>
    <w:p w14:paraId="7DCD6012">
      <w:pPr>
        <w:pStyle w:val="5"/>
        <w:ind w:firstLine="840"/>
      </w:pPr>
      <w:r>
        <w:rPr>
          <w:rFonts w:ascii="仿宋_GB2312" w:hAnsi="仿宋_GB2312" w:eastAsia="仿宋_GB2312" w:cs="仿宋_GB2312"/>
        </w:rPr>
        <w:t>13）合同其他条款：详见合同</w:t>
      </w:r>
    </w:p>
    <w:p w14:paraId="71A380A6">
      <w:pPr>
        <w:pStyle w:val="5"/>
      </w:pPr>
      <w:r>
        <w:rPr>
          <w:rFonts w:ascii="仿宋_GB2312" w:hAnsi="仿宋_GB2312" w:eastAsia="仿宋_GB2312" w:cs="仿宋_GB2312"/>
        </w:rPr>
        <w:t>11、履约验收方案</w:t>
      </w:r>
    </w:p>
    <w:p w14:paraId="7C847745">
      <w:pPr>
        <w:pStyle w:val="5"/>
        <w:ind w:firstLine="840"/>
      </w:pPr>
      <w:r>
        <w:rPr>
          <w:rFonts w:ascii="仿宋_GB2312" w:hAnsi="仿宋_GB2312" w:eastAsia="仿宋_GB2312" w:cs="仿宋_GB2312"/>
        </w:rPr>
        <w:t>1）验收组织方式：自行验收</w:t>
      </w:r>
    </w:p>
    <w:p w14:paraId="4DCE1DA7">
      <w:pPr>
        <w:pStyle w:val="5"/>
        <w:ind w:firstLine="840"/>
      </w:pPr>
      <w:r>
        <w:rPr>
          <w:rFonts w:ascii="仿宋_GB2312" w:hAnsi="仿宋_GB2312" w:eastAsia="仿宋_GB2312" w:cs="仿宋_GB2312"/>
        </w:rPr>
        <w:t>2）是否邀请本项目的其他供应商：否</w:t>
      </w:r>
    </w:p>
    <w:p w14:paraId="2B78578D">
      <w:pPr>
        <w:pStyle w:val="5"/>
        <w:ind w:firstLine="840"/>
      </w:pPr>
      <w:r>
        <w:rPr>
          <w:rFonts w:ascii="仿宋_GB2312" w:hAnsi="仿宋_GB2312" w:eastAsia="仿宋_GB2312" w:cs="仿宋_GB2312"/>
        </w:rPr>
        <w:t>3）是否邀请专家：否</w:t>
      </w:r>
    </w:p>
    <w:p w14:paraId="2FD88496">
      <w:pPr>
        <w:pStyle w:val="5"/>
        <w:ind w:firstLine="840"/>
      </w:pPr>
      <w:r>
        <w:rPr>
          <w:rFonts w:ascii="仿宋_GB2312" w:hAnsi="仿宋_GB2312" w:eastAsia="仿宋_GB2312" w:cs="仿宋_GB2312"/>
        </w:rPr>
        <w:t>4）是否邀请服务对象：是</w:t>
      </w:r>
    </w:p>
    <w:p w14:paraId="29DE2E17">
      <w:pPr>
        <w:pStyle w:val="5"/>
        <w:ind w:firstLine="840"/>
      </w:pPr>
      <w:r>
        <w:rPr>
          <w:rFonts w:ascii="仿宋_GB2312" w:hAnsi="仿宋_GB2312" w:eastAsia="仿宋_GB2312" w:cs="仿宋_GB2312"/>
        </w:rPr>
        <w:t>5）是否邀请第三方检测机构：否</w:t>
      </w:r>
    </w:p>
    <w:p w14:paraId="56E964DE">
      <w:pPr>
        <w:pStyle w:val="5"/>
        <w:ind w:firstLine="840"/>
      </w:pPr>
      <w:r>
        <w:rPr>
          <w:rFonts w:ascii="仿宋_GB2312" w:hAnsi="仿宋_GB2312" w:eastAsia="仿宋_GB2312" w:cs="仿宋_GB2312"/>
        </w:rPr>
        <w:t>6）履约验收程序：一次性验收</w:t>
      </w:r>
    </w:p>
    <w:p w14:paraId="2A4C7D17">
      <w:pPr>
        <w:pStyle w:val="5"/>
        <w:ind w:firstLine="840"/>
      </w:pPr>
      <w:r>
        <w:rPr>
          <w:rFonts w:ascii="仿宋_GB2312" w:hAnsi="仿宋_GB2312" w:eastAsia="仿宋_GB2312" w:cs="仿宋_GB2312"/>
        </w:rPr>
        <w:t>7）履约验收时间：</w:t>
      </w:r>
    </w:p>
    <w:p w14:paraId="3B59E14D">
      <w:pPr>
        <w:pStyle w:val="5"/>
      </w:pPr>
      <w:r>
        <w:rPr>
          <w:rFonts w:ascii="仿宋_GB2312" w:hAnsi="仿宋_GB2312" w:eastAsia="仿宋_GB2312" w:cs="仿宋_GB2312"/>
        </w:rPr>
        <w:t>供应商提出验收申请之日起15日内组织验收</w:t>
      </w:r>
    </w:p>
    <w:p w14:paraId="477A390B">
      <w:pPr>
        <w:pStyle w:val="5"/>
        <w:ind w:firstLine="840"/>
      </w:pPr>
      <w:r>
        <w:rPr>
          <w:rFonts w:ascii="仿宋_GB2312" w:hAnsi="仿宋_GB2312" w:eastAsia="仿宋_GB2312" w:cs="仿宋_GB2312"/>
        </w:rPr>
        <w:t>8）验收组织的其他事项： 投标人提供的服务必须符合国家标准和行业标准。投标人承诺的技术、服务条款必须与投标时提供的完全一致，不存在任何偏差。如出现不一致，投标人将承担违约责任。根据学校需要，面向系统管理员、科研业务主管、科研秘书、科研人员提供不少于三次的线下系统培训和多次的线上视频培训，同时需提供针对不同角色的培训文档并进行定期更新。</w:t>
      </w:r>
    </w:p>
    <w:p w14:paraId="0B4D0545">
      <w:pPr>
        <w:pStyle w:val="5"/>
        <w:ind w:firstLine="840"/>
      </w:pPr>
      <w:r>
        <w:rPr>
          <w:rFonts w:ascii="仿宋_GB2312" w:hAnsi="仿宋_GB2312" w:eastAsia="仿宋_GB2312" w:cs="仿宋_GB2312"/>
        </w:rPr>
        <w:t>9）技术履约验收内容： 完成本次项目所有内容的正常交付上线，在本期项目的开发过程中和交付使用后，要求将各个阶段产生的全面、规范的成果和文档资料交付给采购方，成果和文档资料必须符合软件工程的相关要求。</w:t>
      </w:r>
    </w:p>
    <w:p w14:paraId="0CC88433">
      <w:pPr>
        <w:pStyle w:val="5"/>
        <w:ind w:firstLine="840"/>
      </w:pPr>
      <w:r>
        <w:rPr>
          <w:rFonts w:ascii="仿宋_GB2312" w:hAnsi="仿宋_GB2312" w:eastAsia="仿宋_GB2312" w:cs="仿宋_GB2312"/>
        </w:rPr>
        <w:t>10）商务履约验收内容：在合同签订后180天内完成系统部署、开发、调试上线。</w:t>
      </w:r>
    </w:p>
    <w:p w14:paraId="1BEE89B4">
      <w:pPr>
        <w:pStyle w:val="5"/>
        <w:ind w:firstLine="840"/>
      </w:pPr>
      <w:r>
        <w:rPr>
          <w:rFonts w:ascii="仿宋_GB2312" w:hAnsi="仿宋_GB2312" w:eastAsia="仿宋_GB2312" w:cs="仿宋_GB2312"/>
        </w:rPr>
        <w:t>11）履约验收标准：以合同约定、招标文件、投标文件、国家相关行业标准及乙方提供的技术参数说明书为准。</w:t>
      </w:r>
    </w:p>
    <w:p w14:paraId="655E28C0">
      <w:pPr>
        <w:pStyle w:val="5"/>
        <w:ind w:firstLine="840"/>
      </w:pPr>
      <w:r>
        <w:rPr>
          <w:rFonts w:ascii="仿宋_GB2312" w:hAnsi="仿宋_GB2312" w:eastAsia="仿宋_GB2312" w:cs="仿宋_GB2312"/>
        </w:rPr>
        <w:t>12）履约验收其他事项：依据为合同文本、招标文件、投标文件以及现行的国家标准或国家行政部门颁布的法律法规、规章制度等。</w:t>
      </w:r>
    </w:p>
    <w:p w14:paraId="41FA0AD2">
      <w:pPr>
        <w:pStyle w:val="5"/>
        <w:outlineLvl w:val="2"/>
      </w:pPr>
      <w:r>
        <w:rPr>
          <w:rFonts w:ascii="仿宋_GB2312" w:hAnsi="仿宋_GB2312" w:eastAsia="仿宋_GB2312" w:cs="仿宋_GB2312"/>
          <w:b/>
          <w:sz w:val="28"/>
        </w:rPr>
        <w:t>五、风险控制措施和替代方案</w:t>
      </w:r>
    </w:p>
    <w:p w14:paraId="02F299EE">
      <w:pPr>
        <w:pStyle w:val="5"/>
        <w:ind w:firstLine="840"/>
      </w:pPr>
      <w:r>
        <w:rPr>
          <w:rFonts w:ascii="仿宋_GB2312" w:hAnsi="仿宋_GB2312" w:eastAsia="仿宋_GB2312" w:cs="仿宋_GB2312"/>
        </w:rPr>
        <w:t>该采购项目按照《政府采购需求管理办法》第二十五条规定，本项目是否需要组织风险判断、提出处置措施和替代方案：否</w:t>
      </w:r>
    </w:p>
    <w:p w14:paraId="29EF09D5">
      <w:pPr>
        <w:pStyle w:val="5"/>
      </w:pPr>
    </w:p>
    <w:p w14:paraId="39714AA8">
      <w:pPr>
        <w:pStyle w:val="5"/>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E5C3733"/>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2113</Words>
  <Characters>2228</Characters>
  <Lines>0</Lines>
  <Paragraphs>0</Paragraphs>
  <TotalTime>0</TotalTime>
  <ScaleCrop>false</ScaleCrop>
  <LinksUpToDate>false</LinksUpToDate>
  <CharactersWithSpaces>2256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快乐猫</cp:lastModifiedBy>
  <dcterms:modified xsi:type="dcterms:W3CDTF">2026-06-03T07:40:12Z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76ABCE2D734D43C7A5F719CD40AD2499_12</vt:lpwstr>
  </property>
</Properties>
</file>