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版本号：SXLX26-02-072Z(F)20260608001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西安市长安区人民法院诉讼服务中心租赁项目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SXLX26-02-072Z(F)</w:t>
      </w:r>
      <w:r>
        <w:br/>
      </w:r>
      <w:r>
        <w:br/>
      </w:r>
      <w:r>
        <w:br/>
      </w:r>
    </w:p>
    <w:p>
      <w:pPr>
        <w:pStyle w:val="null3"/>
        <w:jc w:val="center"/>
        <w:outlineLvl w:val="5"/>
      </w:pPr>
      <w:r>
        <w:rPr>
          <w:rFonts w:ascii="仿宋_GB2312" w:hAnsi="仿宋_GB2312" w:cs="仿宋_GB2312" w:eastAsia="仿宋_GB2312"/>
          <w:sz w:val="15"/>
          <w:b/>
        </w:rPr>
        <w:t>西安市长安区人民法院[160]</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西安市长安区人民法院诉讼服务中心租赁项目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SXLX26-02-072Z(F)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西安市长安区人民法院诉讼服务中心租赁项目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本项目为西安市长安区人民法院诉讼服务中心租赁项目，房屋坐落于陕西省西安市长安区西长安街141号绿园十字西北角商业楼 ，一层、二层建筑面积共计850平方米，具体内容详见协商文件第三章“采购项目技术、服务、商务及其他要求”。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采购包1：887,400.00元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采购包1：887,400.00元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按照采购人要求完成项目服务内容及项目交付，并达到采购人验收要求。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本项目为西安市长安区人民法院诉讼服务中心租赁项目，房屋坐落于陕西省西安市长安区西长安街141号绿园十字西北角商业楼 ，一层、二层建筑面积共计850平方米。</w:t>
      </w:r>
      <w:r>
        <w:rPr>
          <w:rFonts w:ascii="仿宋_GB2312" w:hAnsi="仿宋_GB2312" w:cs="仿宋_GB2312" w:eastAsia="仿宋_GB2312"/>
          <w:sz w:val="21"/>
          <w:b/>
          <w:color w:val="000000"/>
        </w:rPr>
        <w:t>本项目所属行业为物业管理。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hAnsi="仿宋_GB2312" w:cs="仿宋_GB2312" w:eastAsia="仿宋_GB2312"/>
          <w:sz w:val="21"/>
          <w:color w:val="000000"/>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887,400.00</w:t>
      </w:r>
    </w:p>
    <w:p>
      <w:pPr>
        <w:pStyle w:val="null3"/>
      </w:pPr>
      <w:r>
        <w:rPr>
          <w:rFonts w:ascii="仿宋_GB2312" w:hAnsi="仿宋_GB2312" w:cs="仿宋_GB2312" w:eastAsia="仿宋_GB2312"/>
        </w:rPr>
        <w:t>采购包最高限价（元）: 887,400.00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诉讼服务中心租赁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887,400.00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1.技术条款（服务内容）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1）供应商负责房屋主体结构与框架的维修，不包含采购人装修部分。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2）供应商负责协调租赁房屋周边相关事宜。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3）供应商提供的办公场所无产权纠纷，办公场所面积应满足所需面积。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供应商需按房屋设计将水、照明用电、消防、烟感报警等设施安装到位；供水、供电、供气等基础设施配套齐全；保证日常及节假日的供电、供水、排污、排水及卫生设施处于适用状态，满足采购人日常办公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提供标准用水、用电，按规范提供生活垃圾处理（甲方需承担相应的垃圾清运费用）等物业服务。租赁期间供应商应对出租房屋内部（涉及物业公司应管理的事项及应属供应商负责的）外部有关设施进行定期检查，出现问题及时维修，保证租赁期内上下水、照明线路等各类设施的正常使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6）房屋在出租前，符合国家关于建筑、治安、室内空气质量等安全规定和标准。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7）房屋及其附属设施在交付采购人时处于正常、安全可使用状态。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8）供应商负责出租房屋正常使用时的主体结构和出租房屋以外的用电线路等各类设施的维修保养。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9）租赁期内如遇房屋拆迁，供应商应提前三个月通知采购人。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10）接受项目行业管理部门及政府有关部门的指导，接受采购人监督。</w:t>
            </w:r>
          </w:p>
          <w:p>
            <w:pPr>
              <w:pStyle w:val="null3"/>
              <w:jc w:val="both"/>
            </w:pPr>
            <w:r>
              <w:rPr>
                <w:rFonts w:ascii="仿宋_GB2312" w:hAnsi="仿宋_GB2312" w:cs="仿宋_GB2312" w:eastAsia="仿宋_GB2312"/>
                <w:sz w:val="21"/>
                <w:b/>
                <w:color w:val="000000"/>
              </w:rPr>
              <w:t>2.商务条款</w:t>
            </w:r>
          </w:p>
          <w:p>
            <w:pPr>
              <w:pStyle w:val="null3"/>
              <w:ind w:firstLine="420"/>
              <w:jc w:val="both"/>
            </w:pPr>
            <w:r>
              <w:rPr>
                <w:rFonts w:ascii="仿宋_GB2312" w:hAnsi="仿宋_GB2312" w:cs="仿宋_GB2312" w:eastAsia="仿宋_GB2312"/>
                <w:sz w:val="21"/>
                <w:color w:val="000000"/>
              </w:rPr>
              <w:t>详见采购文件</w:t>
            </w:r>
            <w:r>
              <w:rPr>
                <w:rFonts w:ascii="仿宋_GB2312" w:hAnsi="仿宋_GB2312" w:cs="仿宋_GB2312" w:eastAsia="仿宋_GB2312"/>
                <w:sz w:val="21"/>
                <w:color w:val="000000"/>
              </w:rPr>
              <w:t>3.3商务要求。</w:t>
            </w:r>
          </w:p>
          <w:p>
            <w:pPr>
              <w:pStyle w:val="null3"/>
              <w:jc w:val="both"/>
            </w:pPr>
            <w:r>
              <w:rPr>
                <w:rFonts w:ascii="仿宋_GB2312" w:hAnsi="仿宋_GB2312" w:cs="仿宋_GB2312" w:eastAsia="仿宋_GB2312"/>
                <w:sz w:val="21"/>
                <w:b/>
                <w:color w:val="000000"/>
              </w:rPr>
              <w:t>3.服务、产品（如有）执行的标准、规范：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w:t>
            </w:r>
          </w:p>
          <w:p>
            <w:pPr>
              <w:pStyle w:val="null3"/>
              <w:jc w:val="both"/>
            </w:pPr>
            <w:r>
              <w:rPr>
                <w:rFonts w:ascii="仿宋_GB2312" w:hAnsi="仿宋_GB2312" w:cs="仿宋_GB2312" w:eastAsia="仿宋_GB2312"/>
                <w:sz w:val="21"/>
                <w:b/>
                <w:color w:val="000000"/>
              </w:rPr>
              <w:t>4.本章第3条款未明确服务（产品）执行标准、规范的，按下列方法进行选择：</w:t>
            </w:r>
          </w:p>
          <w:p>
            <w:pPr>
              <w:pStyle w:val="null3"/>
              <w:ind w:firstLine="350"/>
              <w:jc w:val="both"/>
            </w:pPr>
            <w:r>
              <w:rPr>
                <w:rFonts w:ascii="仿宋_GB2312" w:hAnsi="仿宋_GB2312" w:cs="仿宋_GB2312" w:eastAsia="仿宋_GB2312"/>
                <w:sz w:val="21"/>
                <w:color w:val="000000"/>
              </w:rPr>
              <w:t>□顺序执行：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color w:val="000000"/>
              </w:rPr>
              <w:t>□最高标准执行：国家标准，行业标准，地方标准，团体标准，企业标准（哪个标准高执行哪个标准）</w:t>
            </w:r>
          </w:p>
          <w:p>
            <w:pPr>
              <w:pStyle w:val="null3"/>
            </w:pPr>
            <w:r>
              <w:rPr>
                <w:rFonts w:ascii="仿宋_GB2312" w:hAnsi="仿宋_GB2312" w:cs="仿宋_GB2312" w:eastAsia="仿宋_GB2312"/>
                <w:sz w:val="21"/>
                <w:color w:val="000000"/>
              </w:rPr>
              <w:t>☑必须执行：国家（行业）强制性标准。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按项目服务要求及特性，自行组织实施与管理，相关人员经过严格培训，能够胜任项目工作，保证房屋租赁期间房屋条件满足日常办公活动需求。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根据项目特性，自行配置有利于完成本项目服务的各类设施设备（不限于水、电、气配套设施、专业设备、辅助设备等），保证房屋租赁期间房屋条件满足日常办公活动需求。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该房屋租赁期限2026年7月1日起至2027年6月30日止。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陕西省西安市长安区西长安街141号绿园十字西北角商业楼。</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进度款，自合同生效之日起，达到付款条件起20个工作日内，支付合同总金额的100.0%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按照采购人要求完成项目服务内容及项目交付，并达到采购人验收要求。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报价是供应商响应本项目要求的全部工作内容的价格体现，包括供应商完成本项目所需的直接费、间接费、利润、税金及其他相关的一切费用。包括但不限于：房租、人工费、设备费、管理费、验收费、采购代理服务费、利润和税金等全部费用。在提供服务的过程中的任何遗漏，均由成交供应商免费提供，采购人将不再支付任何费用。 三、协商有效期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四、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六、签名是指手写签名或者加盖名章(含电子签名或电子印章)，盖章是指加盖单位印章。 七、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参加本次协商前3年内，在经营活动中没有重大违法记录的书面声明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报价明显不合理，影响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