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6F24">
      <w:pPr>
        <w:pStyle w:val="4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技术响应与偏离表</w:t>
      </w:r>
    </w:p>
    <w:p w14:paraId="2227820F">
      <w:pPr>
        <w:pStyle w:val="4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990"/>
        <w:gridCol w:w="1916"/>
        <w:gridCol w:w="1430"/>
        <w:gridCol w:w="941"/>
        <w:gridCol w:w="941"/>
      </w:tblGrid>
      <w:tr w14:paraId="19CE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626F543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167" w:type="pct"/>
            <w:noWrap w:val="0"/>
            <w:vAlign w:val="center"/>
          </w:tcPr>
          <w:p w14:paraId="0685D7D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124" w:type="pct"/>
            <w:noWrap w:val="0"/>
            <w:vAlign w:val="center"/>
          </w:tcPr>
          <w:p w14:paraId="2FA1C7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839" w:type="pct"/>
            <w:noWrap w:val="0"/>
            <w:vAlign w:val="center"/>
          </w:tcPr>
          <w:p w14:paraId="5246220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552" w:type="pct"/>
            <w:noWrap w:val="0"/>
            <w:vAlign w:val="center"/>
          </w:tcPr>
          <w:p w14:paraId="249C9AC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52" w:type="pct"/>
            <w:noWrap w:val="0"/>
            <w:vAlign w:val="center"/>
          </w:tcPr>
          <w:p w14:paraId="7B91726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407A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78E697B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67" w:type="pct"/>
            <w:noWrap w:val="0"/>
            <w:vAlign w:val="center"/>
          </w:tcPr>
          <w:p w14:paraId="321EBA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1BA4E2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6F24B1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10D1C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3AE2A9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4EE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A07936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67" w:type="pct"/>
            <w:noWrap w:val="0"/>
            <w:vAlign w:val="center"/>
          </w:tcPr>
          <w:p w14:paraId="214F14C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2FAAE5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02EC1D3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E61606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8DCFF5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86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350D6B8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67" w:type="pct"/>
            <w:noWrap w:val="0"/>
            <w:vAlign w:val="center"/>
          </w:tcPr>
          <w:p w14:paraId="499A500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231890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158422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66945E4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0C264D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B85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290747D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67" w:type="pct"/>
            <w:noWrap w:val="0"/>
            <w:vAlign w:val="center"/>
          </w:tcPr>
          <w:p w14:paraId="4434144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E6F74C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14208F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A073F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44832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E26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173C60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67" w:type="pct"/>
            <w:noWrap w:val="0"/>
            <w:vAlign w:val="center"/>
          </w:tcPr>
          <w:p w14:paraId="5732970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5CE0613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133D83E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F6F60A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527065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8C7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82F4EB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167" w:type="pct"/>
            <w:noWrap w:val="0"/>
            <w:vAlign w:val="center"/>
          </w:tcPr>
          <w:p w14:paraId="4B45CD4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76C7F1E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80410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55C68C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D14743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617F2589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bookmarkStart w:id="0" w:name="_GoBack"/>
      <w:bookmarkEnd w:id="0"/>
    </w:p>
    <w:p w14:paraId="1EC047B4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填写谈判文件第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highlight w:val="none"/>
        </w:rPr>
        <w:t>章 3.3技术要求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“技术参数与性能指标”的内容；</w:t>
      </w:r>
    </w:p>
    <w:p w14:paraId="45E2DE39">
      <w:pPr>
        <w:spacing w:line="360" w:lineRule="auto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提供佐证材料的，在说明一栏标注页码；</w:t>
      </w:r>
    </w:p>
    <w:p w14:paraId="543570D4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15081BF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应完整响应技术要求，并逐条填写《技术响应与偏离表》，如有漏项或缺项，将被视为未实质性满足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无效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处理。</w:t>
      </w:r>
    </w:p>
    <w:p w14:paraId="2AE81705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小组判定不一致时</w:t>
      </w:r>
      <w:r>
        <w:rPr>
          <w:rFonts w:hint="eastAsia" w:ascii="仿宋" w:hAnsi="仿宋" w:eastAsia="仿宋" w:cs="仿宋"/>
          <w:b/>
          <w:sz w:val="24"/>
          <w:highlight w:val="none"/>
        </w:rPr>
        <w:t>，以</w:t>
      </w: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b/>
          <w:sz w:val="24"/>
          <w:highlight w:val="none"/>
        </w:rPr>
        <w:t>小组意见为主。</w:t>
      </w:r>
    </w:p>
    <w:p w14:paraId="770D7348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342D8BA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069B976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124CC8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5292BACB">
      <w:r>
        <w:br w:type="page"/>
      </w:r>
    </w:p>
    <w:p w14:paraId="01763DFE">
      <w:pPr>
        <w:pStyle w:val="2"/>
      </w:pPr>
      <w:r>
        <w:rPr>
          <w:rFonts w:hint="eastAsia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A806F5"/>
    <w:rsid w:val="34CB3B68"/>
    <w:rsid w:val="396823B0"/>
    <w:rsid w:val="53CC692A"/>
    <w:rsid w:val="6B3D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370</Characters>
  <Lines>0</Lines>
  <Paragraphs>0</Paragraphs>
  <TotalTime>1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puppet</cp:lastModifiedBy>
  <dcterms:modified xsi:type="dcterms:W3CDTF">2026-04-30T06:33:30Z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