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1DC96">
      <w:pPr>
        <w:rPr>
          <w:rFonts w:hint="eastAsia" w:eastAsia="仿宋"/>
          <w:lang w:val="en-US" w:eastAsia="zh-CN"/>
        </w:rPr>
      </w:pPr>
      <w:r>
        <w:rPr>
          <w:rFonts w:hint="eastAsia"/>
          <w:lang w:val="en-US" w:eastAsia="zh-CN"/>
        </w:rPr>
        <w:t>供应商自拟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  <w:ind w:firstLine="560"/>
      </w:pPr>
      <w:r>
        <w:separator/>
      </w:r>
    </w:p>
  </w:footnote>
  <w:footnote w:type="continuationSeparator" w:id="1">
    <w:p>
      <w:pPr>
        <w:spacing w:line="324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4F4C53B5"/>
    <w:rsid w:val="578318F4"/>
    <w:rsid w:val="62F04E50"/>
    <w:rsid w:val="688E376F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ind w:firstLine="562" w:firstLineChars="200"/>
      <w:jc w:val="left"/>
    </w:pPr>
    <w:rPr>
      <w:rFonts w:ascii="仿宋" w:hAnsi="仿宋" w:eastAsia="仿宋" w:cs="仿宋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6"/>
    <w:link w:val="12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iPriority w:val="0"/>
    <w:pPr>
      <w:ind w:firstLine="420" w:firstLineChars="200"/>
    </w:p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138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2026-04-30T06:35:26Z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