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版本号：GCZB2026-04-046-W.1B120260710001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TEE可信执行环境实验设备(二次)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GCZB2026-04-046-W.1B1</w:t>
      </w:r>
      <w:r>
        <w:br/>
      </w:r>
      <w:r>
        <w:br/>
      </w:r>
      <w:r>
        <w:br/>
      </w:r>
    </w:p>
    <w:p>
      <w:pPr>
        <w:pStyle w:val="null3"/>
        <w:jc w:val="center"/>
        <w:outlineLvl w:val="2"/>
      </w:pPr>
      <w:r>
        <w:rPr>
          <w:rFonts w:ascii="仿宋_GB2312" w:hAnsi="仿宋_GB2312" w:cs="仿宋_GB2312" w:eastAsia="仿宋_GB2312"/>
          <w:sz w:val="28"/>
          <w:b/>
        </w:rPr>
        <w:t>西安工业大学</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西安工业大学</w:t>
      </w:r>
      <w:r>
        <w:rPr>
          <w:rFonts w:ascii="仿宋_GB2312" w:hAnsi="仿宋_GB2312" w:cs="仿宋_GB2312" w:eastAsia="仿宋_GB2312"/>
        </w:rPr>
        <w:t>委托，拟对</w:t>
      </w:r>
      <w:r>
        <w:rPr>
          <w:rFonts w:ascii="仿宋_GB2312" w:hAnsi="仿宋_GB2312" w:cs="仿宋_GB2312" w:eastAsia="仿宋_GB2312"/>
        </w:rPr>
        <w:t>TEE可信执行环境实验设备(二次)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GCZB2026-04-046-W.1B1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TEE可信执行环境实验设备(二次)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TEE可信执行环境实验设备，具体内容详见招标文件。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2、财务状况报告：提供经审计的完整的2024年度或2025年度的财务报告或提交投标文件截止时间前六个月内其基本账户开户银行出具的资信证明；其他组织和自然人提供银行出具的资信证明或财务报表；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西安工业大学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西安市未央区学府中路2号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029-86173168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王璐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029-88899363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代理服务费收费标准：委托代理项目成交价小于50万元以内的委托代理项目，代理服务费定额3000元（人民币）；</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西安工业大学</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西安工业大学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西安工业大学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联系电话：029-88899363</w:t>
      </w:r>
    </w:p>
    <w:p>
      <w:pPr>
        <w:pStyle w:val="null3"/>
      </w:pPr>
      <w:r>
        <w:rPr>
          <w:rFonts w:ascii="仿宋_GB2312" w:hAnsi="仿宋_GB2312" w:cs="仿宋_GB2312" w:eastAsia="仿宋_GB2312"/>
        </w:rPr>
        <w:t>地址：西安市莲湖区高新一路正信大厦A座24楼（2290417378@qq.com）</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TEE可信执行环境实验设备，具体内容详见技术参数要求。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TEE 可信执行环境实验设备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标的名称：TEE 可信执行环境实验设备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76"/>
              <w:gridCol w:w="319"/>
              <w:gridCol w:w="2045"/>
            </w:tblGrid>
            <w:tr>
              <w:tc>
                <w:tcPr>
                  <w:tcW w:type="dxa" w:w="1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设备名称</w:t>
                  </w:r>
                </w:p>
              </w:tc>
              <w:tc>
                <w:tcPr>
                  <w:tcW w:type="dxa" w:w="20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技术指标要求</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TEE 可信执行环境实验设备</w:t>
                  </w:r>
                  <w:r>
                    <w:rPr>
                      <w:rFonts w:ascii="仿宋_GB2312" w:hAnsi="仿宋_GB2312" w:cs="仿宋_GB2312" w:eastAsia="仿宋_GB2312"/>
                      <w:sz w:val="19"/>
                      <w:shd w:fill="FFFF00" w:val="clear"/>
                    </w:rPr>
                    <w:t>（</w:t>
                  </w:r>
                  <w:r>
                    <w:rPr>
                      <w:rFonts w:ascii="仿宋_GB2312" w:hAnsi="仿宋_GB2312" w:cs="仿宋_GB2312" w:eastAsia="仿宋_GB2312"/>
                      <w:sz w:val="19"/>
                      <w:shd w:fill="FFFF00" w:val="clear"/>
                    </w:rPr>
                    <w:t>核心产品</w:t>
                  </w:r>
                  <w:r>
                    <w:rPr>
                      <w:rFonts w:ascii="仿宋_GB2312" w:hAnsi="仿宋_GB2312" w:cs="仿宋_GB2312" w:eastAsia="仿宋_GB2312"/>
                      <w:sz w:val="19"/>
                      <w:shd w:fill="FFFF00" w:val="clear"/>
                    </w:rPr>
                    <w:t>）</w:t>
                  </w:r>
                </w:p>
              </w:tc>
              <w:tc>
                <w:tcPr>
                  <w:tcW w:type="dxa" w:w="2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 嵌入式开发系统</w:t>
                  </w:r>
                </w:p>
                <w:p>
                  <w:pPr>
                    <w:pStyle w:val="null3"/>
                  </w:pPr>
                  <w:r>
                    <w:rPr>
                      <w:rFonts w:ascii="仿宋_GB2312" w:hAnsi="仿宋_GB2312" w:cs="仿宋_GB2312" w:eastAsia="仿宋_GB2312"/>
                      <w:sz w:val="19"/>
                    </w:rPr>
                    <w:t>提供基于国产芯片的</w:t>
                  </w:r>
                  <w:r>
                    <w:rPr>
                      <w:rFonts w:ascii="仿宋_GB2312" w:hAnsi="仿宋_GB2312" w:cs="仿宋_GB2312" w:eastAsia="仿宋_GB2312"/>
                      <w:sz w:val="19"/>
                    </w:rPr>
                    <w:t>TEE可信执行环境开发系统，满足TEE实验教学。</w:t>
                  </w:r>
                </w:p>
                <w:p>
                  <w:pPr>
                    <w:pStyle w:val="null3"/>
                  </w:pPr>
                  <w:r>
                    <w:rPr>
                      <w:rFonts w:ascii="仿宋_GB2312" w:hAnsi="仿宋_GB2312" w:cs="仿宋_GB2312" w:eastAsia="仿宋_GB2312"/>
                      <w:sz w:val="19"/>
                    </w:rPr>
                    <w:t>2. CPU配置要求</w:t>
                  </w:r>
                </w:p>
                <w:p>
                  <w:pPr>
                    <w:pStyle w:val="null3"/>
                  </w:pPr>
                  <w:r>
                    <w:rPr>
                      <w:rFonts w:ascii="仿宋_GB2312" w:hAnsi="仿宋_GB2312" w:cs="仿宋_GB2312" w:eastAsia="仿宋_GB2312"/>
                      <w:sz w:val="19"/>
                    </w:rPr>
                    <w:t>CPU数量≥1个，单CPU核数≥4核，每核主频≥1.5GHz，每CPU板载64位DDR4内存≥4GB。</w:t>
                  </w:r>
                </w:p>
                <w:p>
                  <w:pPr>
                    <w:pStyle w:val="null3"/>
                  </w:pPr>
                  <w:r>
                    <w:rPr>
                      <w:rFonts w:ascii="仿宋_GB2312" w:hAnsi="仿宋_GB2312" w:cs="仿宋_GB2312" w:eastAsia="仿宋_GB2312"/>
                      <w:sz w:val="19"/>
                    </w:rPr>
                    <w:t>3. TEE可信执行环境（满足技术指标要求1）</w:t>
                  </w:r>
                </w:p>
                <w:p>
                  <w:pPr>
                    <w:pStyle w:val="null3"/>
                  </w:pPr>
                  <w:r>
                    <w:rPr>
                      <w:rFonts w:ascii="仿宋_GB2312" w:hAnsi="仿宋_GB2312" w:cs="仿宋_GB2312" w:eastAsia="仿宋_GB2312"/>
                      <w:sz w:val="19"/>
                    </w:rPr>
                    <w:t>3.1 ▲提供TEE可信执行环境软件著作权复印件和测试机构提供TEE可信执行环境的测试证明（加盖投标单位公章）。</w:t>
                  </w:r>
                </w:p>
                <w:p>
                  <w:pPr>
                    <w:pStyle w:val="null3"/>
                  </w:pPr>
                  <w:r>
                    <w:rPr>
                      <w:rFonts w:ascii="仿宋_GB2312" w:hAnsi="仿宋_GB2312" w:cs="仿宋_GB2312" w:eastAsia="仿宋_GB2312"/>
                      <w:sz w:val="19"/>
                    </w:rPr>
                    <w:t>3.2 提供可开发TEE 安全应用的 SDK 工具包及配套编译工具要求：</w:t>
                  </w:r>
                </w:p>
                <w:p>
                  <w:pPr>
                    <w:pStyle w:val="null3"/>
                  </w:pPr>
                  <w:r>
                    <w:rPr>
                      <w:rFonts w:ascii="仿宋_GB2312" w:hAnsi="仿宋_GB2312" w:cs="仿宋_GB2312" w:eastAsia="仿宋_GB2312"/>
                      <w:sz w:val="19"/>
                    </w:rPr>
                    <w:t>① 展示基于 AES256 算法的 TEE 安全应用示例源码；</w:t>
                  </w:r>
                </w:p>
                <w:p>
                  <w:pPr>
                    <w:pStyle w:val="null3"/>
                  </w:pPr>
                  <w:r>
                    <w:rPr>
                      <w:rFonts w:ascii="仿宋_GB2312" w:hAnsi="仿宋_GB2312" w:cs="仿宋_GB2312" w:eastAsia="仿宋_GB2312"/>
                      <w:sz w:val="19"/>
                    </w:rPr>
                    <w:t>② 现场导入 TEE SDK 依赖库、头文件及安全应用示例源码；</w:t>
                  </w:r>
                </w:p>
                <w:p>
                  <w:pPr>
                    <w:pStyle w:val="null3"/>
                  </w:pPr>
                  <w:r>
                    <w:rPr>
                      <w:rFonts w:ascii="仿宋_GB2312" w:hAnsi="仿宋_GB2312" w:cs="仿宋_GB2312" w:eastAsia="仿宋_GB2312"/>
                      <w:sz w:val="19"/>
                    </w:rPr>
                    <w:t>③ 采用配套交叉编译工具链完成工程编译，生成 TEE 安全应用镜像文件；</w:t>
                  </w:r>
                </w:p>
                <w:p>
                  <w:pPr>
                    <w:pStyle w:val="null3"/>
                  </w:pPr>
                  <w:r>
                    <w:rPr>
                      <w:rFonts w:ascii="仿宋_GB2312" w:hAnsi="仿宋_GB2312" w:cs="仿宋_GB2312" w:eastAsia="仿宋_GB2312"/>
                      <w:sz w:val="19"/>
                    </w:rPr>
                    <w:t>④ 将安全应用镜像部署至目标硬件 TEE 可信执行环境平台；</w:t>
                  </w:r>
                </w:p>
                <w:p>
                  <w:pPr>
                    <w:pStyle w:val="null3"/>
                  </w:pPr>
                  <w:r>
                    <w:rPr>
                      <w:rFonts w:ascii="仿宋_GB2312" w:hAnsi="仿宋_GB2312" w:cs="仿宋_GB2312" w:eastAsia="仿宋_GB2312"/>
                      <w:sz w:val="19"/>
                    </w:rPr>
                    <w:t>⑤ ●现场调取TEE 运行日志，核查应用加载及 AES 加解密全过程日志，核验明文加密、解密还原全过程数据一致性。</w:t>
                  </w:r>
                </w:p>
                <w:p>
                  <w:pPr>
                    <w:pStyle w:val="null3"/>
                  </w:pPr>
                  <w:r>
                    <w:rPr>
                      <w:rFonts w:ascii="仿宋_GB2312" w:hAnsi="仿宋_GB2312" w:cs="仿宋_GB2312" w:eastAsia="仿宋_GB2312"/>
                      <w:sz w:val="19"/>
                    </w:rPr>
                    <w:t>3.3 ▲提供该环境详细使用说明文档。</w:t>
                  </w:r>
                </w:p>
                <w:p>
                  <w:pPr>
                    <w:pStyle w:val="null3"/>
                  </w:pPr>
                  <w:r>
                    <w:rPr>
                      <w:rFonts w:ascii="仿宋_GB2312" w:hAnsi="仿宋_GB2312" w:cs="仿宋_GB2312" w:eastAsia="仿宋_GB2312"/>
                      <w:sz w:val="19"/>
                    </w:rPr>
                    <w:t>3.4 提供TEE可信执行环境教学资料，含教学课件、实验手册、实验例程、教学视频、课后习题，需覆盖以下安全应用，且至少提供1类应用的全套教学资料：</w:t>
                  </w:r>
                </w:p>
                <w:p>
                  <w:pPr>
                    <w:pStyle w:val="null3"/>
                  </w:pPr>
                  <w:r>
                    <w:rPr>
                      <w:rFonts w:ascii="仿宋_GB2312" w:hAnsi="仿宋_GB2312" w:cs="仿宋_GB2312" w:eastAsia="仿宋_GB2312"/>
                      <w:sz w:val="19"/>
                    </w:rPr>
                    <w:t>① ▲安全存储应用：加密存储实验数据，具备隔离能力，不可破解；</w:t>
                  </w:r>
                </w:p>
                <w:p>
                  <w:pPr>
                    <w:pStyle w:val="null3"/>
                  </w:pPr>
                  <w:r>
                    <w:rPr>
                      <w:rFonts w:ascii="仿宋_GB2312" w:hAnsi="仿宋_GB2312" w:cs="仿宋_GB2312" w:eastAsia="仿宋_GB2312"/>
                      <w:sz w:val="19"/>
                    </w:rPr>
                    <w:t>② ▲国密加解密算法应用：支持技术指标要求6的算法，符合国密标准；</w:t>
                  </w:r>
                </w:p>
                <w:p>
                  <w:pPr>
                    <w:pStyle w:val="null3"/>
                  </w:pPr>
                  <w:r>
                    <w:rPr>
                      <w:rFonts w:ascii="仿宋_GB2312" w:hAnsi="仿宋_GB2312" w:cs="仿宋_GB2312" w:eastAsia="仿宋_GB2312"/>
                      <w:sz w:val="19"/>
                    </w:rPr>
                    <w:t>③ ▲国际加解密算法应用：支持技术指标要求6的算法，符合国际标准；</w:t>
                  </w:r>
                </w:p>
                <w:p>
                  <w:pPr>
                    <w:pStyle w:val="null3"/>
                  </w:pPr>
                  <w:r>
                    <w:rPr>
                      <w:rFonts w:ascii="仿宋_GB2312" w:hAnsi="仿宋_GB2312" w:cs="仿宋_GB2312" w:eastAsia="仿宋_GB2312"/>
                      <w:sz w:val="19"/>
                    </w:rPr>
                    <w:t>④ ▲设备认证应用：支持TEE与教学终端双向认证；</w:t>
                  </w:r>
                </w:p>
                <w:p>
                  <w:pPr>
                    <w:pStyle w:val="null3"/>
                  </w:pPr>
                  <w:r>
                    <w:rPr>
                      <w:rFonts w:ascii="仿宋_GB2312" w:hAnsi="仿宋_GB2312" w:cs="仿宋_GB2312" w:eastAsia="仿宋_GB2312"/>
                      <w:sz w:val="19"/>
                    </w:rPr>
                    <w:t>⑤ 密钥管理应用：支持密钥全生命周期管理及密钥的安全存储；</w:t>
                  </w:r>
                </w:p>
                <w:p>
                  <w:pPr>
                    <w:pStyle w:val="null3"/>
                  </w:pPr>
                  <w:r>
                    <w:rPr>
                      <w:rFonts w:ascii="仿宋_GB2312" w:hAnsi="仿宋_GB2312" w:cs="仿宋_GB2312" w:eastAsia="仿宋_GB2312"/>
                      <w:sz w:val="19"/>
                    </w:rPr>
                    <w:t>⑥ 密码解锁应用：TEE保护开机密码，支持密码自定义；</w:t>
                  </w:r>
                </w:p>
                <w:p>
                  <w:pPr>
                    <w:pStyle w:val="null3"/>
                  </w:pPr>
                  <w:r>
                    <w:rPr>
                      <w:rFonts w:ascii="仿宋_GB2312" w:hAnsi="仿宋_GB2312" w:cs="仿宋_GB2312" w:eastAsia="仿宋_GB2312"/>
                      <w:sz w:val="19"/>
                    </w:rPr>
                    <w:t>⑦ 保密柜应用：基于TEE实现，安全保护文件/图片，不可破解；</w:t>
                  </w:r>
                </w:p>
                <w:p>
                  <w:pPr>
                    <w:pStyle w:val="null3"/>
                  </w:pPr>
                  <w:r>
                    <w:rPr>
                      <w:rFonts w:ascii="仿宋_GB2312" w:hAnsi="仿宋_GB2312" w:cs="仿宋_GB2312" w:eastAsia="仿宋_GB2312"/>
                      <w:sz w:val="19"/>
                    </w:rPr>
                    <w:t>⑧ SPI安全驱动应用：支持TEE与SPI安全通信；</w:t>
                  </w:r>
                </w:p>
                <w:p>
                  <w:pPr>
                    <w:pStyle w:val="null3"/>
                  </w:pPr>
                  <w:r>
                    <w:rPr>
                      <w:rFonts w:ascii="仿宋_GB2312" w:hAnsi="仿宋_GB2312" w:cs="仿宋_GB2312" w:eastAsia="仿宋_GB2312"/>
                      <w:sz w:val="19"/>
                    </w:rPr>
                    <w:t>⑨ SE安全芯片应用：支持TEE与SE芯片联动，实现硬件级密钥存储及加解密。</w:t>
                  </w:r>
                </w:p>
                <w:p>
                  <w:pPr>
                    <w:pStyle w:val="null3"/>
                  </w:pPr>
                  <w:r>
                    <w:rPr>
                      <w:rFonts w:ascii="仿宋_GB2312" w:hAnsi="仿宋_GB2312" w:cs="仿宋_GB2312" w:eastAsia="仿宋_GB2312"/>
                      <w:sz w:val="19"/>
                    </w:rPr>
                    <w:t>4. ▲SE安全芯片证书</w:t>
                  </w:r>
                </w:p>
                <w:p>
                  <w:pPr>
                    <w:pStyle w:val="null3"/>
                  </w:pPr>
                  <w:r>
                    <w:rPr>
                      <w:rFonts w:ascii="仿宋_GB2312" w:hAnsi="仿宋_GB2312" w:cs="仿宋_GB2312" w:eastAsia="仿宋_GB2312"/>
                      <w:sz w:val="19"/>
                    </w:rPr>
                    <w:t>提供国家密码管理局颁发的</w:t>
                  </w:r>
                  <w:r>
                    <w:rPr>
                      <w:rFonts w:ascii="仿宋_GB2312" w:hAnsi="仿宋_GB2312" w:cs="仿宋_GB2312" w:eastAsia="仿宋_GB2312"/>
                      <w:sz w:val="19"/>
                    </w:rPr>
                    <w:t>SE安全芯片国密证书（证书复印件）。</w:t>
                  </w:r>
                </w:p>
                <w:p>
                  <w:pPr>
                    <w:pStyle w:val="null3"/>
                  </w:pPr>
                  <w:r>
                    <w:rPr>
                      <w:rFonts w:ascii="仿宋_GB2312" w:hAnsi="仿宋_GB2312" w:cs="仿宋_GB2312" w:eastAsia="仿宋_GB2312"/>
                      <w:sz w:val="19"/>
                    </w:rPr>
                    <w:t>5. 加密算法支持</w:t>
                  </w:r>
                </w:p>
                <w:p>
                  <w:pPr>
                    <w:pStyle w:val="null3"/>
                  </w:pPr>
                  <w:r>
                    <w:rPr>
                      <w:rFonts w:ascii="仿宋_GB2312" w:hAnsi="仿宋_GB2312" w:cs="仿宋_GB2312" w:eastAsia="仿宋_GB2312"/>
                      <w:sz w:val="19"/>
                    </w:rPr>
                    <w:t>实验系统需支持</w:t>
                  </w:r>
                  <w:r>
                    <w:rPr>
                      <w:rFonts w:ascii="仿宋_GB2312" w:hAnsi="仿宋_GB2312" w:cs="仿宋_GB2312" w:eastAsia="仿宋_GB2312"/>
                      <w:sz w:val="19"/>
                    </w:rPr>
                    <w:t>DES、3DES、AES/256、RSA1024、SHA1、SHA256、SM1、SM2、SM3、SM4算法。</w:t>
                  </w:r>
                </w:p>
                <w:p>
                  <w:pPr>
                    <w:pStyle w:val="null3"/>
                  </w:pPr>
                  <w:r>
                    <w:rPr>
                      <w:rFonts w:ascii="仿宋_GB2312" w:hAnsi="仿宋_GB2312" w:cs="仿宋_GB2312" w:eastAsia="仿宋_GB2312"/>
                      <w:sz w:val="19"/>
                    </w:rPr>
                    <w:t>6. 操作系统支持</w:t>
                  </w:r>
                </w:p>
                <w:p>
                  <w:pPr>
                    <w:pStyle w:val="null3"/>
                  </w:pPr>
                  <w:r>
                    <w:rPr>
                      <w:rFonts w:ascii="仿宋_GB2312" w:hAnsi="仿宋_GB2312" w:cs="仿宋_GB2312" w:eastAsia="仿宋_GB2312"/>
                      <w:sz w:val="19"/>
                    </w:rPr>
                    <w:t>支持国产操作系统</w:t>
                  </w:r>
                  <w:r>
                    <w:rPr>
                      <w:rFonts w:ascii="仿宋_GB2312" w:hAnsi="仿宋_GB2312" w:cs="仿宋_GB2312" w:eastAsia="仿宋_GB2312"/>
                      <w:sz w:val="19"/>
                    </w:rPr>
                    <w:t>≥3种（必含OpenKylin、统信OS、OpenHarmony）；支持国外操作系统≥4种（必含Linux、Ubuntu、Armbian、OpenWRT），均能正常运行。</w:t>
                  </w:r>
                </w:p>
                <w:p>
                  <w:pPr>
                    <w:pStyle w:val="null3"/>
                  </w:pPr>
                  <w:r>
                    <w:rPr>
                      <w:rFonts w:ascii="仿宋_GB2312" w:hAnsi="仿宋_GB2312" w:cs="仿宋_GB2312" w:eastAsia="仿宋_GB2312"/>
                      <w:sz w:val="19"/>
                    </w:rPr>
                    <w:t>7. 外设集成</w:t>
                  </w:r>
                </w:p>
                <w:p>
                  <w:pPr>
                    <w:pStyle w:val="null3"/>
                  </w:pPr>
                  <w:r>
                    <w:rPr>
                      <w:rFonts w:ascii="仿宋_GB2312" w:hAnsi="仿宋_GB2312" w:cs="仿宋_GB2312" w:eastAsia="仿宋_GB2312"/>
                      <w:sz w:val="19"/>
                    </w:rPr>
                    <w:t>提供国产嵌入式</w:t>
                  </w:r>
                  <w:r>
                    <w:rPr>
                      <w:rFonts w:ascii="仿宋_GB2312" w:hAnsi="仿宋_GB2312" w:cs="仿宋_GB2312" w:eastAsia="仿宋_GB2312"/>
                      <w:sz w:val="19"/>
                    </w:rPr>
                    <w:t>eSE安全芯片外设、人脸识别摄像头。</w:t>
                  </w:r>
                </w:p>
                <w:p>
                  <w:pPr>
                    <w:pStyle w:val="null3"/>
                  </w:pPr>
                  <w:r>
                    <w:rPr>
                      <w:rFonts w:ascii="仿宋_GB2312" w:hAnsi="仿宋_GB2312" w:cs="仿宋_GB2312" w:eastAsia="仿宋_GB2312"/>
                      <w:sz w:val="19"/>
                    </w:rPr>
                    <w:t>8. 外设接口</w:t>
                  </w:r>
                </w:p>
                <w:p>
                  <w:pPr>
                    <w:pStyle w:val="null3"/>
                  </w:pPr>
                  <w:r>
                    <w:rPr>
                      <w:rFonts w:ascii="仿宋_GB2312" w:hAnsi="仿宋_GB2312" w:cs="仿宋_GB2312" w:eastAsia="仿宋_GB2312"/>
                      <w:sz w:val="19"/>
                    </w:rPr>
                    <w:t>支持外设接口</w:t>
                  </w:r>
                  <w:r>
                    <w:rPr>
                      <w:rFonts w:ascii="仿宋_GB2312" w:hAnsi="仿宋_GB2312" w:cs="仿宋_GB2312" w:eastAsia="仿宋_GB2312"/>
                      <w:sz w:val="19"/>
                    </w:rPr>
                    <w:t>≥7种（必含千兆以太网、USB、UART、CAN、HDMI、音频、miniPCIe），具体要求：</w:t>
                  </w:r>
                </w:p>
                <w:p>
                  <w:pPr>
                    <w:pStyle w:val="null3"/>
                  </w:pPr>
                  <w:r>
                    <w:rPr>
                      <w:rFonts w:ascii="仿宋_GB2312" w:hAnsi="仿宋_GB2312" w:cs="仿宋_GB2312" w:eastAsia="仿宋_GB2312"/>
                      <w:sz w:val="19"/>
                    </w:rPr>
                    <w:t>8.1 千兆以太网：板载≥2路千兆以太网（RJ45）接口；</w:t>
                  </w:r>
                </w:p>
                <w:p>
                  <w:pPr>
                    <w:pStyle w:val="null3"/>
                  </w:pPr>
                  <w:r>
                    <w:rPr>
                      <w:rFonts w:ascii="仿宋_GB2312" w:hAnsi="仿宋_GB2312" w:cs="仿宋_GB2312" w:eastAsia="仿宋_GB2312"/>
                      <w:sz w:val="19"/>
                    </w:rPr>
                    <w:t>8.2 USB接口：板载≥2路USB3.0 Host接口，向下兼容USB2.0设备，可稳定外接U盘、鼠标等常用外设；</w:t>
                  </w:r>
                </w:p>
                <w:p>
                  <w:pPr>
                    <w:pStyle w:val="null3"/>
                  </w:pPr>
                  <w:r>
                    <w:rPr>
                      <w:rFonts w:ascii="仿宋_GB2312" w:hAnsi="仿宋_GB2312" w:cs="仿宋_GB2312" w:eastAsia="仿宋_GB2312"/>
                      <w:sz w:val="19"/>
                    </w:rPr>
                    <w:t>8.3 UART接口：板载≥1路专用调试串口，同时支持≥2路MIO配置为UART模式，可实现日志输出与设备调试；</w:t>
                  </w:r>
                </w:p>
                <w:p>
                  <w:pPr>
                    <w:pStyle w:val="null3"/>
                  </w:pPr>
                  <w:r>
                    <w:rPr>
                      <w:rFonts w:ascii="仿宋_GB2312" w:hAnsi="仿宋_GB2312" w:cs="仿宋_GB2312" w:eastAsia="仿宋_GB2312"/>
                      <w:sz w:val="19"/>
                    </w:rPr>
                    <w:t>8.4 CAN：板载≥1路CANFD接口，兼容标准CAN 2.0协议，支持CAN总线通信；</w:t>
                  </w:r>
                </w:p>
                <w:p>
                  <w:pPr>
                    <w:pStyle w:val="null3"/>
                  </w:pPr>
                  <w:r>
                    <w:rPr>
                      <w:rFonts w:ascii="仿宋_GB2312" w:hAnsi="仿宋_GB2312" w:cs="仿宋_GB2312" w:eastAsia="仿宋_GB2312"/>
                      <w:sz w:val="19"/>
                    </w:rPr>
                    <w:t>8.5 HDMI：板载≥1路HDMI视频输出接口，最高支持1920×1080分辨率，可直接连接显示器；</w:t>
                  </w:r>
                </w:p>
                <w:p>
                  <w:pPr>
                    <w:pStyle w:val="null3"/>
                  </w:pPr>
                  <w:r>
                    <w:rPr>
                      <w:rFonts w:ascii="仿宋_GB2312" w:hAnsi="仿宋_GB2312" w:cs="仿宋_GB2312" w:eastAsia="仿宋_GB2312"/>
                      <w:sz w:val="19"/>
                    </w:rPr>
                    <w:t>8.6 音频：板载≥1路3.5mm音频输出接口，支持耳机/扬声器输出；</w:t>
                  </w:r>
                </w:p>
                <w:p>
                  <w:pPr>
                    <w:pStyle w:val="null3"/>
                  </w:pPr>
                  <w:r>
                    <w:rPr>
                      <w:rFonts w:ascii="仿宋_GB2312" w:hAnsi="仿宋_GB2312" w:cs="仿宋_GB2312" w:eastAsia="仿宋_GB2312"/>
                      <w:sz w:val="19"/>
                    </w:rPr>
                    <w:t>8.7 miniPCIe：板载≥1路Mini-PCIe扩展接口，支持外接4G/5G通信模块、AI加速模块及SATA转换模块等扩展外设；</w:t>
                  </w:r>
                </w:p>
                <w:p>
                  <w:pPr>
                    <w:pStyle w:val="null3"/>
                  </w:pPr>
                  <w:r>
                    <w:rPr>
                      <w:rFonts w:ascii="仿宋_GB2312" w:hAnsi="仿宋_GB2312" w:cs="仿宋_GB2312" w:eastAsia="仿宋_GB2312"/>
                      <w:sz w:val="19"/>
                    </w:rPr>
                    <w:t>9. 无线通信功能</w:t>
                  </w:r>
                </w:p>
                <w:p>
                  <w:pPr>
                    <w:pStyle w:val="null3"/>
                  </w:pPr>
                  <w:r>
                    <w:rPr>
                      <w:rFonts w:ascii="仿宋_GB2312" w:hAnsi="仿宋_GB2312" w:cs="仿宋_GB2312" w:eastAsia="仿宋_GB2312"/>
                      <w:sz w:val="19"/>
                    </w:rPr>
                    <w:t>板载</w:t>
                  </w:r>
                  <w:r>
                    <w:rPr>
                      <w:rFonts w:ascii="仿宋_GB2312" w:hAnsi="仿宋_GB2312" w:cs="仿宋_GB2312" w:eastAsia="仿宋_GB2312"/>
                      <w:sz w:val="19"/>
                    </w:rPr>
                    <w:t>2.4GHz + 5GHz双频WiFi模块，兼容IEEE 802.11a/b/g/n/ac协议，可稳定连接无线局域网。</w:t>
                  </w:r>
                </w:p>
                <w:p>
                  <w:pPr>
                    <w:pStyle w:val="null3"/>
                  </w:pPr>
                  <w:r>
                    <w:rPr>
                      <w:rFonts w:ascii="仿宋_GB2312" w:hAnsi="仿宋_GB2312" w:cs="仿宋_GB2312" w:eastAsia="仿宋_GB2312"/>
                      <w:sz w:val="19"/>
                    </w:rPr>
                    <w:t>10. 蓝牙功能</w:t>
                  </w:r>
                </w:p>
                <w:p>
                  <w:pPr>
                    <w:pStyle w:val="null3"/>
                  </w:pPr>
                  <w:r>
                    <w:rPr>
                      <w:rFonts w:ascii="仿宋_GB2312" w:hAnsi="仿宋_GB2312" w:cs="仿宋_GB2312" w:eastAsia="仿宋_GB2312"/>
                      <w:sz w:val="19"/>
                    </w:rPr>
                    <w:t>板载蓝牙模块，支持</w:t>
                  </w:r>
                  <w:r>
                    <w:rPr>
                      <w:rFonts w:ascii="仿宋_GB2312" w:hAnsi="仿宋_GB2312" w:cs="仿宋_GB2312" w:eastAsia="仿宋_GB2312"/>
                      <w:sz w:val="19"/>
                    </w:rPr>
                    <w:t>Bluetooth 4.2及以上与BLE 4.2（低功耗蓝牙）协议。</w:t>
                  </w:r>
                </w:p>
                <w:p>
                  <w:pPr>
                    <w:pStyle w:val="null3"/>
                  </w:pPr>
                  <w:r>
                    <w:rPr>
                      <w:rFonts w:ascii="仿宋_GB2312" w:hAnsi="仿宋_GB2312" w:cs="仿宋_GB2312" w:eastAsia="仿宋_GB2312"/>
                      <w:sz w:val="19"/>
                    </w:rPr>
                    <w:t>11. 智能攻防测试系统</w:t>
                  </w:r>
                </w:p>
                <w:p>
                  <w:pPr>
                    <w:pStyle w:val="null3"/>
                  </w:pPr>
                  <w:r>
                    <w:rPr>
                      <w:rFonts w:ascii="仿宋_GB2312" w:hAnsi="仿宋_GB2312" w:cs="仿宋_GB2312" w:eastAsia="仿宋_GB2312"/>
                      <w:sz w:val="19"/>
                    </w:rPr>
                    <w:t>11.1 ▲安全测试用例：提供≥50个，覆盖系统安全场景，可直接运行测试。</w:t>
                  </w:r>
                </w:p>
                <w:p>
                  <w:pPr>
                    <w:pStyle w:val="null3"/>
                  </w:pPr>
                  <w:r>
                    <w:rPr>
                      <w:rFonts w:ascii="仿宋_GB2312" w:hAnsi="仿宋_GB2312" w:cs="仿宋_GB2312" w:eastAsia="仿宋_GB2312"/>
                      <w:sz w:val="19"/>
                    </w:rPr>
                    <w:t>11.2 显示器：2块，单块尺寸≥50寸，可显示测试及实验内容。</w:t>
                  </w:r>
                </w:p>
                <w:p>
                  <w:pPr>
                    <w:pStyle w:val="null3"/>
                  </w:pPr>
                  <w:r>
                    <w:rPr>
                      <w:rFonts w:ascii="仿宋_GB2312" w:hAnsi="仿宋_GB2312" w:cs="仿宋_GB2312" w:eastAsia="仿宋_GB2312"/>
                      <w:sz w:val="19"/>
                    </w:rPr>
                    <w:t>11.3 具备智能漏洞探测、攻击能力。</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合同签订后2026年9月30日前交货安装验收完毕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西安工业大学教8-402</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进度款，设备安装调试经采购人验收合格后，达到付款条件起10个工作日内，支付合同总金额的100.0%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采购设备的验收流程包括：到货验收、安装调试、试运行、最终验收。 到货验收：设备到达指定地点后，由采购人技术人员进行初步检查，确认设备的外观、型号等信息是否与合同一致。同时，需要开箱验货，检查设备及配件的外观、数量、包装是否完好无损。如果发现外包装损坏或规格、型号、数量与合同不符等问题，则视为初验不合格，设备应返回给中标（成交）供应商，并记录处理意见。安装调试：在确认设备符合要求后，由中标（成交）供应商进行设备的安装和调试，确保设备能够正常运行。 试运行：设备安装调试完成后，通常会进入试运行期。本项目运行期为1周，试运行期间，如果出现质量问题，中标（成交）供应商需负责修复或更换货物。试运行结束后，由采购人组织正式验收。 最终验收：在试运行无问题后，由采购人和中标（成交）供应商共同完成最终验收。验收小组对设备的性能、稳定性进行全面测试和评估，根据测试结果决定是否接受该设备，并签署验收报告。最终验收合格后，办理移交手续，并依据合同条款进行付款申报。2.培训要求:到货后一个月内，至少包含一名原厂技术工程师现场指导，培训时长不低于4小时。中标（成交）供应须负责开展培训服务，明确各阶段详实培训计划，包括但不限于对教师、实验室设备管理人员等进行培训服务。培训内容包括各种设备的初始化及故障诊断、定位和排除技能等。培训次数不限，达到熟练使用的效果。提供相关主要设备的操作流程及使用手册，维修手册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本项目整体质保期：验收合格后5年；质保期满后，中标（成交）供应商仍需提供专业维修服务。 质保期内免费提供正常使用的易损件和备件；软件系统提供终身免费升级服务。设备经过双方检验认可后，签署验收报告，产品保修期自验收合格之日起计算，由中标（成交）供应商提供产品保修文件。质保期内所有维修服务均由中标（成交）供应商免费上门取、送、修。安装调试1个月内，如有质量问题，设备整机无条件退换货并提供备件以保证教学正常开展。在保修期内，任何质量问题，中标（成交）供应商负责免费维修。质保期过后需换件时，原则上应提供原装器件，并按成本价收费。服务响应时间：中标（成交）供应商接到维修电话后2小时内给予明确答复，4小时内到达现场维修。维修人员到现场后若问题特殊无法现场修复的，中标（成交）供应商需在24小时内给出合理解决方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(1)投标人需要在线提交所有通过电子化交易平台实施的政府采购项目的投标文件，同时，线下提交纸质投标文件正本壹份、副本贰份。若电子投标文件与纸质投标文件不一致的，以电子投标文件为准。(2)投标文件，正、副本分别各自装订成册密封。在封口处加盖投标人公章。(3)线下投标文件递交截止时间与线上开评标时间一致。(4)纸质投标文件可邮寄递交，应于递交投标文件截止时间前邮寄到西安市莲湖区高新一路5号正信大厦A座24楼。 2、保证金退还:（1） 未中标单位：招标结束后，将根据所提供信息退还各投标单位保证金，无需亲自前来办理；（2）中标单位：在采购合同签订并按规定交纳代理服务费后五个工作日内退还。（办理退保证金：需提供与甲方签订的合同原件的扫描件一份（pdf格式）发送至此邮箱（945990512@qq.cpm）,发送时务必备注项目名称、项目编号和标段（无标段可不写）； 中标服务费查询请联系财务部：029-89286620转808。（3）投标单位如开具电子保函请在开标前把电子保函PDF版发送至2290417378@qq.com。 3、合同价款包括全套货物抵达用户现场，安装验收直至投入使用期间的所需费用。报价包含但不限于人工费、辅材费、税费、安装调试费、培训费、安装期间必须的场地调整费等产生的一切费用。合同总价一次性包死，不受市场价格变化因素的影响。除本合同总金额外，采购人不再支付任何其他费用。 4、落实政府采购政策《国务院办公厅关于在政府采购中实施本国产品标准及相关政策的通知国办发〔2025〕34号》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投标人提供的产品属于本国产品的，出具《关于符合本国产品标准的声明函》（以下简称《声明函》）或财政部会同有关部门规定的有关证明文件。出具符合要求的《声明函》或有关证明文件的，该产品视为本国产品。供应商提供虚假《声明函》、虚假证明文件谋取中标、成交的，依照《中华人民共和国政府采购法》等法律法规规定追究相应责任。 投标人可同时享受支持中小企业发展政策及对本国产品的支持政策。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提供经审计的完整的2024年度或2025年度的财务报告或提交投标文件截止时间前六个月内其基本账户开户银行出具的资信证明；其他组织和自然人提供银行出具的资信证明或财务报表；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2投标人资格证明文件.docx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1分项报价表.docx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2投标人资格证明文件.docx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（3）投标报价未超出采购预算或招标文件规定的最高限价（单价限价）。</w:t>
            </w:r>
          </w:p>
        </w:tc>
        <w:tc>
          <w:tcPr>
            <w:tcW w:type="dxa" w:w="1661"/>
          </w:tcPr>
          <w:p>
            <w:pPr>
              <w:pStyle w:val="null3"/>
            </w:pPr>
            <w:r>
              <w:rPr>
                <w:rFonts w:ascii="仿宋_GB2312" w:hAnsi="仿宋_GB2312" w:cs="仿宋_GB2312" w:eastAsia="仿宋_GB2312"/>
              </w:rPr>
              <w:t>开标一览表 1分项报价表.docx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3响应偏差表及商务响应说明.docx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3响应偏差表及商务响应说明.docx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对招标文件技术参数要求部分的所有指标，投标人应逐条进行响应。完全符合、响应招标文件要求，没有负偏离的得36分； （1）“▲”号参数为重要指标，每负偏离1项扣2分；（2）非“▲”号参数负偏离一项扣1分，扣完为止。 备注：“▲”号参数需提供佐证材料，不限于产品检测报告、产品彩页、产品说明书、官网和功能截图等，未提供者视为负偏离。</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3响应偏差表及商务响应说明.docx</w:t>
            </w:r>
          </w:p>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需求分析；②总体实施方案；③安装调试方案；④测试、试运行方案；⑤重点、难点分析并给出相应的解决方案；⑥验收方案。满分6分。每有一项缺项扣1分，每有一项内容中有缺陷扣0.5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投标人提供针对本项目的项目质量保障措施，包括但不限于：①质量保障措施；②进度安排及进度保障措施；③人员配备安排计划及工作分配情况；满分3分。每有一项缺项扣1分，每有一项内容中有缺陷扣0.5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提供所投产品合法来源渠道证明文件（包括销售协议、代理协议、原厂授权等），确保生产供应的产品为全新产品,无假货、水货、翻新货且无产权纠纷。提供齐全计3分，提供不全或未提供不计分。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提供投标人2023年1月1日至今类似项目合同（以合同签订日期为准），每提供1个得2分，满分10分。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5业绩.docx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有具体的售后服务方案,该方案包含：①售后服务网点的设定；②拟投入售后服务人员配置情况；③日常维护保养；④项目交付用户后出现故障响应时间及措施。满分4分。每有一项缺项扣1分，每有一项内容中有缺陷扣0.5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时间、培训人数、培训方式；②投标产品的原理和技术性能；③操作维护方法；④排除故障。满分4分。每有一项缺项扣1分，每有一项内容中有缺陷扣0.5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供应商需进行现场真实系统演示，Demo、PPT、截图均不得分，所有演示内容，须在5分钟内完成，超过规定时间未完成演示内容的，将根据已演示的内容进行综合打分。演示所需软硬件均由供应商自行准备，按照技术参数中标“●”演示项进行逐条演示，演示成功一项计3分，满分3分，未演示或未按要求演示者不得分。供应商须线下进行演示，演示地点为西安市莲湖区高新一路5号正信大厦A座24楼会议室。</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投标人投标产品中每有一项为节能产品或环境标志产品经国家认证的得1分。（以经国家确定的认证机构出具的、处于有效期内的节能产品、环境标志产品认证证书为准。）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详见附件：2投标人资格证明文件.docx</w:t>
      </w:r>
    </w:p>
    <w:p>
      <w:pPr>
        <w:pStyle w:val="null3"/>
        <w:ind w:firstLine="960"/>
      </w:pPr>
      <w:r>
        <w:rPr>
          <w:rFonts w:ascii="仿宋_GB2312" w:hAnsi="仿宋_GB2312" w:cs="仿宋_GB2312" w:eastAsia="仿宋_GB2312"/>
        </w:rPr>
        <w:t>详见附件：3响应偏差表及商务响应说明.docx</w:t>
      </w:r>
    </w:p>
    <w:p>
      <w:pPr>
        <w:pStyle w:val="null3"/>
        <w:ind w:firstLine="960"/>
      </w:pPr>
      <w:r>
        <w:rPr>
          <w:rFonts w:ascii="仿宋_GB2312" w:hAnsi="仿宋_GB2312" w:cs="仿宋_GB2312" w:eastAsia="仿宋_GB2312"/>
        </w:rPr>
        <w:t>详见附件：4投标方案.docx</w:t>
      </w:r>
    </w:p>
    <w:p>
      <w:pPr>
        <w:pStyle w:val="null3"/>
        <w:ind w:firstLine="960"/>
      </w:pPr>
      <w:r>
        <w:rPr>
          <w:rFonts w:ascii="仿宋_GB2312" w:hAnsi="仿宋_GB2312" w:cs="仿宋_GB2312" w:eastAsia="仿宋_GB2312"/>
        </w:rPr>
        <w:t>详见附件：5业绩.docx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