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9DB1D">
      <w:pPr>
        <w:ind w:firstLine="0" w:firstLineChars="0"/>
        <w:jc w:val="center"/>
        <w:rPr>
          <w:rFonts w:hint="eastAsia" w:ascii="仿宋" w:hAnsi="仿宋" w:eastAsia="仿宋" w:cs="仿宋"/>
          <w:b/>
          <w:bCs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合同文本</w:t>
      </w:r>
    </w:p>
    <w:p w14:paraId="4690DBCC">
      <w:pPr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（本格式条款供双方签订合同参考，采购人可根据项目的实际情况增减条款和内容）</w:t>
      </w:r>
    </w:p>
    <w:p w14:paraId="2922B880">
      <w:pPr>
        <w:ind w:firstLine="480"/>
        <w:rPr>
          <w:rFonts w:hint="eastAsia" w:ascii="仿宋" w:hAnsi="仿宋" w:eastAsia="仿宋" w:cs="仿宋"/>
        </w:rPr>
      </w:pPr>
    </w:p>
    <w:p w14:paraId="40254B6C">
      <w:pPr>
        <w:ind w:firstLine="48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br w:type="page"/>
      </w:r>
    </w:p>
    <w:p w14:paraId="6AB47078">
      <w:pP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58"/>
          <w:szCs w:val="58"/>
          <w:u w:val="none"/>
          <w:shd w:val="clear" w:color="auto" w:fill="auto"/>
          <w:lang w:val="en-US" w:eastAsia="zh-CN" w:bidi="en-US"/>
        </w:rPr>
      </w:pPr>
    </w:p>
    <w:p w14:paraId="6A451585">
      <w:pPr>
        <w:keepNext/>
        <w:keepLines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120" w:line="1114" w:lineRule="exact"/>
        <w:ind w:left="0" w:leftChars="0" w:right="0" w:firstLine="0" w:firstLineChars="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58"/>
          <w:szCs w:val="58"/>
          <w:u w:val="none"/>
          <w:shd w:val="clear" w:color="auto" w:fill="auto"/>
          <w:lang w:val="en-US" w:eastAsia="en-US" w:bidi="en-US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58"/>
          <w:szCs w:val="58"/>
          <w:u w:val="none"/>
          <w:shd w:val="clear" w:color="auto" w:fill="auto"/>
          <w:lang w:val="en-US" w:eastAsia="en-US" w:bidi="en-US"/>
        </w:rPr>
        <w:t>2026年劳保用品采购项目（二次）</w:t>
      </w:r>
    </w:p>
    <w:p w14:paraId="07872BF7">
      <w:pPr>
        <w:keepNext/>
        <w:keepLines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120" w:line="1114" w:lineRule="exact"/>
        <w:ind w:right="0" w:firstLine="2168" w:firstLineChars="3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72"/>
          <w:szCs w:val="72"/>
          <w:u w:val="none"/>
          <w:shd w:val="clear" w:color="auto" w:fill="auto"/>
          <w:lang w:val="en-US" w:eastAsia="zh-CN" w:bidi="zh-TW"/>
        </w:rPr>
      </w:pPr>
      <w:bookmarkStart w:id="0" w:name="_Toc13856"/>
    </w:p>
    <w:p w14:paraId="17D509D5">
      <w:pPr>
        <w:keepNext/>
        <w:keepLines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120" w:line="1114" w:lineRule="exact"/>
        <w:ind w:right="0" w:firstLine="2168" w:firstLineChars="300"/>
        <w:jc w:val="both"/>
        <w:textAlignment w:val="auto"/>
        <w:outlineLvl w:val="0"/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72"/>
          <w:szCs w:val="72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72"/>
          <w:szCs w:val="72"/>
          <w:u w:val="none"/>
          <w:shd w:val="clear" w:color="auto" w:fill="auto"/>
          <w:lang w:val="en-US" w:eastAsia="zh-CN" w:bidi="zh-TW"/>
        </w:rPr>
        <w:t xml:space="preserve">供 货 </w:t>
      </w: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72"/>
          <w:szCs w:val="72"/>
          <w:u w:val="none"/>
          <w:shd w:val="clear" w:color="auto" w:fill="auto"/>
          <w:lang w:val="zh-TW" w:eastAsia="zh-TW" w:bidi="zh-TW"/>
        </w:rPr>
        <w:t>合</w:t>
      </w: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72"/>
          <w:szCs w:val="72"/>
          <w:u w:val="none"/>
          <w:shd w:val="clear" w:color="auto" w:fill="auto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72"/>
          <w:szCs w:val="72"/>
          <w:u w:val="none"/>
          <w:shd w:val="clear" w:color="auto" w:fill="auto"/>
          <w:lang w:val="zh-TW" w:eastAsia="zh-TW" w:bidi="zh-TW"/>
        </w:rPr>
        <w:t>同</w:t>
      </w:r>
      <w:bookmarkEnd w:id="0"/>
    </w:p>
    <w:p w14:paraId="15223B18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120" w:line="240" w:lineRule="auto"/>
        <w:ind w:left="0" w:leftChars="0" w:right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30"/>
          <w:szCs w:val="30"/>
          <w:highlight w:val="none"/>
          <w:u w:val="none"/>
          <w:shd w:val="clear" w:color="auto" w:fill="auto"/>
          <w:lang w:val="en-US" w:eastAsia="en-US" w:bidi="en-US"/>
        </w:rPr>
      </w:pP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30"/>
          <w:szCs w:val="30"/>
          <w:highlight w:val="none"/>
          <w:u w:val="none"/>
          <w:shd w:val="clear" w:color="auto" w:fill="auto"/>
          <w:lang w:val="zh-TW" w:eastAsia="zh-TW" w:bidi="zh-TW"/>
        </w:rPr>
        <w:t>（</w:t>
      </w: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30"/>
          <w:szCs w:val="30"/>
          <w:highlight w:val="none"/>
          <w:u w:val="none"/>
          <w:shd w:val="clear" w:color="auto" w:fill="auto"/>
          <w:lang w:val="en-US" w:eastAsia="zh-CN" w:bidi="zh-TW"/>
        </w:rPr>
        <w:t>采购项目</w:t>
      </w:r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30"/>
          <w:szCs w:val="30"/>
          <w:highlight w:val="none"/>
          <w:u w:val="none"/>
          <w:shd w:val="clear" w:color="auto" w:fill="auto"/>
          <w:lang w:val="zh-TW" w:eastAsia="zh-TW" w:bidi="zh-TW"/>
        </w:rPr>
        <w:t>编号：HYTH-202606048.1B1</w:t>
      </w:r>
      <w:bookmarkStart w:id="29" w:name="_GoBack"/>
      <w:bookmarkEnd w:id="29"/>
      <w:r>
        <w:rPr>
          <w:rFonts w:hint="eastAsia" w:ascii="仿宋" w:hAnsi="仿宋" w:eastAsia="仿宋" w:cs="仿宋"/>
          <w:b/>
          <w:bCs/>
          <w:snapToGrid/>
          <w:color w:val="auto"/>
          <w:spacing w:val="0"/>
          <w:w w:val="100"/>
          <w:kern w:val="2"/>
          <w:position w:val="0"/>
          <w:sz w:val="30"/>
          <w:szCs w:val="30"/>
          <w:highlight w:val="none"/>
          <w:u w:val="none"/>
          <w:shd w:val="clear" w:color="auto" w:fill="auto"/>
          <w:lang w:val="en-US" w:eastAsia="en-US" w:bidi="en-US"/>
        </w:rPr>
        <w:t>）</w:t>
      </w:r>
    </w:p>
    <w:p w14:paraId="42053DAA">
      <w:pPr>
        <w:widowControl w:val="0"/>
        <w:kinsoku/>
        <w:autoSpaceDE/>
        <w:autoSpaceDN/>
        <w:adjustRightInd/>
        <w:snapToGrid/>
        <w:spacing w:after="120" w:line="360" w:lineRule="auto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lang w:val="zh-TW" w:eastAsia="zh-CN" w:bidi="ar-SA"/>
        </w:rPr>
      </w:pPr>
    </w:p>
    <w:p w14:paraId="55A00F39">
      <w:pPr>
        <w:widowControl w:val="0"/>
        <w:kinsoku/>
        <w:autoSpaceDE/>
        <w:autoSpaceDN/>
        <w:adjustRightInd/>
        <w:snapToGrid/>
        <w:spacing w:after="120" w:line="360" w:lineRule="auto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lang w:val="zh-TW" w:eastAsia="zh-CN" w:bidi="ar-SA"/>
        </w:rPr>
      </w:pPr>
    </w:p>
    <w:p w14:paraId="68A28DF6">
      <w:pPr>
        <w:widowControl w:val="0"/>
        <w:kinsoku/>
        <w:autoSpaceDE/>
        <w:autoSpaceDN/>
        <w:adjustRightInd/>
        <w:snapToGrid/>
        <w:spacing w:after="120" w:line="360" w:lineRule="auto"/>
        <w:jc w:val="both"/>
        <w:textAlignment w:val="auto"/>
        <w:rPr>
          <w:rFonts w:hint="eastAsia" w:ascii="仿宋" w:hAnsi="仿宋" w:eastAsia="仿宋" w:cs="仿宋"/>
          <w:snapToGrid/>
          <w:kern w:val="2"/>
          <w:sz w:val="24"/>
          <w:szCs w:val="24"/>
          <w:lang w:val="zh-TW" w:eastAsia="zh-CN" w:bidi="ar-SA"/>
        </w:rPr>
      </w:pPr>
    </w:p>
    <w:p w14:paraId="70A404DC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480" w:line="240" w:lineRule="auto"/>
        <w:ind w:left="200" w:right="0" w:firstLine="918" w:firstLineChars="306"/>
        <w:jc w:val="left"/>
        <w:textAlignment w:val="auto"/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singl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single"/>
          <w:shd w:val="clear" w:color="auto" w:fill="auto"/>
          <w:lang w:val="en-US" w:eastAsia="zh-CN" w:bidi="zh-TW"/>
        </w:rPr>
        <w:t xml:space="preserve">                                </w:t>
      </w:r>
    </w:p>
    <w:p w14:paraId="31A5E303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480" w:line="240" w:lineRule="auto"/>
        <w:ind w:left="200" w:right="0" w:firstLine="918" w:firstLineChars="306"/>
        <w:jc w:val="left"/>
        <w:textAlignment w:val="auto"/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乙方: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single"/>
          <w:shd w:val="clear" w:color="auto" w:fill="auto"/>
          <w:lang w:val="en-US" w:eastAsia="zh-CN" w:bidi="zh-TW"/>
        </w:rPr>
        <w:t xml:space="preserve">                                </w:t>
      </w:r>
    </w:p>
    <w:p w14:paraId="34B5D203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528" w:lineRule="exact"/>
        <w:ind w:left="1571" w:leftChars="748" w:right="0" w:firstLine="876" w:firstLineChars="292"/>
        <w:jc w:val="left"/>
        <w:textAlignment w:val="auto"/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en-US" w:eastAsia="en-US" w:bidi="en-US"/>
        </w:rPr>
      </w:pPr>
    </w:p>
    <w:p w14:paraId="3E30C813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528" w:lineRule="exact"/>
        <w:ind w:left="0" w:leftChars="0" w:right="0" w:firstLine="0" w:firstLineChars="0"/>
        <w:jc w:val="center"/>
        <w:textAlignment w:val="auto"/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en-US" w:eastAsia="en-US" w:bidi="en-US"/>
        </w:rPr>
        <w:t>202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en-US" w:eastAsia="zh-CN" w:bidi="en-US"/>
        </w:rPr>
        <w:t>6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年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single"/>
          <w:shd w:val="clear" w:color="auto" w:fill="auto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月</w:t>
      </w:r>
    </w:p>
    <w:p w14:paraId="432AF962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528" w:lineRule="exact"/>
        <w:ind w:left="0" w:leftChars="0" w:right="0" w:firstLine="0" w:firstLineChars="0"/>
        <w:jc w:val="center"/>
        <w:textAlignment w:val="auto"/>
        <w:rPr>
          <w:rFonts w:hint="eastAsia" w:ascii="仿宋" w:hAnsi="仿宋" w:eastAsia="仿宋" w:cs="仿宋"/>
          <w:b/>
          <w:snapToGrid/>
          <w:kern w:val="2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中国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napToGrid/>
          <w:color w:val="auto"/>
          <w:spacing w:val="0"/>
          <w:w w:val="100"/>
          <w:kern w:val="2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西安</w:t>
      </w:r>
      <w:r>
        <w:rPr>
          <w:rFonts w:hint="eastAsia" w:ascii="仿宋" w:hAnsi="仿宋" w:eastAsia="仿宋" w:cs="仿宋"/>
          <w:b/>
          <w:snapToGrid/>
          <w:kern w:val="2"/>
          <w:szCs w:val="24"/>
          <w:highlight w:val="none"/>
          <w:lang w:eastAsia="zh-CN"/>
        </w:rPr>
        <w:br w:type="page"/>
      </w:r>
    </w:p>
    <w:p w14:paraId="741DF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kern w:val="2"/>
          <w:sz w:val="24"/>
          <w:szCs w:val="24"/>
          <w:highlight w:val="none"/>
          <w:lang w:eastAsia="zh-CN"/>
        </w:rPr>
        <w:t>甲方（采购人名称全称）：</w:t>
      </w:r>
      <w:r>
        <w:rPr>
          <w:rFonts w:hint="eastAsia" w:ascii="仿宋" w:hAnsi="仿宋" w:eastAsia="仿宋" w:cs="仿宋"/>
          <w:b w:val="0"/>
          <w:bCs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0D8AA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kern w:val="2"/>
          <w:sz w:val="24"/>
          <w:szCs w:val="24"/>
          <w:highlight w:val="none"/>
          <w:lang w:eastAsia="zh-CN"/>
        </w:rPr>
        <w:t>乙方（供应商名称全称）：</w:t>
      </w:r>
      <w:r>
        <w:rPr>
          <w:rFonts w:hint="eastAsia" w:ascii="仿宋" w:hAnsi="仿宋" w:eastAsia="仿宋" w:cs="仿宋"/>
          <w:b w:val="0"/>
          <w:bCs/>
          <w:snapToGrid/>
          <w:kern w:val="2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</w:p>
    <w:p w14:paraId="0672A8C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u w:val="none"/>
          <w:lang w:val="en-US" w:eastAsia="zh-CN"/>
        </w:rPr>
        <w:t>甲乙双方就甲方所需货物，按照政府采购程序组织竞争性谈判，确定乙方为2026年劳保用品采购项目（二次）（采购项目编号：HYTH-202606048.1B1）成交供应商。依据《中华人民共和国政府采购法》、《中华人民共和国民法典》以及竞争性谈判文件、成交通知书，经甲、乙双方协商，达成如下合同条款。</w:t>
      </w:r>
    </w:p>
    <w:p w14:paraId="3FD57E5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u w:val="none"/>
          <w:lang w:val="en-US" w:eastAsia="zh-CN"/>
        </w:rPr>
      </w:pPr>
      <w:bookmarkStart w:id="1" w:name="bookmark6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u w:val="none"/>
          <w:lang w:val="en-US" w:eastAsia="zh-CN"/>
        </w:rPr>
        <w:t>一</w:t>
      </w:r>
      <w:bookmarkEnd w:id="1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u w:val="none"/>
          <w:lang w:val="en-US" w:eastAsia="zh-CN"/>
        </w:rPr>
        <w:t>、合同标的物内容</w:t>
      </w:r>
    </w:p>
    <w:tbl>
      <w:tblPr>
        <w:tblStyle w:val="3"/>
        <w:tblW w:w="9102" w:type="dxa"/>
        <w:jc w:val="center"/>
        <w:shd w:val="clear" w:color="auto" w:fill="auto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68"/>
        <w:gridCol w:w="1661"/>
        <w:gridCol w:w="1661"/>
        <w:gridCol w:w="1661"/>
        <w:gridCol w:w="1661"/>
        <w:gridCol w:w="1690"/>
      </w:tblGrid>
      <w:tr w14:paraId="4F38F426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0A52B86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序号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A268D8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货物名称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70058D7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规格型号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5CE611A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单价（元）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FF7708D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数量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A909B0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总价（元）</w:t>
            </w:r>
          </w:p>
        </w:tc>
      </w:tr>
      <w:tr w14:paraId="77A0855A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5FF7C66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1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B5D772F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F5DBB43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D661408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EC541D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AA9EB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4F8A0EA1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183332D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2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15F7DB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A809F3F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01AC3B0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483AF5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84DDB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53454088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33FFEF2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3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0C61C11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EDCF1FF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3311739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B8F440D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8E93D3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2CA224DE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3F42AA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4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59DBCC7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9EC8D6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4F2A701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AA0AE7C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CA3D7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160073C3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02FF6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...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5BF2555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8C4669C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B022145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9AB3354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F04F4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2334C745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B98887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N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FD6FE65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98E846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CBA3593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0007D07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D261C8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51B21679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C6C2367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合计</w:t>
            </w:r>
          </w:p>
        </w:tc>
        <w:tc>
          <w:tcPr>
            <w:tcW w:w="833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7F6FA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  <w:tr w14:paraId="7706D293">
        <w:tblPrEx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CECDA1A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备注</w:t>
            </w:r>
          </w:p>
        </w:tc>
        <w:tc>
          <w:tcPr>
            <w:tcW w:w="83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B039D">
            <w:pPr>
              <w:keepNext w:val="0"/>
              <w:keepLines w:val="0"/>
              <w:widowControl w:val="0"/>
              <w:shd w:val="clear" w:color="auto" w:fill="auto"/>
              <w:kinsoku/>
              <w:autoSpaceDE/>
              <w:autoSpaceDN/>
              <w:bidi w:val="0"/>
              <w:adjustRightInd/>
              <w:snapToGrid/>
              <w:spacing w:before="120" w:after="0" w:line="360" w:lineRule="auto"/>
              <w:ind w:left="0" w:leftChars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snapToGrid/>
                <w:color w:val="000000"/>
                <w:spacing w:val="0"/>
                <w:w w:val="100"/>
                <w:kern w:val="2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en-US" w:bidi="zh-TW"/>
              </w:rPr>
            </w:pPr>
          </w:p>
        </w:tc>
      </w:tr>
    </w:tbl>
    <w:p w14:paraId="4E44FB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2" w:name="bookmark7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后附产品清单及参数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）</w:t>
      </w:r>
    </w:p>
    <w:p w14:paraId="374D6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二</w:t>
      </w:r>
      <w:bookmarkEnd w:id="2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、交货</w:t>
      </w: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/>
        </w:rPr>
        <w:t>条件：</w:t>
      </w:r>
    </w:p>
    <w:p w14:paraId="4D767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3" w:name="bookmark8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bookmarkEnd w:id="3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一）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交货地点：甲方指定地点。</w:t>
      </w:r>
    </w:p>
    <w:p w14:paraId="5B994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4" w:name="bookmark9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bookmarkEnd w:id="4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二）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交货期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：合同签订后，接到甲方通知后7日内配送产品。乙方不得以任何理由拒绝或延迟分批交货。</w:t>
      </w:r>
    </w:p>
    <w:p w14:paraId="4E8F5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如因不可抗力或其他特殊原因确需调整交货时间的，乙方应至少提前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日以书面形式向甲方说明情况并提出调整方案，经甲方书面同意后方可变更交货安排；未经甲方书面同意，乙方仍应按本合同约定时间履行交货义务。</w:t>
      </w:r>
    </w:p>
    <w:p w14:paraId="71B38838">
      <w:pPr>
        <w:widowControl w:val="0"/>
        <w:kinsoku/>
        <w:autoSpaceDE/>
        <w:autoSpaceDN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 w:bidi="ar-SA"/>
        </w:rPr>
        <w:t>三、合同价款</w:t>
      </w:r>
    </w:p>
    <w:p w14:paraId="682D4D7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（一）合同总价为人民币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（大写）     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;¥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元。</w:t>
      </w:r>
    </w:p>
    <w:p w14:paraId="7EEA1BED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5" w:name="bookmark11"/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（</w:t>
      </w:r>
      <w:bookmarkEnd w:id="5"/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二）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合同总价包括但不限于货物的制造、包装、生产、运输、装卸、保险、检测、验收、税金等一切费用。合同履行期间，乙方不得以任何理由要求追加费用。</w:t>
      </w:r>
    </w:p>
    <w:p w14:paraId="6F4D6CAB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 w:bidi="ar-SA"/>
        </w:rPr>
      </w:pPr>
      <w:bookmarkStart w:id="6" w:name="bookmark12"/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（</w:t>
      </w:r>
      <w:bookmarkEnd w:id="6"/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三）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合同总价一次性包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 w:bidi="ar-SA"/>
        </w:rPr>
        <w:t>死，不受市场价格变化因素的影响。</w:t>
      </w:r>
    </w:p>
    <w:p w14:paraId="18485E89">
      <w:pPr>
        <w:widowControl w:val="0"/>
        <w:kinsoku/>
        <w:autoSpaceDE/>
        <w:autoSpaceDN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val="en-US" w:eastAsia="zh-CN" w:bidi="ar-SA"/>
        </w:rPr>
      </w:pPr>
      <w:bookmarkStart w:id="7" w:name="bookmark13"/>
      <w:r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val="en-US" w:eastAsia="zh-CN" w:bidi="ar-SA"/>
        </w:rPr>
        <w:t>四</w:t>
      </w:r>
      <w:bookmarkEnd w:id="7"/>
      <w:r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val="en-US" w:eastAsia="zh-CN" w:bidi="ar-SA"/>
        </w:rPr>
        <w:t>、款项结算</w:t>
      </w:r>
    </w:p>
    <w:p w14:paraId="4076D30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8" w:name="bookmark17"/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zh-TW" w:eastAsia="zh-CN" w:bidi="ar-SA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一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zh-TW" w:eastAsia="zh-CN" w:bidi="ar-SA"/>
        </w:rPr>
        <w:t>）</w:t>
      </w:r>
      <w:r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付款方式：签订合同后按合同金额的40%付款，合同签订后货物配送到指定地点，无质量问题并验收合格后，达到付款条件起15工作日内，支付合同总金额的尾款。</w:t>
      </w:r>
    </w:p>
    <w:p w14:paraId="6C65C7A2">
      <w:pPr>
        <w:keepNext w:val="0"/>
        <w:keepLines w:val="0"/>
        <w:widowControl w:val="0"/>
        <w:shd w:val="clear" w:color="auto" w:fill="auto"/>
        <w:tabs>
          <w:tab w:val="left" w:pos="1328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8"/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）支付方式：银行转账。</w:t>
      </w:r>
      <w:bookmarkStart w:id="9" w:name="bookmark18"/>
    </w:p>
    <w:p w14:paraId="53344C2A">
      <w:pPr>
        <w:keepNext w:val="0"/>
        <w:keepLines w:val="0"/>
        <w:widowControl w:val="0"/>
        <w:shd w:val="clear" w:color="auto" w:fill="auto"/>
        <w:tabs>
          <w:tab w:val="left" w:pos="1328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kern w:val="2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9"/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三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）结算方式：付款前乙方应向甲方提供合法有效的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CN"/>
        </w:rPr>
        <w:t>等额【专用/普通】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发票。乙方持成交通知书、供货合同、发票，与甲方结算。</w:t>
      </w:r>
    </w:p>
    <w:p w14:paraId="7701E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0" w:name="bookmark19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五</w:t>
      </w:r>
      <w:bookmarkEnd w:id="10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、双方的权利和义务</w:t>
      </w:r>
    </w:p>
    <w:p w14:paraId="1DD080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（一）甲方的权利与义务</w:t>
      </w:r>
    </w:p>
    <w:p w14:paraId="7F8E0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甲方在收到货物通知后，应按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文件的需求进行核实，如发现不符合合同规定或短缺，及时提出，甲方在收到货后，组织人员按提供的技术参数指标进行验收。甲方有权委托第三方检测机构对产品进行抽检，检测费用由乙方承担。</w:t>
      </w:r>
    </w:p>
    <w:p w14:paraId="74EE0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2、甲方需按合同约定及时支付货款，配合乙方完成货物验收、对接等相关工作。</w:t>
      </w:r>
    </w:p>
    <w:p w14:paraId="23A32B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3、甲方需提前向乙方告知采购需求、交付要求，若需求变更需及时通知乙方。</w:t>
      </w:r>
    </w:p>
    <w:p w14:paraId="20DD9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（二）乙方的权利与义务</w:t>
      </w:r>
    </w:p>
    <w:p w14:paraId="3A20C9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1、乙方在合同约定的时间内交付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。</w:t>
      </w:r>
    </w:p>
    <w:p w14:paraId="5E8C3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2、乙方所提供的产品必须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保证原厂生产，符合采购技术需求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，运输及安装全过程中的安全由乙方负责。</w:t>
      </w:r>
    </w:p>
    <w:p w14:paraId="7462E9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3、乙方应积极配合甲方，最终完成产品的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供货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。</w:t>
      </w:r>
    </w:p>
    <w:p w14:paraId="6F06F0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4、乙方保证所供产品无产权纠纷、质量隐患，若因产品质量不合格、资质不全导致甲方人员受伤、安全生产事故或被监管部门处罚的，由乙方承担全部赔偿责任及法律责任。</w:t>
      </w:r>
    </w:p>
    <w:p w14:paraId="6CC6F9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 xml:space="preserve">5、乙方须以书面形式明确1名项目负责人与甲方对接，且不得随意更换；该负责人同时作为应急联系人，须保持24小时联络畅通。负责人变更须经甲方书面同意。 </w:t>
      </w:r>
    </w:p>
    <w:p w14:paraId="335643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2" w:firstLineChars="200"/>
        <w:jc w:val="both"/>
        <w:textAlignment w:val="auto"/>
        <w:rPr>
          <w:rFonts w:hint="default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/>
        </w:rPr>
        <w:t>六、质量标准及要求</w:t>
      </w:r>
    </w:p>
    <w:p w14:paraId="42D1F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1" w:name="bookmark30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1、乙方所供所有劳保用品必须符合国家、行业现行安全生产防护标准及规范，确保产品合法合规、安全有效。</w:t>
      </w:r>
    </w:p>
    <w:p w14:paraId="469983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2、所有产品必须为全新、未使用、无破损、无变质的合格产品，材质、工艺、性能需完全匹配产品标注规格及防护功能，能够满足甲方安全生产作业防护需求。</w:t>
      </w:r>
    </w:p>
    <w:p w14:paraId="243E60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3、乙方需保证产品质量稳定，严禁供应过期、伪劣、翻新、不合格产品。若产品有保质期限，交付时剩余保质期不得少于1年。已交付产品在库存期间剩余有效期不足1年的，乙方应在甲方通知后7日内免费调换。</w:t>
      </w:r>
    </w:p>
    <w:p w14:paraId="79A7B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4、甲方有权对到货产品进行抽样检验、核查资质文件，若发现产品质量不达标、资质不全、与约定标准不符，甲方有权拒收货物，乙方需无条件退换，并承担由此产生的全部损失。（包括但不限于重新采购费用、检测费用、误工损失等）。</w:t>
      </w:r>
    </w:p>
    <w:p w14:paraId="47804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5、乙方须提供所投产品的来源渠道合法证明材料（包括但不限于销售协议、代理协议、原厂授权等），否则甲方有权拒收货物。</w:t>
      </w:r>
    </w:p>
    <w:p w14:paraId="32B3EE5B">
      <w:pPr>
        <w:widowControl w:val="0"/>
        <w:kinsoku/>
        <w:autoSpaceDE/>
        <w:autoSpaceDN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七</w:t>
      </w:r>
      <w:bookmarkEnd w:id="11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/>
        </w:rPr>
        <w:t>包装和储存</w:t>
      </w:r>
    </w:p>
    <w:p w14:paraId="0DDC4CBB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2" w:name="bookmark31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bookmarkEnd w:id="12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一）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产品/设备及其备附件的包装应为出厂时的原包装，包装内应附有详细的装箱清单、出厂合格证明及其他相关资料。</w:t>
      </w:r>
    </w:p>
    <w:p w14:paraId="352DCAEE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3" w:name="bookmark32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bookmarkEnd w:id="13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二）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运输由乙方负责，运杂费已包含在合同总价内，包括从产品/设备供应地点运送至交付地点所含的运输费、装卸费、仓储费、保险费等。</w:t>
      </w:r>
    </w:p>
    <w:p w14:paraId="0816D3D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4" w:name="bookmark33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bookmarkEnd w:id="14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三）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运输方式由乙方自行选择，但必须保证按期交付。因运输不当造成的货物损坏、灭失，由乙方承担全部责任。</w:t>
      </w:r>
    </w:p>
    <w:p w14:paraId="156891E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5" w:name="bookmark34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bookmarkEnd w:id="15"/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四）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产品/设备及其备附件到达甲方指定地点后，乙方应按有关技术规程和甲方要求进行存放和保管。</w:t>
      </w:r>
    </w:p>
    <w:p w14:paraId="3161E68B">
      <w:pPr>
        <w:widowControl w:val="0"/>
        <w:kinsoku/>
        <w:autoSpaceDE/>
        <w:autoSpaceDN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</w:pPr>
      <w:bookmarkStart w:id="16" w:name="bookmark36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八</w:t>
      </w:r>
      <w:bookmarkEnd w:id="16"/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eastAsia="zh-CN"/>
        </w:rPr>
        <w:t>、验收</w:t>
      </w:r>
    </w:p>
    <w:p w14:paraId="5F0C7B98">
      <w:pPr>
        <w:widowControl w:val="0"/>
        <w:kinsoku/>
        <w:autoSpaceDE/>
        <w:autoSpaceDN/>
        <w:adjustRightInd/>
        <w:snapToGrid/>
        <w:spacing w:line="360" w:lineRule="auto"/>
        <w:ind w:firstLine="480" w:firstLineChars="0"/>
        <w:jc w:val="both"/>
        <w:textAlignment w:val="auto"/>
        <w:rPr>
          <w:rFonts w:hint="eastAsia" w:ascii="仿宋" w:hAnsi="仿宋" w:eastAsia="仿宋" w:cs="仿宋"/>
          <w:snapToGrid/>
          <w:color w:val="000000"/>
          <w:kern w:val="0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（一）供应商完成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交货任务，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所有初检完毕后，由采购方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组织验收，并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签发《验收单》。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如验收不合格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由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甲方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提出验收意见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乙方修改完善，若第二次验收仍不合格，甲方有权单方解除合同，并追究乙方违约责任。</w:t>
      </w:r>
    </w:p>
    <w:p w14:paraId="4B9B6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）验收依据</w:t>
      </w:r>
    </w:p>
    <w:p w14:paraId="14ADE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1.谈判文件、响应文件、样品、澄清表（函）；</w:t>
      </w:r>
    </w:p>
    <w:p w14:paraId="54A9D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2.相关的检验报告；</w:t>
      </w:r>
    </w:p>
    <w:p w14:paraId="131BC2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3.合同及附件文本；</w:t>
      </w:r>
    </w:p>
    <w:p w14:paraId="0AAD7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4.国家及行业现行的标准和技术规范。</w:t>
      </w:r>
    </w:p>
    <w:p w14:paraId="00EDE5D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ab/>
      </w:r>
      <w:r>
        <w:rPr>
          <w:rFonts w:hint="eastAsia" w:ascii="仿宋" w:hAnsi="仿宋" w:eastAsia="仿宋" w:cs="仿宋"/>
          <w:b w:val="0"/>
          <w:bCs/>
          <w:snapToGrid/>
          <w:color w:val="000000"/>
          <w:kern w:val="2"/>
          <w:sz w:val="24"/>
          <w:szCs w:val="24"/>
          <w:highlight w:val="none"/>
          <w:lang w:eastAsia="zh-CN"/>
        </w:rPr>
        <w:t>双方拟定的其他条款：产品实物与响应文件描述不一致的，以对甲方更有利的标准执行。</w:t>
      </w:r>
    </w:p>
    <w:p w14:paraId="6BC6D1C4">
      <w:pPr>
        <w:widowControl w:val="0"/>
        <w:kinsoku/>
        <w:autoSpaceDE/>
        <w:autoSpaceDN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kern w:val="2"/>
          <w:sz w:val="24"/>
          <w:szCs w:val="24"/>
          <w:highlight w:val="none"/>
          <w:lang w:val="en-US" w:eastAsia="zh-CN" w:bidi="ar-SA"/>
        </w:rPr>
        <w:t>九、售后服务</w:t>
      </w:r>
    </w:p>
    <w:p w14:paraId="715706C6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1、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乙方提供以下售后服务：</w:t>
      </w:r>
    </w:p>
    <w:p w14:paraId="3332776C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项目质保期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：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CN"/>
        </w:rPr>
        <w:t xml:space="preserve"> 1   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年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（自验收合格之日起）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。</w:t>
      </w:r>
    </w:p>
    <w:p w14:paraId="175247B6">
      <w:pPr>
        <w:keepNext w:val="0"/>
        <w:keepLines w:val="0"/>
        <w:widowControl w:val="0"/>
        <w:numPr>
          <w:ilvl w:val="0"/>
          <w:numId w:val="1"/>
        </w:numPr>
        <w:shd w:val="clear" w:color="auto" w:fill="auto"/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乙方需配合甲方完成劳保用品台账登记、安全检查、资质核验等相关工作，按需提供产品检测报告、资质证书等资料。</w:t>
      </w:r>
    </w:p>
    <w:p w14:paraId="516BCD33">
      <w:pPr>
        <w:keepNext w:val="0"/>
        <w:keepLines w:val="0"/>
        <w:widowControl w:val="0"/>
        <w:numPr>
          <w:ilvl w:val="0"/>
          <w:numId w:val="1"/>
        </w:numPr>
        <w:shd w:val="clear" w:color="auto" w:fill="auto"/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质保期内，产品出现非人为质量问题，乙方应在接到甲方通知后3日内免费更换，逾期未更换的，甲方有权自行采购，费用由乙方承担。</w:t>
      </w:r>
    </w:p>
    <w:p w14:paraId="3433E72D">
      <w:pPr>
        <w:widowControl w:val="0"/>
        <w:numPr>
          <w:ilvl w:val="0"/>
          <w:numId w:val="0"/>
        </w:numPr>
        <w:kinsoku/>
        <w:autoSpaceDE/>
        <w:autoSpaceDN/>
        <w:adjustRightInd/>
        <w:snapToGrid/>
        <w:spacing w:line="360" w:lineRule="auto"/>
        <w:ind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eastAsia="zh-CN"/>
        </w:rPr>
        <w:t>十、</w:t>
      </w:r>
      <w:r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b/>
          <w:bCs w:val="0"/>
          <w:snapToGrid/>
          <w:kern w:val="2"/>
          <w:sz w:val="24"/>
          <w:szCs w:val="24"/>
          <w:highlight w:val="none"/>
          <w:lang w:eastAsia="zh-CN"/>
        </w:rPr>
        <w:t>与服务</w:t>
      </w:r>
    </w:p>
    <w:p w14:paraId="0DB2EAF3">
      <w:pPr>
        <w:keepNext w:val="0"/>
        <w:keepLines w:val="0"/>
        <w:widowControl w:val="0"/>
        <w:shd w:val="clear" w:color="auto" w:fill="auto"/>
        <w:tabs>
          <w:tab w:val="left" w:pos="1408"/>
        </w:tabs>
        <w:kinsoku/>
        <w:autoSpaceDE/>
        <w:autoSpaceDN/>
        <w:bidi w:val="0"/>
        <w:adjustRightInd/>
        <w:snapToGrid/>
        <w:spacing w:before="0" w:after="10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17" w:name="bookmark53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17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一）技术资料</w:t>
      </w:r>
    </w:p>
    <w:p w14:paraId="36958C30">
      <w:pPr>
        <w:keepNext w:val="0"/>
        <w:keepLines w:val="0"/>
        <w:widowControl w:val="0"/>
        <w:shd w:val="clear" w:color="auto" w:fill="auto"/>
        <w:tabs>
          <w:tab w:val="left" w:pos="973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18" w:name="bookmark54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1</w:t>
      </w:r>
      <w:bookmarkEnd w:id="18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、产品/设备合格证；</w:t>
      </w:r>
    </w:p>
    <w:p w14:paraId="1C545383">
      <w:pPr>
        <w:keepNext w:val="0"/>
        <w:keepLines w:val="0"/>
        <w:widowControl w:val="0"/>
        <w:shd w:val="clear" w:color="auto" w:fill="auto"/>
        <w:tabs>
          <w:tab w:val="left" w:pos="973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19" w:name="bookmark55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2</w:t>
      </w:r>
      <w:bookmarkEnd w:id="19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、产品/设备技术参数；</w:t>
      </w:r>
    </w:p>
    <w:p w14:paraId="27355521">
      <w:pPr>
        <w:keepNext w:val="0"/>
        <w:keepLines w:val="0"/>
        <w:widowControl w:val="0"/>
        <w:shd w:val="clear" w:color="auto" w:fill="auto"/>
        <w:tabs>
          <w:tab w:val="left" w:pos="973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0" w:name="bookmark56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3</w:t>
      </w:r>
      <w:bookmarkEnd w:id="20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、产品/设备使用维护说明书（中文）；</w:t>
      </w:r>
    </w:p>
    <w:p w14:paraId="4011C2C4">
      <w:pPr>
        <w:keepNext w:val="0"/>
        <w:keepLines w:val="0"/>
        <w:widowControl w:val="0"/>
        <w:shd w:val="clear" w:color="auto" w:fill="auto"/>
        <w:tabs>
          <w:tab w:val="left" w:pos="973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4、产品批次检验报告、质量检测报告；</w:t>
      </w:r>
    </w:p>
    <w:p w14:paraId="6ED45C32">
      <w:pPr>
        <w:keepNext w:val="0"/>
        <w:keepLines w:val="0"/>
        <w:widowControl w:val="0"/>
        <w:shd w:val="clear" w:color="auto" w:fill="auto"/>
        <w:tabs>
          <w:tab w:val="left" w:pos="973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left"/>
        <w:textAlignment w:val="auto"/>
        <w:rPr>
          <w:rFonts w:hint="default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5、供应商资质文件、产品来源渠道合法证明材料；</w:t>
      </w:r>
    </w:p>
    <w:p w14:paraId="717AA08C">
      <w:pPr>
        <w:keepNext w:val="0"/>
        <w:keepLines w:val="0"/>
        <w:widowControl w:val="0"/>
        <w:shd w:val="clear" w:color="auto" w:fill="auto"/>
        <w:tabs>
          <w:tab w:val="left" w:pos="973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1" w:name="bookmark57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6</w:t>
      </w:r>
      <w:bookmarkEnd w:id="21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、其它资料。</w:t>
      </w:r>
    </w:p>
    <w:p w14:paraId="4B4A6581">
      <w:pPr>
        <w:keepNext w:val="0"/>
        <w:keepLines w:val="0"/>
        <w:widowControl w:val="0"/>
        <w:shd w:val="clear" w:color="auto" w:fill="auto"/>
        <w:tabs>
          <w:tab w:val="left" w:pos="1408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2" w:name="bookmark58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22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二）服务承诺</w:t>
      </w:r>
    </w:p>
    <w:p w14:paraId="6F0453CD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以响应文件、澄清表（函）、合同和随产品/设备的相关文件为准。</w:t>
      </w:r>
    </w:p>
    <w:p w14:paraId="6E7FF18D">
      <w:pPr>
        <w:keepNext w:val="0"/>
        <w:keepLines w:val="0"/>
        <w:widowControl w:val="0"/>
        <w:shd w:val="clear" w:color="auto" w:fill="auto"/>
        <w:tabs>
          <w:tab w:val="left" w:pos="1418"/>
        </w:tabs>
        <w:kinsoku/>
        <w:autoSpaceDE/>
        <w:autoSpaceDN/>
        <w:bidi w:val="0"/>
        <w:adjustRightInd/>
        <w:snapToGrid/>
        <w:spacing w:before="0" w:after="4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3" w:name="bookmark59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23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三）双方拟定的其他条款。</w:t>
      </w:r>
    </w:p>
    <w:p w14:paraId="1F2E0896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40" w:line="360" w:lineRule="auto"/>
        <w:ind w:left="0" w:right="0"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en-US"/>
        </w:rPr>
        <w:t>十一、违约</w:t>
      </w:r>
      <w:r>
        <w:rPr>
          <w:rFonts w:hint="eastAsia" w:ascii="仿宋" w:hAnsi="仿宋" w:eastAsia="仿宋" w:cs="仿宋"/>
          <w:b/>
          <w:bCs w:val="0"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责任</w:t>
      </w:r>
    </w:p>
    <w:p w14:paraId="5140A44C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4" w:name="bookmark64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一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）除不可抗力因素外，任何一方未按合同约定履行义务的，违约方应承担相应违约责任。</w:t>
      </w:r>
    </w:p>
    <w:p w14:paraId="386D27C8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二）乙方事先未征得甲方书面同意而单方面延迟交货的，每逾期一日，按照合同总额的千分之二向甲方支付违约金。逾期累计超过15日的，甲方有权单方解除合同，并要求乙方支付合同总价款百分之二十的违约金。</w:t>
      </w:r>
    </w:p>
    <w:p w14:paraId="0D683171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三）乙方所供产品不符合谈判文件规定或验收不合格的，甲方有权解除合同，乙方退还已收全部款项，并承担合同总价款20%的违约金。给甲方造成损失的，还应赔偿损失。</w:t>
      </w:r>
    </w:p>
    <w:p w14:paraId="17E5B49D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（四）乙方擅自将合同义务分包或转包的，甲方有权立即解除合同，乙方退还已收全部款项，并承担合同总价款20%的违约金。</w:t>
      </w:r>
    </w:p>
    <w:p w14:paraId="2F21E81E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（五）因乙方提供的产品侵害他人权利或者造成甲方及第三方损害的，乙方承担全部赔偿责任。</w:t>
      </w:r>
    </w:p>
    <w:p w14:paraId="469E3A05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（六）乙方在提供产品过程中造成他人损害的，由乙方承担全部责任。</w:t>
      </w:r>
    </w:p>
    <w:p w14:paraId="19AB377B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（七）乙方产品存在质量问题导致甲方被监管部门处罚或引发安全事故的，乙方承担全部赔偿责任及法律责任，甲方有权解除合同并要求乙方支付合同总价款20%的违约金。</w:t>
      </w:r>
    </w:p>
    <w:p w14:paraId="0807BCF2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（八）合同解除后，乙方应在3日内退还甲方已支付的全部款项，逾期退还的，按每日万分之五支付资金占用费。</w:t>
      </w:r>
    </w:p>
    <w:p w14:paraId="03AFDA09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（九）上述违约金不足以弥补甲方实际损失的，乙方还应就差额部分继续承担赔偿责任。</w:t>
      </w:r>
    </w:p>
    <w:p w14:paraId="5AC1E6DB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default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（十）合同中未约定的违约责任，按照《中华人民共和国民法典》中的相关规定执行。</w:t>
      </w:r>
    </w:p>
    <w:p w14:paraId="237B6FF1">
      <w:pPr>
        <w:keepNext w:val="0"/>
        <w:keepLines w:val="0"/>
        <w:widowControl w:val="0"/>
        <w:shd w:val="clear" w:color="auto" w:fill="auto"/>
        <w:tabs>
          <w:tab w:val="left" w:pos="14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（十一）双方拟定的其他条款。</w:t>
      </w:r>
      <w:bookmarkEnd w:id="24"/>
    </w:p>
    <w:p w14:paraId="13D707F3">
      <w:pPr>
        <w:keepNext w:val="0"/>
        <w:keepLines w:val="0"/>
        <w:widowControl w:val="0"/>
        <w:shd w:val="clear" w:color="auto" w:fill="auto"/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/>
          <w:bCs w:val="0"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十二、</w:t>
      </w:r>
      <w:r>
        <w:rPr>
          <w:rFonts w:hint="eastAsia" w:ascii="仿宋" w:hAnsi="仿宋" w:eastAsia="仿宋" w:cs="仿宋"/>
          <w:b/>
          <w:bCs w:val="0"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争议解决</w:t>
      </w:r>
    </w:p>
    <w:p w14:paraId="3B44F8C9">
      <w:pPr>
        <w:keepNext w:val="0"/>
        <w:keepLines w:val="0"/>
        <w:widowControl w:val="0"/>
        <w:shd w:val="clear" w:color="auto" w:fill="auto"/>
        <w:tabs>
          <w:tab w:val="left" w:pos="1429"/>
        </w:tabs>
        <w:kinsoku/>
        <w:autoSpaceDE/>
        <w:autoSpaceDN/>
        <w:bidi w:val="0"/>
        <w:adjustRightInd/>
        <w:snapToGrid/>
        <w:spacing w:before="0" w:after="10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5" w:name="bookmark65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25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一）本合同在履行过程中发生的争议，由甲、乙双方当事人协商解决，协商不成的按下列第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 xml:space="preserve">  2 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种方式解决：</w:t>
      </w:r>
    </w:p>
    <w:p w14:paraId="092ED5E0">
      <w:pPr>
        <w:keepNext w:val="0"/>
        <w:keepLines w:val="0"/>
        <w:widowControl w:val="0"/>
        <w:shd w:val="clear" w:color="auto" w:fill="auto"/>
        <w:tabs>
          <w:tab w:val="left" w:pos="971"/>
        </w:tabs>
        <w:kinsoku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6" w:name="bookmark66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1</w:t>
      </w:r>
      <w:bookmarkEnd w:id="26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、提交西安仲裁委员会仲裁；</w:t>
      </w:r>
    </w:p>
    <w:p w14:paraId="355201D9">
      <w:pPr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938"/>
        </w:tabs>
        <w:kinsoku/>
        <w:autoSpaceDE/>
        <w:autoSpaceDN/>
        <w:bidi w:val="0"/>
        <w:adjustRightInd/>
        <w:snapToGrid/>
        <w:spacing w:before="0" w:after="0" w:line="360" w:lineRule="auto"/>
        <w:ind w:right="0" w:rightChars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7" w:name="bookmark67"/>
      <w:bookmarkEnd w:id="27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2、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依</w:t>
      </w:r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法向甲方所在地人民法院起诉。</w:t>
      </w:r>
    </w:p>
    <w:p w14:paraId="162ABE90">
      <w:pPr>
        <w:keepNext w:val="0"/>
        <w:keepLines w:val="0"/>
        <w:widowControl w:val="0"/>
        <w:shd w:val="clear" w:color="auto" w:fill="auto"/>
        <w:tabs>
          <w:tab w:val="left" w:pos="1429"/>
        </w:tabs>
        <w:kinsoku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bookmarkStart w:id="28" w:name="bookmark68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（</w:t>
      </w:r>
      <w:bookmarkEnd w:id="28"/>
      <w:r>
        <w:rPr>
          <w:rFonts w:hint="eastAsia" w:ascii="仿宋" w:hAnsi="仿宋" w:eastAsia="仿宋" w:cs="仿宋"/>
          <w:b w:val="0"/>
          <w:bCs/>
          <w:snapToGrid/>
          <w:color w:val="000000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二）本条款为独立条款，本合同的无效、变更、解除和终止均不影响本条款的效力。</w:t>
      </w:r>
    </w:p>
    <w:p w14:paraId="5B1A8C6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2" w:firstLineChars="200"/>
        <w:jc w:val="both"/>
        <w:textAlignment w:val="auto"/>
        <w:rPr>
          <w:rFonts w:hint="default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三</w:t>
      </w: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、合同变更</w:t>
      </w: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与解除</w:t>
      </w:r>
    </w:p>
    <w:p w14:paraId="2455AB4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1、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需求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情况发生变化，需要项目变更的，应双方协商后签订项目变更协议后生效（如双方变更事项不能达成一致的，仍按原合同履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行，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否则视为违约）。</w:t>
      </w:r>
    </w:p>
    <w:p w14:paraId="3C4216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2、出现下列情形之一的，甲方有权单方解除合同且不承担任何违约责任：</w:t>
      </w:r>
    </w:p>
    <w:p w14:paraId="502F42B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（1）乙方逾期交货累计超过15日；</w:t>
      </w:r>
    </w:p>
    <w:p w14:paraId="0CC1DD6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（2）乙方产品经两次验收仍不合格；</w:t>
      </w:r>
    </w:p>
    <w:p w14:paraId="57550BC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（3）乙方擅自转包或分包；</w:t>
      </w:r>
    </w:p>
    <w:p w14:paraId="2AB25E4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（4）乙方产品存在严重质量问题导致安全责任事故；</w:t>
      </w:r>
    </w:p>
    <w:p w14:paraId="772D762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（5）法律法规规定的其他可以解除合同的情形。</w:t>
      </w:r>
    </w:p>
    <w:p w14:paraId="404B91C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right="0" w:firstLine="482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四</w:t>
      </w: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、合同生效</w:t>
      </w:r>
    </w:p>
    <w:p w14:paraId="1111466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100" w:line="360" w:lineRule="auto"/>
        <w:ind w:left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 xml:space="preserve">   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single"/>
          <w:shd w:val="clear" w:color="auto" w:fill="auto"/>
          <w:lang w:val="en-US" w:eastAsia="zh-CN" w:bidi="zh-TW"/>
        </w:rPr>
        <w:t xml:space="preserve">    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份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本合同甲、乙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合同执行完毕后，自动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失效（合同的服务承诺则长期有效）。</w:t>
      </w:r>
    </w:p>
    <w:p w14:paraId="4BEDC4C1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rightChars="0" w:firstLine="482" w:firstLineChars="200"/>
        <w:jc w:val="left"/>
        <w:textAlignment w:val="auto"/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b/>
          <w:bCs w:val="0"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en-US"/>
        </w:rPr>
        <w:t>十五、其他事项</w:t>
      </w:r>
    </w:p>
    <w:p w14:paraId="49B4A1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（一）在合同的履行期间以及履行期后，采购人可以随时检查项目的执行情况，对采购标准、釆购内容进行调查核实，并对发现的问题进行处理。</w:t>
      </w:r>
    </w:p>
    <w:p w14:paraId="61800DC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竞争性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谈判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文件、响应文件、澄清表（函）、成交通知书、合同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附件均为合同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不可分割的部分。如各文件间存在不一致，以对甲方更有利或甲方选择适用的文件为准。</w:t>
      </w:r>
    </w:p>
    <w:p w14:paraId="1B6931A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right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三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甲乙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不可抗力的一方应当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48小时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内书面通知对方，以减轻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可能给对方造成的损失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双方各自承担其因此而造成的损失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、损害。乙方迟延履行后发生不可抗力的，不免除其违约责任。</w:t>
      </w:r>
    </w:p>
    <w:p w14:paraId="50607B2C">
      <w:pPr>
        <w:widowControl w:val="0"/>
        <w:kinsoku/>
        <w:autoSpaceDE/>
        <w:autoSpaceDN/>
        <w:adjustRightInd/>
        <w:snapToGrid/>
        <w:spacing w:line="360" w:lineRule="auto"/>
        <w:ind w:left="0" w:leftChars="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（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四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CN" w:bidi="zh-TW"/>
        </w:rPr>
        <w:t>）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合同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en-US" w:eastAsia="zh-CN" w:bidi="zh-TW"/>
        </w:rPr>
        <w:t>采购补充合同，</w:t>
      </w:r>
      <w:r>
        <w:rPr>
          <w:rFonts w:hint="eastAsia" w:ascii="仿宋" w:hAnsi="仿宋" w:eastAsia="仿宋" w:cs="仿宋"/>
          <w:b w:val="0"/>
          <w:bCs/>
          <w:snapToGrid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  <w:t>与原合同具有同等法律效力。</w:t>
      </w:r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shd w:val="clear" w:color="auto" w:fill="auto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151"/>
        <w:gridCol w:w="4173"/>
      </w:tblGrid>
      <w:tr w14:paraId="339B4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8" w:hRule="exact"/>
          <w:jc w:val="center"/>
        </w:trPr>
        <w:tc>
          <w:tcPr>
            <w:tcW w:w="2493" w:type="pct"/>
            <w:shd w:val="clear" w:color="auto" w:fill="auto"/>
            <w:vAlign w:val="center"/>
          </w:tcPr>
          <w:p w14:paraId="7F29B950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甲方</w:t>
            </w:r>
          </w:p>
        </w:tc>
        <w:tc>
          <w:tcPr>
            <w:tcW w:w="250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DBE2C03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960" w:firstLineChars="4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乙方</w:t>
            </w:r>
          </w:p>
        </w:tc>
      </w:tr>
      <w:tr w14:paraId="08AF2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98" w:hRule="exact"/>
          <w:jc w:val="center"/>
        </w:trPr>
        <w:tc>
          <w:tcPr>
            <w:tcW w:w="2493" w:type="pct"/>
            <w:shd w:val="clear" w:color="auto" w:fill="auto"/>
            <w:vAlign w:val="center"/>
          </w:tcPr>
          <w:p w14:paraId="523F08BD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采购人名称</w:t>
            </w:r>
          </w:p>
        </w:tc>
        <w:tc>
          <w:tcPr>
            <w:tcW w:w="250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089058F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供应商全称</w:t>
            </w:r>
          </w:p>
        </w:tc>
      </w:tr>
      <w:tr w14:paraId="22E2D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02" w:hRule="exact"/>
          <w:jc w:val="center"/>
        </w:trPr>
        <w:tc>
          <w:tcPr>
            <w:tcW w:w="2493" w:type="pct"/>
            <w:shd w:val="clear" w:color="auto" w:fill="auto"/>
            <w:vAlign w:val="center"/>
          </w:tcPr>
          <w:p w14:paraId="789F089C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（盖章）</w:t>
            </w:r>
          </w:p>
        </w:tc>
        <w:tc>
          <w:tcPr>
            <w:tcW w:w="2506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197AFD2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（盖章）</w:t>
            </w:r>
          </w:p>
        </w:tc>
      </w:tr>
      <w:tr w14:paraId="4FC13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4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top"/>
          </w:tcPr>
          <w:p w14:paraId="48B8FCE0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地址：</w:t>
            </w: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36F44AC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地址：</w:t>
            </w:r>
          </w:p>
        </w:tc>
      </w:tr>
      <w:tr w14:paraId="65B63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9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BE9DD29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邮编：</w:t>
            </w: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229D410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邮编：</w:t>
            </w:r>
          </w:p>
        </w:tc>
      </w:tr>
      <w:tr w14:paraId="41DA2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66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E3EF345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被授权代表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：</w:t>
            </w: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1D41377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法定代表人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被授权代表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en-US" w:eastAsia="zh-CN" w:bidi="zh-TW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CN" w:bidi="zh-TW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：</w:t>
            </w:r>
          </w:p>
        </w:tc>
      </w:tr>
      <w:tr w14:paraId="2CBE3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1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28A7141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电话：</w:t>
            </w: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9D1DEBF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电话：</w:t>
            </w:r>
          </w:p>
        </w:tc>
      </w:tr>
      <w:tr w14:paraId="3805C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9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47D0FA6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传真：</w:t>
            </w: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75E3080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传真：</w:t>
            </w:r>
          </w:p>
        </w:tc>
      </w:tr>
      <w:tr w14:paraId="67A61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9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top"/>
          </w:tcPr>
          <w:p w14:paraId="1C7F8C35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A6E2C4E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开户银行：</w:t>
            </w:r>
          </w:p>
        </w:tc>
      </w:tr>
      <w:tr w14:paraId="205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1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top"/>
          </w:tcPr>
          <w:p w14:paraId="37F27FCB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5FE96892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180" w:right="0" w:firstLine="480" w:firstLineChars="20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帐号：</w:t>
            </w:r>
          </w:p>
        </w:tc>
      </w:tr>
      <w:tr w14:paraId="5500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shd w:val="clear" w:color="auto" w:fill="auto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50" w:hRule="exact"/>
          <w:jc w:val="center"/>
        </w:trPr>
        <w:tc>
          <w:tcPr>
            <w:tcW w:w="2493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B3B1874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0"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日期：  年  月   日</w:t>
            </w:r>
          </w:p>
        </w:tc>
        <w:tc>
          <w:tcPr>
            <w:tcW w:w="2506" w:type="pc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6E31C74">
            <w:pPr>
              <w:keepNext w:val="0"/>
              <w:keepLines w:val="0"/>
              <w:pageBreakBefore w:val="0"/>
              <w:widowControl w:val="0"/>
              <w:shd w:val="clear" w:color="auto" w:fill="auto"/>
              <w:tabs>
                <w:tab w:val="left" w:pos="159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380" w:line="413" w:lineRule="exact"/>
              <w:ind w:left="0" w:right="0" w:firstLine="0" w:firstLineChars="0"/>
              <w:jc w:val="both"/>
              <w:textAlignment w:val="auto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4"/>
                <w:szCs w:val="24"/>
                <w:highlight w:val="none"/>
                <w:u w:val="none"/>
                <w:shd w:val="clear" w:color="auto" w:fill="auto"/>
                <w:lang w:val="zh-TW" w:eastAsia="zh-TW" w:bidi="zh-TW"/>
              </w:rPr>
              <w:t>日期：  年  月  日</w:t>
            </w:r>
          </w:p>
        </w:tc>
      </w:tr>
    </w:tbl>
    <w:p w14:paraId="3F6F6C8C">
      <w:pPr>
        <w:keepNext w:val="0"/>
        <w:keepLines w:val="0"/>
        <w:pageBreakBefore w:val="0"/>
        <w:widowControl w:val="0"/>
        <w:shd w:val="clear" w:color="auto" w:fill="auto"/>
        <w:tabs>
          <w:tab w:val="left" w:pos="15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380" w:line="413" w:lineRule="exact"/>
        <w:ind w:left="180" w:right="0" w:firstLine="48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0"/>
          <w:w w:val="100"/>
          <w:position w:val="0"/>
          <w:sz w:val="24"/>
          <w:szCs w:val="24"/>
          <w:highlight w:val="none"/>
          <w:u w:val="none"/>
          <w:shd w:val="clear" w:color="auto" w:fill="auto"/>
          <w:lang w:val="zh-TW" w:eastAsia="zh-TW" w:bidi="zh-TW"/>
        </w:rPr>
      </w:pPr>
    </w:p>
    <w:p w14:paraId="68703D93">
      <w:pPr>
        <w:pStyle w:val="5"/>
        <w:rPr>
          <w:rFonts w:hint="eastAsia" w:ascii="仿宋" w:hAnsi="仿宋" w:eastAsia="仿宋" w:cs="仿宋"/>
        </w:rPr>
      </w:pPr>
    </w:p>
    <w:p w14:paraId="4934F4EB">
      <w:pPr>
        <w:pStyle w:val="5"/>
        <w:rPr>
          <w:rFonts w:hint="eastAsia" w:ascii="仿宋" w:hAnsi="仿宋" w:eastAsia="仿宋" w:cs="仿宋"/>
          <w:lang w:val="en-US" w:eastAsia="zh-Hans"/>
        </w:rPr>
      </w:pPr>
    </w:p>
    <w:p w14:paraId="672A1316">
      <w:pPr>
        <w:rPr>
          <w:rFonts w:hint="eastAsia" w:ascii="仿宋" w:hAnsi="仿宋" w:eastAsia="仿宋" w:cs="仿宋"/>
        </w:rPr>
      </w:pPr>
    </w:p>
    <w:p w14:paraId="6A3E1C41">
      <w:pPr>
        <w:rPr>
          <w:rFonts w:hint="eastAsia" w:ascii="仿宋" w:hAnsi="仿宋" w:eastAsia="仿宋" w:cs="仿宋"/>
        </w:rPr>
      </w:pPr>
    </w:p>
    <w:p w14:paraId="0C38BA0E">
      <w:pPr>
        <w:rPr>
          <w:rFonts w:hint="eastAsia" w:ascii="仿宋" w:hAnsi="仿宋" w:eastAsia="仿宋" w:cs="仿宋"/>
        </w:rPr>
      </w:pPr>
    </w:p>
    <w:p w14:paraId="7058F0E0">
      <w:pPr>
        <w:rPr>
          <w:rFonts w:hint="eastAsia" w:ascii="仿宋_GB2312" w:hAnsi="仿宋_GB2312" w:eastAsia="仿宋_GB2312" w:cs="仿宋_GB2312"/>
          <w:lang w:val="en-US" w:eastAsia="zh-Hans"/>
        </w:rPr>
      </w:pPr>
    </w:p>
    <w:p w14:paraId="4A163D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BB9C2"/>
    <w:multiLevelType w:val="singleLevel"/>
    <w:tmpl w:val="2BFBB9C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D7B0C"/>
    <w:rsid w:val="08AA1AF6"/>
    <w:rsid w:val="4E720846"/>
    <w:rsid w:val="4E8F1833"/>
    <w:rsid w:val="5B1D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3691</Words>
  <Characters>3747</Characters>
  <Lines>0</Lines>
  <Paragraphs>0</Paragraphs>
  <TotalTime>0</TotalTime>
  <ScaleCrop>false</ScaleCrop>
  <LinksUpToDate>false</LinksUpToDate>
  <CharactersWithSpaces>3934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2026-06-25T03:08:00Z</dcterms:created>
  <dc:creator>四方衡裕</dc:creator>
  <cp:lastModifiedBy>四方衡裕</cp:lastModifiedBy>
  <dcterms:modified xsi:type="dcterms:W3CDTF">2026-07-07T07:14:07Z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62990B9D2CE846539217D153539578C2_11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