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版本号：SZY20261390061-120260616002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南校区屋面防水修缮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SZY20261390061-1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南校区屋面防水修缮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SZY20261390061-1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南校区屋面防水修缮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拟对综合楼屋面，面积：2591.51m2；会展中心二楼、三楼屋面，面积：1820.48m2；行政楼屋面，面积：618.54m2；进行拆除原卷材防水，处理基层，新作屋面防水卷材。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采购包1（南校区屋面防水修缮）：属于专门面向中小企业采购。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磋商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2、单位资质：参加本项目的供应商应具备防水防腐保温工程专业承包资质二级及以上（含二级）资质，且具有有效的安全生产许可证。</w:t>
      </w:r>
    </w:p>
    <w:p>
      <w:pPr>
        <w:pStyle w:val="null3"/>
      </w:pPr>
      <w:r>
        <w:rPr>
          <w:rFonts w:ascii="仿宋_GB2312" w:hAnsi="仿宋_GB2312" w:cs="仿宋_GB2312" w:eastAsia="仿宋_GB2312"/>
        </w:rPr>
        <w:t>3、项目经理执业资格：供应商拟派项目经理具备合法有效的建筑工程专业二级及以上注册建造师执业资格、具有安全生产考核合格证（B证）且在本单位注册，无在建工程（提供无在建的声明函）。</w:t>
      </w:r>
    </w:p>
    <w:p>
      <w:pPr>
        <w:pStyle w:val="null3"/>
      </w:pPr>
      <w:r>
        <w:rPr>
          <w:rFonts w:ascii="仿宋_GB2312" w:hAnsi="仿宋_GB2312" w:cs="仿宋_GB2312" w:eastAsia="仿宋_GB2312"/>
        </w:rPr>
        <w:t>4、备案查询：供应商及供应商拟派项目经理须在“全国建筑市场监管公共服务平台（https://jzsc.mohurd.gov.cn/home）”可查询。</w:t>
      </w:r>
    </w:p>
    <w:p>
      <w:pPr>
        <w:pStyle w:val="null3"/>
      </w:pPr>
      <w:r>
        <w:rPr>
          <w:rFonts w:ascii="仿宋_GB2312" w:hAnsi="仿宋_GB2312" w:cs="仿宋_GB2312" w:eastAsia="仿宋_GB2312"/>
        </w:rPr>
        <w:t>5、关联关系：单位负责人为同一人或者存在直接控股、管理关系的不同供应商，不得参加同一合同项下的投标活动。</w:t>
      </w:r>
    </w:p>
    <w:p>
      <w:pPr>
        <w:pStyle w:val="null3"/>
      </w:pPr>
      <w:r>
        <w:rPr>
          <w:rFonts w:ascii="仿宋_GB2312" w:hAnsi="仿宋_GB2312" w:cs="仿宋_GB2312" w:eastAsia="仿宋_GB2312"/>
        </w:rPr>
        <w:t>6、信用记录：截止至响应文件递交截止时间之前，供应商未被列入“信用中国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pPr>
        <w:pStyle w:val="null3"/>
      </w:pPr>
      <w:r>
        <w:rPr>
          <w:rFonts w:ascii="仿宋_GB2312" w:hAnsi="仿宋_GB2312" w:cs="仿宋_GB2312" w:eastAsia="仿宋_GB2312"/>
        </w:rPr>
        <w:t>7、磋商保证金：磋商保证金缴纳凭证或担保机构出具的保函。</w:t>
      </w:r>
    </w:p>
    <w:p>
      <w:pPr>
        <w:pStyle w:val="null3"/>
      </w:pPr>
      <w:r>
        <w:rPr>
          <w:rFonts w:ascii="仿宋_GB2312" w:hAnsi="仿宋_GB2312" w:cs="仿宋_GB2312" w:eastAsia="仿宋_GB2312"/>
        </w:rPr>
        <w:t>8、非联合体：本项目不允许联合体磋商。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陕西省咸阳市秦都区世纪大道中段1号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魏依依、李小峰、康敏茹、张艳萍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采购包1：384,111.91元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说明：收款账户： 户名：陕西中医药大学 开户行：中国银行咸阳分行 账户号：102803326631 纳税人识别号：12610000435203464U 联行号：104795030381 地址：陕西省西咸新区西咸大道 电话：38185066 履约保证金的退付：工程竣工验收合格后履约保证金转为质量保证金。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代理服务费收费标准：定额收取4000元。 账户名称：华夏国际项目管理（西安）有限公司第一分公司 开户银行：中国光大银行股份有限公司西安科技六路支行 银行账号：78620188000199459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一、验收依据合同文本；国家有关的验收标准及规范；磋商文件；响应文件。 二、交付竣工验收的工程，必须符合规定的工程质量标准，有完整的工程技术经济资料和经签署的工程保修书，并具备国 家规定的其他竣工条件。工程竣工经验收合格后，方可交付使用；未经验收或者验收不合格的，不得交付使用。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384,111.91</w:t>
      </w:r>
    </w:p>
    <w:p>
      <w:pPr>
        <w:pStyle w:val="null3"/>
      </w:pPr>
      <w:r>
        <w:rPr>
          <w:rFonts w:ascii="仿宋_GB2312" w:hAnsi="仿宋_GB2312" w:cs="仿宋_GB2312" w:eastAsia="仿宋_GB2312"/>
        </w:rPr>
        <w:t>采购包最高限价（元）: 384,111.91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南校区屋面防水修缮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384,111.91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标的名称：南校区屋面防水修缮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1.项目简介</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拟对综合楼屋面，面积：2591.51m2；会展中心二楼、三楼屋面，面积：1820.48m2；行政楼屋面，面积：618.54m2；进行拆除原卷材防水，处理基层，新作屋面防水</w:t>
            </w:r>
            <w:r>
              <w:rPr>
                <w:rFonts w:ascii="仿宋_GB2312" w:hAnsi="仿宋_GB2312" w:cs="仿宋_GB2312" w:eastAsia="仿宋_GB2312"/>
                <w:color w:val="000000"/>
              </w:rPr>
              <w:t>卷材</w:t>
            </w:r>
            <w:r>
              <w:rPr>
                <w:rFonts w:ascii="仿宋_GB2312" w:hAnsi="仿宋_GB2312" w:cs="仿宋_GB2312" w:eastAsia="仿宋_GB2312"/>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2.</w:t>
            </w:r>
            <w:r>
              <w:rPr>
                <w:rFonts w:ascii="仿宋_GB2312" w:hAnsi="仿宋_GB2312" w:cs="仿宋_GB2312" w:eastAsia="仿宋_GB2312"/>
                <w:color w:val="000000"/>
              </w:rPr>
              <w:t>采购的主要内容：</w:t>
            </w:r>
          </w:p>
          <w:p>
            <w:pPr>
              <w:pStyle w:val="null3"/>
              <w:spacing w:before="75"/>
              <w:ind w:left="15"/>
              <w:jc w:val="left"/>
            </w:pPr>
            <w:r>
              <w:rPr>
                <w:rFonts w:ascii="仿宋_GB2312" w:hAnsi="仿宋_GB2312" w:cs="仿宋_GB2312" w:eastAsia="仿宋_GB2312"/>
                <w:color w:val="000000"/>
              </w:rPr>
              <w:t>（1）拆除屋面老旧卷材，垃圾清运，屋面废旧物搬运清理，屋面卷材防水铺设（详见工程量清单）。</w:t>
            </w:r>
          </w:p>
          <w:p>
            <w:pPr>
              <w:pStyle w:val="null3"/>
              <w:spacing w:before="75"/>
              <w:ind w:left="15"/>
              <w:jc w:val="left"/>
            </w:pPr>
            <w:r>
              <w:rPr>
                <w:rFonts w:ascii="仿宋_GB2312" w:hAnsi="仿宋_GB2312" w:cs="仿宋_GB2312" w:eastAsia="仿宋_GB2312"/>
                <w:color w:val="000000"/>
              </w:rPr>
              <w:t>（2）工程质量需符合《建筑工程施工质量验收统一标准》(GB50300-2013),</w:t>
            </w:r>
          </w:p>
          <w:p>
            <w:pPr>
              <w:pStyle w:val="null3"/>
              <w:spacing w:before="75"/>
              <w:ind w:left="15"/>
              <w:jc w:val="left"/>
            </w:pPr>
            <w:r>
              <w:rPr>
                <w:rFonts w:ascii="仿宋_GB2312" w:hAnsi="仿宋_GB2312" w:cs="仿宋_GB2312" w:eastAsia="仿宋_GB2312"/>
                <w:color w:val="000000"/>
              </w:rPr>
              <w:t>《建筑与市政工程防水通用规范》（GB55030-2022），GB50207-2012《屋面工程质量验收规范》达到合格标准，一次性验收通过率100%。</w:t>
            </w:r>
          </w:p>
          <w:p>
            <w:pPr>
              <w:pStyle w:val="null3"/>
            </w:pPr>
            <w:r>
              <w:rPr>
                <w:rFonts w:ascii="仿宋_GB2312" w:hAnsi="仿宋_GB2312" w:cs="仿宋_GB2312" w:eastAsia="仿宋_GB2312"/>
              </w:rPr>
              <w:t>（3）防水材料的耐久性应与工程防水设计工作年限相适应，满足环保要求，质保期内不出现老化、开裂、渗漏等问题。</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3.环保要求：</w:t>
            </w:r>
          </w:p>
          <w:p>
            <w:pPr>
              <w:pStyle w:val="null3"/>
              <w:spacing w:before="75"/>
              <w:ind w:left="15"/>
              <w:jc w:val="left"/>
            </w:pPr>
            <w:r>
              <w:rPr>
                <w:rFonts w:ascii="仿宋_GB2312" w:hAnsi="仿宋_GB2312" w:cs="仿宋_GB2312" w:eastAsia="仿宋_GB2312"/>
                <w:color w:val="000000"/>
              </w:rPr>
              <w:t>（1）环保要求：涂料有害物质限量需符合《室内装饰装修材料内 墙涂料中有害物质限量》( GB  18582-2020),甲醛释放量≤0.1mg/m³,苯系物总和≤100mg/kg, 施工过程中无刺激性异味。</w:t>
            </w:r>
          </w:p>
          <w:p>
            <w:pPr>
              <w:pStyle w:val="null3"/>
            </w:pPr>
            <w:r>
              <w:rPr>
                <w:rFonts w:ascii="仿宋_GB2312" w:hAnsi="仿宋_GB2312" w:cs="仿宋_GB2312" w:eastAsia="仿宋_GB2312"/>
              </w:rPr>
              <w:t>（2）耐久性要求：卷材使用寿命≥8年，质保期内(自验收合格之日起5年)免费维修。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4.特殊部位处理</w:t>
            </w:r>
          </w:p>
          <w:p>
            <w:pPr>
              <w:pStyle w:val="null3"/>
              <w:spacing w:before="75"/>
              <w:ind w:left="15"/>
              <w:jc w:val="left"/>
            </w:pPr>
            <w:r>
              <w:rPr>
                <w:rFonts w:ascii="仿宋_GB2312" w:hAnsi="仿宋_GB2312" w:cs="仿宋_GB2312" w:eastAsia="仿宋_GB2312"/>
                <w:color w:val="000000"/>
              </w:rPr>
              <w:t>(1)阴阳角：附加层：500mm 宽卷材骑角铺贴，圆弧处满粘压实，无空鼓；大面：平面卷材上翻立面≥250mm，立面卷材下覆平面≥250mm，搭接缝错开。</w:t>
            </w:r>
          </w:p>
          <w:p>
            <w:pPr>
              <w:pStyle w:val="null3"/>
              <w:spacing w:before="75"/>
              <w:ind w:left="15"/>
              <w:jc w:val="left"/>
            </w:pPr>
            <w:r>
              <w:rPr>
                <w:rFonts w:ascii="仿宋_GB2312" w:hAnsi="仿宋_GB2312" w:cs="仿宋_GB2312" w:eastAsia="仿宋_GB2312"/>
                <w:color w:val="000000"/>
              </w:rPr>
              <w:t>(2)管根：基层：做300×300mm 锥台（高≥30mm），根部圆弧过渡。附加层：500×500mm 方片，中心开孔套入管道，上翻≥250mm，热熔满粘。收头：金属箍（宽 20mm）紧固，密封膏封严；大面卷材与附加层搭接≥100mm。</w:t>
            </w:r>
          </w:p>
          <w:p>
            <w:pPr>
              <w:pStyle w:val="null3"/>
              <w:spacing w:before="75"/>
              <w:ind w:left="15"/>
              <w:jc w:val="left"/>
            </w:pPr>
            <w:r>
              <w:rPr>
                <w:rFonts w:ascii="仿宋_GB2312" w:hAnsi="仿宋_GB2312" w:cs="仿宋_GB2312" w:eastAsia="仿宋_GB2312"/>
                <w:color w:val="000000"/>
              </w:rPr>
              <w:t>(3)雨水口：基层：口周500mm 范围找坡≥5%，杯口固定牢固。</w:t>
            </w:r>
          </w:p>
          <w:p>
            <w:pPr>
              <w:pStyle w:val="null3"/>
              <w:spacing w:before="75"/>
              <w:ind w:left="15"/>
              <w:jc w:val="left"/>
            </w:pPr>
            <w:r>
              <w:rPr>
                <w:rFonts w:ascii="仿宋_GB2312" w:hAnsi="仿宋_GB2312" w:cs="仿宋_GB2312" w:eastAsia="仿宋_GB2312"/>
                <w:color w:val="000000"/>
              </w:rPr>
              <w:t>附加层：卷材裁成圆形，深入杯内≥50mm，杯口外满粘≥250mm。</w:t>
            </w:r>
          </w:p>
          <w:p>
            <w:pPr>
              <w:pStyle w:val="null3"/>
              <w:spacing w:before="75"/>
              <w:ind w:left="15"/>
              <w:jc w:val="left"/>
            </w:pPr>
            <w:r>
              <w:rPr>
                <w:rFonts w:ascii="仿宋_GB2312" w:hAnsi="仿宋_GB2312" w:cs="仿宋_GB2312" w:eastAsia="仿宋_GB2312"/>
                <w:color w:val="000000"/>
              </w:rPr>
              <w:t>增强：先涂2mm 厚改性沥青涂料，再铺附加层；大面卷材压覆附加层≥100mm。</w:t>
            </w:r>
          </w:p>
          <w:p>
            <w:pPr>
              <w:pStyle w:val="null3"/>
              <w:spacing w:before="75"/>
              <w:ind w:left="15"/>
              <w:jc w:val="left"/>
            </w:pPr>
            <w:r>
              <w:rPr>
                <w:rFonts w:ascii="仿宋_GB2312" w:hAnsi="仿宋_GB2312" w:cs="仿宋_GB2312" w:eastAsia="仿宋_GB2312"/>
                <w:color w:val="000000"/>
              </w:rPr>
              <w:t>(4)女儿墙/泛水：附加层：根部500mm 宽，屋面与墙面各 250mm，圆弧处压实。卷材上翻：高度≥250mm（设计更高时按设计），顶部入凹槽（20×40mm）。</w:t>
            </w:r>
          </w:p>
          <w:p>
            <w:pPr>
              <w:pStyle w:val="null3"/>
              <w:spacing w:before="75"/>
              <w:ind w:left="15"/>
              <w:jc w:val="left"/>
            </w:pPr>
            <w:r>
              <w:rPr>
                <w:rFonts w:ascii="仿宋_GB2312" w:hAnsi="仿宋_GB2312" w:cs="仿宋_GB2312" w:eastAsia="仿宋_GB2312"/>
                <w:color w:val="000000"/>
              </w:rPr>
              <w:t>收头：金属压条+水泥钉（间距≤300mm）固定，密封膏封严，外覆保护层。</w:t>
            </w:r>
          </w:p>
          <w:p>
            <w:pPr>
              <w:pStyle w:val="null3"/>
            </w:pPr>
            <w:r>
              <w:rPr>
                <w:rFonts w:ascii="仿宋_GB2312" w:hAnsi="仿宋_GB2312" w:cs="仿宋_GB2312" w:eastAsia="仿宋_GB2312"/>
              </w:rPr>
              <w:t>(5)伸缩缝:缝内：填聚乙烯泡沫棒，两侧做500mm 宽附加层。大面：卷材空铺于缝上，两侧满粘≥250mm，严禁拉紧绷直。保护：上部盖金属盖板（搭接≥100mm），射钉固定（间距≤400mm）。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5.材料质量要求</w:t>
            </w:r>
          </w:p>
          <w:p>
            <w:pPr>
              <w:pStyle w:val="null3"/>
            </w:pPr>
            <w:r>
              <w:rPr>
                <w:rFonts w:ascii="仿宋_GB2312" w:hAnsi="仿宋_GB2312" w:cs="仿宋_GB2312" w:eastAsia="仿宋_GB2312"/>
              </w:rPr>
              <w:t>材料名称：﹣20度SBS高聚物改性沥青防水卷材（4mm）、屋面泄水构件；检测报告要求：每批次提供出 厂合格证、检测报告。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6.</w:t>
            </w:r>
            <w:r>
              <w:rPr>
                <w:rFonts w:ascii="仿宋_GB2312" w:hAnsi="仿宋_GB2312" w:cs="仿宋_GB2312" w:eastAsia="仿宋_GB2312"/>
                <w:color w:val="000000"/>
              </w:rPr>
              <w:t>施工工艺质量控制关键工序要求：</w:t>
            </w:r>
          </w:p>
          <w:p>
            <w:pPr>
              <w:pStyle w:val="null3"/>
              <w:spacing w:before="75"/>
              <w:ind w:left="15"/>
              <w:jc w:val="left"/>
            </w:pPr>
            <w:r>
              <w:rPr>
                <w:rFonts w:ascii="仿宋_GB2312" w:hAnsi="仿宋_GB2312" w:cs="仿宋_GB2312" w:eastAsia="仿宋_GB2312"/>
                <w:color w:val="000000"/>
              </w:rPr>
              <w:t>(1)雨、雪天及五级以上大风天严禁施工。</w:t>
            </w:r>
          </w:p>
          <w:p>
            <w:pPr>
              <w:pStyle w:val="null3"/>
              <w:spacing w:before="75"/>
              <w:ind w:left="15"/>
              <w:jc w:val="left"/>
            </w:pPr>
            <w:r>
              <w:rPr>
                <w:rFonts w:ascii="仿宋_GB2312" w:hAnsi="仿宋_GB2312" w:cs="仿宋_GB2312" w:eastAsia="仿宋_GB2312"/>
                <w:color w:val="000000"/>
              </w:rPr>
              <w:t>(2)施工环境气温不宜低于0℃。</w:t>
            </w:r>
          </w:p>
          <w:p>
            <w:pPr>
              <w:pStyle w:val="null3"/>
              <w:spacing w:before="75"/>
              <w:ind w:left="15"/>
              <w:jc w:val="left"/>
            </w:pPr>
            <w:r>
              <w:rPr>
                <w:rFonts w:ascii="仿宋_GB2312" w:hAnsi="仿宋_GB2312" w:cs="仿宋_GB2312" w:eastAsia="仿宋_GB2312"/>
                <w:color w:val="000000"/>
              </w:rPr>
              <w:t>(3)施工过程中发生降水时，应做好铺卷材的防护工作。</w:t>
            </w:r>
          </w:p>
          <w:p>
            <w:pPr>
              <w:pStyle w:val="null3"/>
              <w:spacing w:before="75"/>
              <w:ind w:left="15"/>
              <w:jc w:val="left"/>
            </w:pPr>
            <w:r>
              <w:rPr>
                <w:rFonts w:ascii="仿宋_GB2312" w:hAnsi="仿宋_GB2312" w:cs="仿宋_GB2312" w:eastAsia="仿宋_GB2312"/>
                <w:color w:val="000000"/>
              </w:rPr>
              <w:t>(4)施工加热幅宽内必须均匀一致，火焰加热器的喷嘴距卷材面的距离应适中，幅宽内加热应均匀，以卷材表面熔融至光亮黑色为度，不得过分加热卷材，且热熔施工时材料表面温度不宜高于200℃。施工环境气温不宜低于0℃。</w:t>
            </w:r>
          </w:p>
          <w:p>
            <w:pPr>
              <w:pStyle w:val="null3"/>
              <w:spacing w:before="75"/>
              <w:ind w:left="15"/>
              <w:jc w:val="left"/>
            </w:pPr>
            <w:r>
              <w:rPr>
                <w:rFonts w:ascii="仿宋_GB2312" w:hAnsi="仿宋_GB2312" w:cs="仿宋_GB2312" w:eastAsia="仿宋_GB2312"/>
                <w:color w:val="000000"/>
              </w:rPr>
              <w:t>（5）施工现场安全防护设施齐全，按规定放置消防器材</w:t>
            </w:r>
          </w:p>
          <w:p>
            <w:pPr>
              <w:pStyle w:val="null3"/>
            </w:pPr>
            <w:r>
              <w:rPr>
                <w:rFonts w:ascii="仿宋_GB2312" w:hAnsi="仿宋_GB2312" w:cs="仿宋_GB2312" w:eastAsia="仿宋_GB2312"/>
              </w:rPr>
              <w:t>（6）材料进场需经采购人、监理单位联合验收，见证取样复验合格后方可使用，检测费用由施工单位承担。</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7.</w:t>
            </w:r>
            <w:r>
              <w:rPr>
                <w:rFonts w:ascii="仿宋_GB2312" w:hAnsi="仿宋_GB2312" w:cs="仿宋_GB2312" w:eastAsia="仿宋_GB2312"/>
                <w:color w:val="000000"/>
              </w:rPr>
              <w:t>质量保证措施与违约责任</w:t>
            </w:r>
          </w:p>
          <w:p>
            <w:pPr>
              <w:pStyle w:val="null3"/>
              <w:spacing w:before="75"/>
              <w:ind w:left="15"/>
              <w:jc w:val="left"/>
            </w:pPr>
            <w:r>
              <w:rPr>
                <w:rFonts w:ascii="仿宋_GB2312" w:hAnsi="仿宋_GB2312" w:cs="仿宋_GB2312" w:eastAsia="仿宋_GB2312"/>
                <w:color w:val="000000"/>
              </w:rPr>
              <w:t>施工单位需建立项目经理负责制的质量管控小组，每周提交质量检查记录，关键工序(如基层验收、卷材铺贴)需经监理签字确认后方可进入下道工序。</w:t>
            </w:r>
          </w:p>
          <w:p>
            <w:pPr>
              <w:pStyle w:val="null3"/>
              <w:spacing w:before="75"/>
              <w:ind w:left="15"/>
              <w:jc w:val="left"/>
            </w:pPr>
            <w:r>
              <w:rPr>
                <w:rFonts w:ascii="仿宋_GB2312" w:hAnsi="仿宋_GB2312" w:cs="仿宋_GB2312" w:eastAsia="仿宋_GB2312"/>
                <w:color w:val="000000"/>
              </w:rPr>
              <w:t>违约处理：</w:t>
            </w:r>
          </w:p>
          <w:p>
            <w:pPr>
              <w:pStyle w:val="null3"/>
              <w:spacing w:before="75"/>
              <w:ind w:left="15"/>
              <w:jc w:val="left"/>
            </w:pPr>
            <w:r>
              <w:rPr>
                <w:rFonts w:ascii="仿宋_GB2312" w:hAnsi="仿宋_GB2312" w:cs="仿宋_GB2312" w:eastAsia="仿宋_GB2312"/>
                <w:color w:val="000000"/>
              </w:rPr>
              <w:t>(1)若卷材厚度、耐久性指标等关键项不达标，需无条件返工，并承担返工费用及工期延误责任(每延误1 天扣合同价1%)。</w:t>
            </w:r>
          </w:p>
          <w:p>
            <w:pPr>
              <w:pStyle w:val="null3"/>
              <w:spacing w:before="75"/>
              <w:ind w:left="15"/>
              <w:jc w:val="left"/>
            </w:pPr>
            <w:r>
              <w:rPr>
                <w:rFonts w:ascii="仿宋_GB2312" w:hAnsi="仿宋_GB2312" w:cs="仿宋_GB2312" w:eastAsia="仿宋_GB2312"/>
                <w:color w:val="000000"/>
              </w:rPr>
              <w:t>(2)质保期内出现大面积开裂、接缝焊接脱焊(开裂面积&gt;3%)，施工单位需免费重新施工，需承担法律责任。</w:t>
            </w:r>
          </w:p>
          <w:p>
            <w:pPr>
              <w:pStyle w:val="null3"/>
            </w:pPr>
            <w:r>
              <w:rPr>
                <w:rFonts w:ascii="仿宋_GB2312" w:hAnsi="仿宋_GB2312" w:cs="仿宋_GB2312" w:eastAsia="仿宋_GB2312"/>
              </w:rPr>
              <w:t>(3)采购人有权委托第三方检测机构对工程质量进行抽检，若不合格项超过3处，检测费用由施工单位承担。</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8.工程量清单 (详见附件)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spacing w:before="75"/>
              <w:ind w:left="15"/>
              <w:jc w:val="left"/>
            </w:pPr>
            <w:r>
              <w:rPr>
                <w:rFonts w:ascii="仿宋_GB2312" w:hAnsi="仿宋_GB2312" w:cs="仿宋_GB2312" w:eastAsia="仿宋_GB2312"/>
                <w:color w:val="000000"/>
              </w:rPr>
              <w:t>9.工期：40日历天。</w:t>
            </w:r>
          </w:p>
          <w:p>
            <w:pPr>
              <w:pStyle w:val="null3"/>
              <w:spacing w:before="75"/>
              <w:ind w:left="15"/>
              <w:jc w:val="left"/>
            </w:pPr>
            <w:r>
              <w:rPr>
                <w:rFonts w:ascii="仿宋_GB2312" w:hAnsi="仿宋_GB2312" w:cs="仿宋_GB2312" w:eastAsia="仿宋_GB2312"/>
                <w:color w:val="000000"/>
              </w:rPr>
              <w:t>质保期：5年，其中缺陷责任期2年。</w:t>
            </w:r>
          </w:p>
          <w:p>
            <w:pPr>
              <w:pStyle w:val="null3"/>
              <w:spacing w:before="75"/>
              <w:ind w:left="15"/>
              <w:jc w:val="left"/>
            </w:pPr>
            <w:r>
              <w:rPr>
                <w:rFonts w:ascii="仿宋_GB2312" w:hAnsi="仿宋_GB2312" w:cs="仿宋_GB2312" w:eastAsia="仿宋_GB2312"/>
                <w:color w:val="000000"/>
              </w:rPr>
              <w:t>付款方式：工程竣工并经甲方验收合格，甲方审计结束，依据审计结果，由乙方开具并向甲方提供全额发票</w:t>
            </w:r>
            <w:r>
              <w:rPr>
                <w:rFonts w:ascii="仿宋_GB2312" w:hAnsi="仿宋_GB2312" w:cs="仿宋_GB2312" w:eastAsia="仿宋_GB2312"/>
                <w:color w:val="000000"/>
              </w:rPr>
              <w:t>后</w:t>
            </w:r>
            <w:r>
              <w:rPr>
                <w:rFonts w:ascii="仿宋_GB2312" w:hAnsi="仿宋_GB2312" w:cs="仿宋_GB2312" w:eastAsia="仿宋_GB2312"/>
                <w:color w:val="000000"/>
              </w:rPr>
              <w:t>，</w:t>
            </w:r>
            <w:r>
              <w:rPr>
                <w:rFonts w:ascii="仿宋_GB2312" w:hAnsi="仿宋_GB2312" w:cs="仿宋_GB2312" w:eastAsia="仿宋_GB2312"/>
                <w:color w:val="000000"/>
              </w:rPr>
              <w:t>30日内</w:t>
            </w:r>
            <w:r>
              <w:rPr>
                <w:rFonts w:ascii="仿宋_GB2312" w:hAnsi="仿宋_GB2312" w:cs="仿宋_GB2312" w:eastAsia="仿宋_GB2312"/>
                <w:color w:val="000000"/>
              </w:rPr>
              <w:t>，支付审核总价100%的</w:t>
            </w:r>
            <w:r>
              <w:rPr>
                <w:rFonts w:ascii="仿宋_GB2312" w:hAnsi="仿宋_GB2312" w:cs="仿宋_GB2312" w:eastAsia="仿宋_GB2312"/>
                <w:color w:val="000000"/>
              </w:rPr>
              <w:t>款项</w:t>
            </w:r>
            <w:r>
              <w:rPr>
                <w:rFonts w:ascii="仿宋_GB2312" w:hAnsi="仿宋_GB2312" w:cs="仿宋_GB2312" w:eastAsia="仿宋_GB2312"/>
                <w:color w:val="000000"/>
              </w:rPr>
              <w:t>。</w:t>
            </w:r>
          </w:p>
          <w:p>
            <w:pPr>
              <w:pStyle w:val="null3"/>
            </w:pPr>
            <w:r>
              <w:rPr>
                <w:rFonts w:ascii="仿宋_GB2312" w:hAnsi="仿宋_GB2312" w:cs="仿宋_GB2312" w:eastAsia="仿宋_GB2312"/>
              </w:rPr>
              <w:t>质保金退还：质保期满承包人向发包人申请返还质保金。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壹份，U盘1份【包含响应文件WORD版本和正本签字盖章后扫描的PDF版本及已标价工程量清单（广联达云计价平台GCCP7.0版GBQ生成电子响应文件，格式为tbs、tbs3，或sxtb，或xbtb）、已标价工程量清单PDF版本及Excel版文件1份】。 2.纸质响应文件正本胶装，标明供应商名称密封递交，递交截止时间同在线递交响应电子文件截止时间一致，递交地址：西安市莲湖区南二环西段202号九座花园东区1605室。 3.若线上电子响应文件与纸质响应文件不一致的，以线上电子响应文件为准。 4.清单编制说明及依据： 4.1工程概况：项目名称：南校区屋面防水修缮； 工程内容详见工程量清单。 4.2编制依据： （1）南校区屋面防水修缮施工图纸； （2）《陕西省建设工程工程量清单计价标准2025》； （3）《陕西省建设工程费用规则（2025）》； （4）《陕西省房屋建筑与装饰工程工程量计算标准（2025）》、《陕西省通用安装工程工程量计算标准（2025）》、《陕西省市政工程工程量计算标准（2025）》、《陕西省园林绿化工程工程量计算标准（2025）》； （5）《陕西省房屋建筑与装饰工程消耗量定额（2025）》、《陕西省通用安装工程消耗量定额（2025）》、《陕西省市政工程消耗量定额（2025）》、《陕西省园林绿化工程消耗量定额（2025）》； （6）《陕西省房屋建筑与装饰工程基价表（2025）》、《陕西省通用安装工程基价表（2025）》、《陕西省市政工程基价表（2025）》、《陕西省园林绿化工程基价表（2025）》； （7）《陕西省建设工程施工机械台班费用定额》（2025）、《陕西省建设工程施工仪器仪表台班费用定额》（2025）； （8）招标文件及招标工程量清单、拟定的合同条款及答疑纪要； （9）与建设工程项目有关的标准、规范、技术资料； （10）施工现场情况、地勘水文资料、工程特点及施工方案、合理工期； （11）材料价格依据《陕西省工程造价信息》2026年第二期材料信息价、市场价； （12）工程量清单计价软件使用“广联达云计价平台GCCP7.5000.23.2”。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供应商在项目电子化交易系统中按要求上传相应证明文件并进行电子签章。 1.提供合格有效的法人或者其他组织的营业执照等证明文件，自然人的身份证明；供应商是法人或其他组织的应提供营业执照等证明文件，供应商是自然人的应提供有效的自然人身份证明。 2.财务状况证明：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3.提供具有履行合同所必需的设备和专业技术能力的承诺。 4.税收缴纳证明：提供投标截止时间前1年内任意1个月的依法缴纳税收的完税证明，完税证明应有税务机关或代收机关的公章或业务专用章。依法免税或无须缴纳税收的供应商，应提供相应证明文件。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资格标.docx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法定代表人授权书(附法定代表人、被授权人身份证复印件及磋商截止日前一年内已缴存的至少一个月的社会保险参保缴费证明)，法定代表人直接参加磋商，须提供法定代表人身份证明。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法定代表人身份证明及授权书.docx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单位资质</w:t>
            </w:r>
          </w:p>
        </w:tc>
        <w:tc>
          <w:tcPr>
            <w:tcW w:type="dxa" w:w="3322"/>
          </w:tcPr>
          <w:p>
            <w:pPr>
              <w:pStyle w:val="null3"/>
            </w:pPr>
            <w:r>
              <w:rPr>
                <w:rFonts w:ascii="仿宋_GB2312" w:hAnsi="仿宋_GB2312" w:cs="仿宋_GB2312" w:eastAsia="仿宋_GB2312"/>
              </w:rPr>
              <w:t>参加本项目的供应商应具备防水防腐保温工程专业承包资质二级及以上（含二级）资质，且具有有效的安全生产许可证。</w:t>
            </w:r>
          </w:p>
        </w:tc>
        <w:tc>
          <w:tcPr>
            <w:tcW w:type="dxa" w:w="1661"/>
          </w:tcPr>
          <w:p>
            <w:pPr>
              <w:pStyle w:val="null3"/>
            </w:pPr>
            <w:r>
              <w:rPr>
                <w:rFonts w:ascii="仿宋_GB2312" w:hAnsi="仿宋_GB2312" w:cs="仿宋_GB2312" w:eastAsia="仿宋_GB2312"/>
              </w:rPr>
              <w:t>资格标.docx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项目经理执业资格</w:t>
            </w:r>
          </w:p>
        </w:tc>
        <w:tc>
          <w:tcPr>
            <w:tcW w:type="dxa" w:w="3322"/>
          </w:tcPr>
          <w:p>
            <w:pPr>
              <w:pStyle w:val="null3"/>
            </w:pPr>
            <w:r>
              <w:rPr>
                <w:rFonts w:ascii="仿宋_GB2312" w:hAnsi="仿宋_GB2312" w:cs="仿宋_GB2312" w:eastAsia="仿宋_GB2312"/>
              </w:rPr>
              <w:t>供应商拟派项目经理具备合法有效的建筑工程专业二级及以上注册建造师执业资格、具有安全生产考核合格证（B证）且在本单位注册，无在建工程（提供无在建的声明函）。</w:t>
            </w:r>
          </w:p>
        </w:tc>
        <w:tc>
          <w:tcPr>
            <w:tcW w:type="dxa" w:w="1661"/>
          </w:tcPr>
          <w:p>
            <w:pPr>
              <w:pStyle w:val="null3"/>
            </w:pPr>
            <w:r>
              <w:rPr>
                <w:rFonts w:ascii="仿宋_GB2312" w:hAnsi="仿宋_GB2312" w:cs="仿宋_GB2312" w:eastAsia="仿宋_GB2312"/>
              </w:rPr>
              <w:t>项目管理机构组成表 资格标.docx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备案查询</w:t>
            </w:r>
          </w:p>
        </w:tc>
        <w:tc>
          <w:tcPr>
            <w:tcW w:type="dxa" w:w="3322"/>
          </w:tcPr>
          <w:p>
            <w:pPr>
              <w:pStyle w:val="null3"/>
            </w:pPr>
            <w:r>
              <w:rPr>
                <w:rFonts w:ascii="仿宋_GB2312" w:hAnsi="仿宋_GB2312" w:cs="仿宋_GB2312" w:eastAsia="仿宋_GB2312"/>
              </w:rPr>
              <w:t>供应商及供应商拟派项目经理须在“全国建筑市场监管公共服务平台（https://jzsc.mohurd.gov.cn/home）”可查询。</w:t>
            </w:r>
          </w:p>
        </w:tc>
        <w:tc>
          <w:tcPr>
            <w:tcW w:type="dxa" w:w="1661"/>
          </w:tcPr>
          <w:p>
            <w:pPr>
              <w:pStyle w:val="null3"/>
            </w:pPr>
            <w:r>
              <w:rPr>
                <w:rFonts w:ascii="仿宋_GB2312" w:hAnsi="仿宋_GB2312" w:cs="仿宋_GB2312" w:eastAsia="仿宋_GB2312"/>
              </w:rPr>
              <w:t>项目管理机构组成表 资格标.docx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资格标.docx 承诺书.docx 磋商文件要求的其他文件或承诺.docx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截止至响应文件递交截止时间之前，供应商未被列入“信用中国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w:t>
            </w:r>
          </w:p>
        </w:tc>
        <w:tc>
          <w:tcPr>
            <w:tcW w:type="dxa" w:w="1661"/>
          </w:tcPr>
          <w:p>
            <w:pPr>
              <w:pStyle w:val="null3"/>
            </w:pPr>
            <w:r>
              <w:rPr>
                <w:rFonts w:ascii="仿宋_GB2312" w:hAnsi="仿宋_GB2312" w:cs="仿宋_GB2312" w:eastAsia="仿宋_GB2312"/>
              </w:rPr>
              <w:t>资格标.docx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本项目不允许联合体磋商。</w:t>
            </w:r>
          </w:p>
        </w:tc>
        <w:tc>
          <w:tcPr>
            <w:tcW w:type="dxa" w:w="1661"/>
          </w:tcPr>
          <w:p>
            <w:pPr>
              <w:pStyle w:val="null3"/>
            </w:pPr>
            <w:r>
              <w:rPr>
                <w:rFonts w:ascii="仿宋_GB2312" w:hAnsi="仿宋_GB2312" w:cs="仿宋_GB2312" w:eastAsia="仿宋_GB2312"/>
              </w:rPr>
              <w:t>资格标.docx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开标一览表.docx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开标一览表.docx 已标价工程量清单 中小企业声明函 资格标.docx 承诺书.docx 法定代表人身份证明及授权书.docx 其他可以证明供应商实力的文件.docx 响应文件封面 项目管理机构组成表 残疾人福利性单位声明函 报价函 标的清单 供应商类似项目业绩一览表 响应函 主要人员简历表 磋商文件要求的其他文件或承诺.docx 监狱企业的证明文件 商务响应与说明.docx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开标一览表.docx 已标价工程量清单 中小企业声明函 资格标.docx 承诺书.docx 法定代表人身份证明及授权书.docx 其他可以证明供应商实力的文件.docx 响应文件封面 项目管理机构组成表 残疾人福利性单位声明函 报价函 标的清单 供应商类似项目业绩一览表 响应函 主要人员简历表 磋商文件要求的其他文件或承诺.docx 监狱企业的证明文件 商务响应与说明.docx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只能有一个有效报价，不得提交选择性报价，且报价不超过采购预算金额或最高限价及工程量清单单价最高限价。</w:t>
            </w:r>
          </w:p>
        </w:tc>
        <w:tc>
          <w:tcPr>
            <w:tcW w:type="dxa" w:w="1661"/>
          </w:tcPr>
          <w:p>
            <w:pPr>
              <w:pStyle w:val="null3"/>
            </w:pPr>
            <w:r>
              <w:rPr>
                <w:rFonts w:ascii="仿宋_GB2312" w:hAnsi="仿宋_GB2312" w:cs="仿宋_GB2312" w:eastAsia="仿宋_GB2312"/>
              </w:rPr>
              <w:t>开标一览表.docx 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工期达到磋商文件要求</w:t>
            </w:r>
          </w:p>
        </w:tc>
        <w:tc>
          <w:tcPr>
            <w:tcW w:type="dxa" w:w="1661"/>
          </w:tcPr>
          <w:p>
            <w:pPr>
              <w:pStyle w:val="null3"/>
            </w:pPr>
            <w:r>
              <w:rPr>
                <w:rFonts w:ascii="仿宋_GB2312" w:hAnsi="仿宋_GB2312" w:cs="仿宋_GB2312" w:eastAsia="仿宋_GB2312"/>
              </w:rPr>
              <w:t>开标一览表.docx 已标价工程量清单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质保期达到磋商文件要求</w:t>
            </w:r>
          </w:p>
        </w:tc>
        <w:tc>
          <w:tcPr>
            <w:tcW w:type="dxa" w:w="1661"/>
          </w:tcPr>
          <w:p>
            <w:pPr>
              <w:pStyle w:val="null3"/>
            </w:pPr>
            <w:r>
              <w:rPr>
                <w:rFonts w:ascii="仿宋_GB2312" w:hAnsi="仿宋_GB2312" w:cs="仿宋_GB2312" w:eastAsia="仿宋_GB2312"/>
              </w:rPr>
              <w:t>开标一览表.docx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开标一览表.docx 已标价工程量清单 中小企业声明函 资格标.docx 承诺书.docx 法定代表人身份证明及授权书.docx 其他可以证明供应商实力的文件.docx 响应文件封面 项目管理机构组成表 残疾人福利性单位声明函 报价函 标的清单 供应商类似项目业绩一览表 响应函 主要人员简历表 磋商文件要求的其他文件或承诺.docx 监狱企业的证明文件 商务响应与说明.docx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详细评审30.00分</w:t>
            </w:r>
          </w:p>
          <w:p>
            <w:pPr>
              <w:pStyle w:val="null3"/>
            </w:pPr>
            <w:r>
              <w:rPr>
                <w:rFonts w:ascii="仿宋_GB2312" w:hAnsi="仿宋_GB2312" w:cs="仿宋_GB2312" w:eastAsia="仿宋_GB2312"/>
              </w:rPr>
              <w:t>报价得分70.00分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项目实施方案（2分） A.实施方案非常详细并且完整可行、有针对性，完全满足项目实施的得2分； B.实施方案基本可行，基本满足项目实施需要的得1分;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技术组织措施（2分） 根据供应商制定的确保工程质量及工期的技术组织措施进行综合评审。 A.措施计划齐全、合理且切实可行，完全满足采购人需求得2分； B.措施计划较齐全、合理、基本可行，基本满足采购人需求得1分；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文明施工措施计划（2分） 针对本项目提供的文明施工措施计划进行综合评审。 A.措施计划齐全、合理且切实可行，完全满足采购人需求得2分； B.措施计划较齐全、合理、基本可行，基本满足采购人需求得1分；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施工机械配备和材料投入计划（2分） 根据供应商投入的施工机械配备和材料投入计划等进行评审。 A.施工机械配备合理并提供设备来源证明材料，投投入材料环保性达到国家标准得2分； B.施工机械配备和材料投入计划基本合理、可行，得1分；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劳动力安排计划及劳务分包情况表（2分） 供应商就本项目劳动力安排计划及劳务分包情况表，根据合理、可行程度进行评审。 A.劳动力安排计划及劳务分包合理、可行，得2分； B.劳动力安排计划及劳务分包基本可行，得1分；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项目组织管理机构（10分） 1.拟派项目经理具备高级职称证书得2.5分，具备中级职称证书得1分； 2.除项目经理外其他组织人员，具备施工员证书得1.5分，具备资料员证书得1.5分，具备安全员证书得1.5分，具备造价员证书得1.5分，具备质量员证书得1.5分（同一人员具备多项证书按一个证书计分）。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供应商2023年6月至磋商截止时间前同类施工项目业绩；每提供1份计2分，最高得10分。业绩证明（以合同或中标通知书为准，须在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 2.满足磋商文件要求且最终有效最低报价为磋商基准价。 3.磋商报价按（磋商基准价/有效磋商报价）×70的公式计算其得分。 4.磋商报价不完整的，不进入磋商基准价的计算，本项得0分。 5.备注：本项目先评技术，后评商务（报价评审）。</w:t>
            </w:r>
          </w:p>
        </w:tc>
        <w:tc>
          <w:tcPr>
            <w:tcW w:type="dxa" w:w="831"/>
          </w:tcPr>
          <w:p>
            <w:pPr>
              <w:pStyle w:val="null3"/>
              <w:jc w:val="right"/>
            </w:pPr>
            <w:r>
              <w:rPr>
                <w:rFonts w:ascii="仿宋_GB2312" w:hAnsi="仿宋_GB2312" w:cs="仿宋_GB2312" w:eastAsia="仿宋_GB2312"/>
              </w:rPr>
              <w:t>70.0000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详见附件：商务响应与说明.docx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详见附件：资格标.docx</w:t>
      </w:r>
    </w:p>
    <w:p>
      <w:pPr>
        <w:pStyle w:val="null3"/>
        <w:ind w:firstLine="960"/>
      </w:pPr>
      <w:r>
        <w:rPr>
          <w:rFonts w:ascii="仿宋_GB2312" w:hAnsi="仿宋_GB2312" w:cs="仿宋_GB2312" w:eastAsia="仿宋_GB2312"/>
        </w:rPr>
        <w:t>详见附件：磋商文件要求的其他文件或承诺.docx</w:t>
      </w:r>
    </w:p>
    <w:p>
      <w:pPr>
        <w:pStyle w:val="null3"/>
        <w:ind w:firstLine="960"/>
      </w:pPr>
      <w:r>
        <w:rPr>
          <w:rFonts w:ascii="仿宋_GB2312" w:hAnsi="仿宋_GB2312" w:cs="仿宋_GB2312" w:eastAsia="仿宋_GB2312"/>
        </w:rPr>
        <w:t>详见附件：其他可以证明供应商实力的文件.docx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