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jc w:val="center"/>
        <w:rPr>
          <w:rFonts w:hint="eastAsia" w:ascii="仿宋_GB2312" w:hAnsi="仿宋_GB2312" w:eastAsia="仿宋_GB2312" w:cs="仿宋_GB2312"/>
          <w:b/>
          <w:bCs/>
          <w:sz w:val="44"/>
          <w:szCs w:val="44"/>
          <w:lang w:val="en-US" w:eastAsia="zh-CN"/>
        </w:rPr>
      </w:pPr>
      <w:bookmarkStart w:id="0" w:name="_GoBack"/>
      <w:r>
        <w:rPr>
          <w:rFonts w:hint="eastAsia" w:ascii="仿宋_GB2312" w:hAnsi="仿宋_GB2312" w:eastAsia="仿宋_GB2312" w:cs="仿宋_GB2312"/>
          <w:b/>
          <w:bCs/>
          <w:sz w:val="44"/>
          <w:szCs w:val="44"/>
          <w:lang w:val="en-US" w:eastAsia="zh-CN"/>
        </w:rPr>
        <w:t>采购需求</w:t>
      </w:r>
    </w:p>
    <w:bookmarkEnd w:id="0"/>
    <w:p w14:paraId="0006A521">
      <w:pPr>
        <w:pStyle w:val="15"/>
        <w:ind w:firstLine="482"/>
        <w:jc w:val="left"/>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一、项目概况</w:t>
      </w:r>
    </w:p>
    <w:p w14:paraId="2331FD8A">
      <w:pPr>
        <w:pStyle w:val="15"/>
        <w:ind w:firstLine="48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（一）项目概况：PCR实验室配套用电工程</w:t>
      </w:r>
    </w:p>
    <w:p w14:paraId="4F60AFB7">
      <w:pPr>
        <w:pStyle w:val="15"/>
        <w:ind w:firstLine="48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（二）工期：30日历天内</w:t>
      </w:r>
    </w:p>
    <w:p w14:paraId="5C64B1D0">
      <w:pPr>
        <w:pStyle w:val="15"/>
        <w:ind w:firstLine="48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（三）工程地点：西北妇女儿童医院曲江院区</w:t>
      </w:r>
    </w:p>
    <w:p w14:paraId="0BCC9685">
      <w:pPr>
        <w:pStyle w:val="15"/>
        <w:ind w:firstLine="48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（四）项目暂列金：100000.00元，为不可竞争费用。</w:t>
      </w:r>
    </w:p>
    <w:p w14:paraId="19243C64">
      <w:pPr>
        <w:pStyle w:val="15"/>
        <w:ind w:firstLine="48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（五）质量标准：合格，符合国家、行业、地方规定的质量和安全标准要求。</w:t>
      </w:r>
    </w:p>
    <w:p w14:paraId="225C6BCA">
      <w:pPr>
        <w:pStyle w:val="15"/>
        <w:ind w:firstLine="48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备注：凡涉及的相关规范，国家有最新标准的以最新标准为准。</w:t>
      </w:r>
    </w:p>
    <w:p w14:paraId="5205E5DE">
      <w:pPr>
        <w:pStyle w:val="15"/>
        <w:ind w:firstLine="4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（六）项目总敷设安装电缆内容，最终以图纸、工程量清单为准：</w:t>
      </w:r>
    </w:p>
    <w:p w14:paraId="4EA00837">
      <w:pPr>
        <w:pStyle w:val="15"/>
        <w:ind w:firstLine="482"/>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1、医学转换中心PCR实验室：新增用电120kw，主要用于实验室改造工程设备用电，主、备电源从培训楼负一层配电室引出。</w:t>
      </w:r>
    </w:p>
    <w:p w14:paraId="20F8126C">
      <w:pPr>
        <w:pStyle w:val="15"/>
        <w:ind w:firstLine="482"/>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2、门诊二层检验科PCR实验室：新增用电70kw，主要用于实验室改造工程设备用电，主电源从门诊医技综合楼负二层配电室引出，备电源从篮球场西侧竹林800kVA箱变低压馈线柜引出。</w:t>
      </w:r>
    </w:p>
    <w:p w14:paraId="444EDFB9">
      <w:pPr>
        <w:pStyle w:val="15"/>
        <w:ind w:firstLine="482"/>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3、门诊三层遗传中心PCR实验室：新增用电160kw，主要用于实验室改造工程设备用电，主电源从门诊医技综合楼负二层配电室引出，备电源从篮球场西侧竹林800kVA箱变低压馈线柜引入。</w:t>
      </w:r>
    </w:p>
    <w:p w14:paraId="4A0A96E8">
      <w:pPr>
        <w:pStyle w:val="15"/>
        <w:ind w:firstLine="482"/>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4、检验科检验大厅及新增超声区域：新增用电80kw，主要用于新增多联机空调设备用电，从门诊医技综合楼负二层配电室引出。</w:t>
      </w:r>
    </w:p>
    <w:p w14:paraId="5C9D240C">
      <w:pPr>
        <w:pStyle w:val="15"/>
        <w:ind w:firstLine="482"/>
        <w:jc w:val="left"/>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二、采购内容</w:t>
      </w:r>
    </w:p>
    <w:p w14:paraId="171C3FD9">
      <w:pPr>
        <w:pStyle w:val="15"/>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PCR实验室配套用电工程，为低压改造工程,工作内容包括电缆敷设、桥架配置、配电箱配置、断路器、空气开关、室外土建、设备安装、调试等，电缆走向需沿路径有标识。在项目施工时需考虑以下五个方面项目难点:</w:t>
      </w:r>
    </w:p>
    <w:p w14:paraId="4B2959F7">
      <w:pPr>
        <w:pStyle w:val="15"/>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(1)楼宇内施工,医院人流量大,施工区域不能封闭,必须采用切实可行的措施保证安全。</w:t>
      </w:r>
    </w:p>
    <w:p w14:paraId="6A209644">
      <w:pPr>
        <w:pStyle w:val="15"/>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(2)负一、负二层部分区域原管线密集,施工作业空间狭小,电缆敷设难度大。</w:t>
      </w:r>
    </w:p>
    <w:p w14:paraId="7C8482A4">
      <w:pPr>
        <w:pStyle w:val="15"/>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(3)正常楼层层高较高,作业难度大,涉及到原铝板吊顶的拆除及恢复,可能会影响到医院正常营业，需采用相应的措施减少影响确保安全。</w:t>
      </w:r>
    </w:p>
    <w:p w14:paraId="7A95ECB2">
      <w:pPr>
        <w:pStyle w:val="15"/>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(4)部分回路涉及带电作业。</w:t>
      </w:r>
    </w:p>
    <w:p w14:paraId="5AE976A2">
      <w:pPr>
        <w:pStyle w:val="15"/>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(5)进入楼宇墙体开孔确保防水不出问题,在墙体、楼板、防火分区的水平、垂直方向开孔,须确保原结构安全。</w:t>
      </w:r>
    </w:p>
    <w:p w14:paraId="341C755C">
      <w:pPr>
        <w:pStyle w:val="15"/>
        <w:ind w:firstLine="482"/>
        <w:jc w:val="left"/>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三、工程量清单、图纸（详见附件）及主要设备材料表</w:t>
      </w:r>
    </w:p>
    <w:p w14:paraId="2E2F9A7A">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主要设备材料表</w:t>
      </w:r>
    </w:p>
    <w:tbl>
      <w:tblPr>
        <w:tblStyle w:val="11"/>
        <w:tblW w:w="4998"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1706"/>
        <w:gridCol w:w="2034"/>
        <w:gridCol w:w="1212"/>
        <w:gridCol w:w="987"/>
        <w:gridCol w:w="1727"/>
      </w:tblGrid>
      <w:tr w14:paraId="2CC421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29AF91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序号</w:t>
            </w:r>
          </w:p>
        </w:tc>
        <w:tc>
          <w:tcPr>
            <w:tcW w:w="100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52A47A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名称</w:t>
            </w:r>
          </w:p>
        </w:tc>
        <w:tc>
          <w:tcPr>
            <w:tcW w:w="119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CAC9F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型号规格</w:t>
            </w:r>
          </w:p>
        </w:tc>
        <w:tc>
          <w:tcPr>
            <w:tcW w:w="71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2ECAE5D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预估</w:t>
            </w:r>
          </w:p>
          <w:p w14:paraId="790F97D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数量</w:t>
            </w:r>
          </w:p>
        </w:tc>
        <w:tc>
          <w:tcPr>
            <w:tcW w:w="57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2BA3621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单位</w:t>
            </w:r>
          </w:p>
        </w:tc>
        <w:tc>
          <w:tcPr>
            <w:tcW w:w="101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50CED4E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推荐品牌</w:t>
            </w:r>
          </w:p>
        </w:tc>
      </w:tr>
      <w:tr w14:paraId="619366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959AA6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7ECED8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低压电缆</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385B91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WDZN-YJY-0.6/1-4x95+1x50</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FA1342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1279.4</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7A8C5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DAFF5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远东、上上、宝胜</w:t>
            </w:r>
          </w:p>
        </w:tc>
      </w:tr>
      <w:tr w14:paraId="1C02A6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090D9C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CA2246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低压电缆</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8E496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WDZN-YJY-0.6/1-4x240+1x120</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C2FD61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766</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CAD87A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D06D3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远东、上上、宝胜</w:t>
            </w:r>
          </w:p>
        </w:tc>
      </w:tr>
      <w:tr w14:paraId="6B0CC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D4CB0C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3</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EBBFCC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电缆桥架</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833628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200*100</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762083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84</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149D39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F860D6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华鹏、大全、万奇</w:t>
            </w:r>
          </w:p>
        </w:tc>
      </w:tr>
      <w:tr w14:paraId="283A91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061D8C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4</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9A36BC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电缆桥架</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5FCAFA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100*50</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CF7421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3</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240E36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4ACF4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华鹏、大全、万奇</w:t>
            </w:r>
          </w:p>
        </w:tc>
      </w:tr>
      <w:tr w14:paraId="60146F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9BF499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5</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916DA7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开挖排管</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E565C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MPP200</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53AD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30</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581C3F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C911B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亿畅元、联塑、润星、伟星、顾地</w:t>
            </w:r>
          </w:p>
        </w:tc>
      </w:tr>
      <w:tr w14:paraId="5EDB05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624FD2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6</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3B4617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塑壳断路器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E6725E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-250A/3P  IN=225A</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B5A9B0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B0CC23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台</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5DC81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ABB、西门子、施耐德</w:t>
            </w:r>
          </w:p>
        </w:tc>
      </w:tr>
      <w:tr w14:paraId="39D3EB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C48E0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7</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1380CC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塑壳断路器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95078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-250A/3P  IN=200A</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BA50BA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4227BF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台</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AFDF5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ABB、西门子、施耐德</w:t>
            </w:r>
          </w:p>
        </w:tc>
      </w:tr>
      <w:tr w14:paraId="67AA11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E8B5E2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8</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637D4E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塑壳断路器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E19D69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-250A/3P  IN=160A</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430A54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4BFEC6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台</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787D95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ABB、西门子、施耐德</w:t>
            </w:r>
          </w:p>
        </w:tc>
      </w:tr>
      <w:tr w14:paraId="7F9DD2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3C3F4E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9</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D55D7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塑壳断路器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B36D3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-400A/3P  IN=350A</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007D9F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794343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台</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F1515F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ABB、西门子、施耐德</w:t>
            </w:r>
          </w:p>
        </w:tc>
      </w:tr>
      <w:tr w14:paraId="4A9248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4BACA3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10</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9376D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电流互感器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4B753C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200/5A 0.5</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E1A45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9</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8D4F7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只</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244192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配套ABB、西门子、施耐德</w:t>
            </w:r>
          </w:p>
        </w:tc>
      </w:tr>
      <w:tr w14:paraId="17F98D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F9442C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11</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20A0E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电流互感器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8742B0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400/5A 0.5</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79E6C0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6</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3AEBA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只</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CAC8E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配套ABB、西门子、施耐德</w:t>
            </w:r>
          </w:p>
        </w:tc>
      </w:tr>
      <w:tr w14:paraId="1590E5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24ACEB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12</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E0D9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剩余电流互感器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E63AB0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200A ，需满足原系统使用需求，实现与原系统无缝对接。</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2F049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0464DA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只</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0A36E1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配套ABB、西门子、施耐德</w:t>
            </w:r>
          </w:p>
        </w:tc>
      </w:tr>
      <w:tr w14:paraId="386622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9C188D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13</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8E4BD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剩余电流互感器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7DBB58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250A ，需满足原系统使用需求，实现与原系统无缝对接。</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CAB15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F0A94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只</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71182C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配套ABB、西门子、施耐德</w:t>
            </w:r>
          </w:p>
        </w:tc>
      </w:tr>
      <w:tr w14:paraId="569773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AD7018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14</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0F1D4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剩余电流互感器</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FC3B8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400A ，需满足原系统使用需求，实现与原系统无缝对接。</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6E059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1C139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只</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6E7D9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配套ABB、西门子、施耐德</w:t>
            </w:r>
          </w:p>
        </w:tc>
      </w:tr>
      <w:tr w14:paraId="4B4EE7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D493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15</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9B5B83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铜母排</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7CC3F7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TMY-25X3</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A71FE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4</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981B5C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EFBE5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配套ABB、西门子、施耐德</w:t>
            </w:r>
          </w:p>
        </w:tc>
      </w:tr>
      <w:tr w14:paraId="3ABF7A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E8863B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16</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74726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铜母排</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75EA4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TMY-40X5</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9E61C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9.6</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4107B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F88E6B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配套ABB、西门子、施耐德</w:t>
            </w:r>
          </w:p>
        </w:tc>
      </w:tr>
      <w:tr w14:paraId="4EFF16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A89F9C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17</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73FE07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电缆终端头</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CAF60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铜，240mm</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68F9C9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4</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4271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套</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493C8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远东、上上、宝胜</w:t>
            </w:r>
          </w:p>
        </w:tc>
      </w:tr>
      <w:tr w14:paraId="543691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DB2333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18</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0C13AC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电缆终端头</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174210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铜，95mm</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C8AE01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10</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E48868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套</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A1B472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远东、上上、宝胜</w:t>
            </w:r>
          </w:p>
        </w:tc>
      </w:tr>
      <w:tr w14:paraId="276717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C84D02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19</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D27E4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红外成像夜视摄像头</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3E966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含光电转换模块，跳线等辅材</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70AFE6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E7C9B3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套</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87108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海康威视、大华、华为</w:t>
            </w:r>
          </w:p>
        </w:tc>
      </w:tr>
      <w:tr w14:paraId="0C607C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3570D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20</w:t>
            </w:r>
          </w:p>
        </w:tc>
        <w:tc>
          <w:tcPr>
            <w:tcW w:w="100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1C9E31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光缆</w:t>
            </w:r>
          </w:p>
        </w:tc>
        <w:tc>
          <w:tcPr>
            <w:tcW w:w="119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AD15D4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单模4芯</w:t>
            </w:r>
          </w:p>
        </w:tc>
        <w:tc>
          <w:tcPr>
            <w:tcW w:w="7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1AAF7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150</w:t>
            </w:r>
          </w:p>
        </w:tc>
        <w:tc>
          <w:tcPr>
            <w:tcW w:w="579"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F17888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米</w:t>
            </w:r>
          </w:p>
        </w:tc>
        <w:tc>
          <w:tcPr>
            <w:tcW w:w="1014"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2E30EB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海康威视、大华、华为</w:t>
            </w:r>
          </w:p>
        </w:tc>
      </w:tr>
      <w:tr w14:paraId="3F71F0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A9BB979">
            <w:pPr>
              <w:pStyle w:val="15"/>
              <w:keepNext w:val="0"/>
              <w:keepLines w:val="0"/>
              <w:pageBreakBefore w:val="0"/>
              <w:widowControl/>
              <w:kinsoku/>
              <w:wordWrap/>
              <w:overflowPunct/>
              <w:topLinePunct w:val="0"/>
              <w:autoSpaceDE/>
              <w:autoSpaceDN/>
              <w:bidi w:val="0"/>
              <w:adjustRightInd/>
              <w:snapToGrid w:val="0"/>
              <w:ind w:firstLine="482"/>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b/>
                <w:spacing w:val="-17"/>
                <w:sz w:val="32"/>
                <w:szCs w:val="32"/>
              </w:rPr>
              <w:t>备注：以上材料及品牌仅供参考，供应商需提供上述主要材料要求的同等及以上质量品牌的产品，且需与现有系统兼容。</w:t>
            </w:r>
          </w:p>
        </w:tc>
      </w:tr>
    </w:tbl>
    <w:p w14:paraId="50FA7D12">
      <w:pPr>
        <w:pStyle w:val="15"/>
        <w:ind w:firstLine="482"/>
        <w:jc w:val="both"/>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四、施工要求</w:t>
      </w:r>
    </w:p>
    <w:p w14:paraId="3EA163EC">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1、在施工期间，供应商必须注意院内人员安全,加强安全措施，并对施工人员进行安全教育。施工人员必须持证上岗。因采购人工作的特殊性，要求供应商在施工中做到封闭性施工。</w:t>
      </w:r>
    </w:p>
    <w:p w14:paraId="067332E3">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供应商应完成所需设备、材料的供应、运输至采购人指定地点，并按照国家相关规范完成施工安装并交付采购人验收合格。供应商应当保证所供材料的来源渠道正常，因供应商施工不善或材料使用不当发生工程事故的，责任由供应商全权负责。</w:t>
      </w:r>
    </w:p>
    <w:p w14:paraId="1179E611">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3、供应商应当做到文明施工，合理安排作业时间，合理降低噪音污染、粉尘污染，确保施工现场周围的正常工作与休息，按国家有关施工时间规定进行施工，施工中避免给他人带来干扰。</w:t>
      </w:r>
    </w:p>
    <w:p w14:paraId="7E44187E">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4、根据实际需要，供应商应在工程施工实施期间进行巡查，若出现质量问题，供应商应及时对工程出现的问题进行维修，期间产生的费用由供应商承担。</w:t>
      </w:r>
    </w:p>
    <w:p w14:paraId="2E940F6E">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5、供应商负责办理建筑垃圾外运有关手续并承担所有费用，建筑垃圾日产日清。</w:t>
      </w:r>
    </w:p>
    <w:p w14:paraId="45F02834">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6、供应商应切实加强施工安全管理，如因措施不力造成人员伤亡或财产损失等一切事故，供应商负全责并承担所有费用。</w:t>
      </w:r>
    </w:p>
    <w:p w14:paraId="797FC31A">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7、工程实施完全符合合同规定的技术、方案、质量、规格、材质等要求。因供应商原因工程质量达不到约定的质量标准，供应商承担违约责任。</w:t>
      </w:r>
    </w:p>
    <w:p w14:paraId="5AAFCAC6">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五、其它需要说明的事项</w:t>
      </w:r>
    </w:p>
    <w:p w14:paraId="55C27F84">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付款方式：银行转账、分期付款。支付方式：工程竣工结算审计完毕、并按税法规定完税提供全额合法发票后一月内付至审定价的97％；剩余3％待缺陷责任期满后无息支付。（因系统格式设置，合同款项支付内容以此项描述内容为准）</w:t>
      </w:r>
    </w:p>
    <w:p w14:paraId="7C707C61">
      <w:pPr>
        <w:pStyle w:val="15"/>
        <w:ind w:firstLine="48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缺陷责任期：2年，项目缺陷责任期从项目验收合格完成之日起算，内容为由供应商负责的本工程全部质量问题。响应时间为正常工作日2小时内答复，12小时内到现场处理。节假日及法定休息日6小时内答复，24小时内到现场处理。</w:t>
      </w:r>
    </w:p>
    <w:p w14:paraId="185A5223">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    3、本工程的施工过程和成果必须符合国家有关工程建设标准强制性条文和国家或有关部门关于工程施工方面现行的标准、规范、规程、定额、办法、示例，以及陕西省关于工程施工方面的文件、规定。供应商在施工过程中使用或参考上述标准、规范以外的技术标准、规范时，应征得采购人指定代表人的同意。在施工过程中，如果国家或有关部门颁布了新的技术标准或规范，则供应商应采用新的标准或规范进行施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D04B5B"/>
    <w:rsid w:val="2D3576C1"/>
    <w:rsid w:val="3E1E037D"/>
    <w:rsid w:val="3FD04B5B"/>
    <w:rsid w:val="656C55A9"/>
    <w:rsid w:val="6F4D6A71"/>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2026-09-02T03:20:00Z</dcterms:created>
  <dc:creator>陕西华采招标有限公司</dc:creator>
  <cp:lastModifiedBy>陕西华采招标有限公司</cp:lastModifiedBy>
  <dcterms:modified xsi:type="dcterms:W3CDTF">2026-09-02T03:23:45Z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0551DB4194E241B496A4DE01BC33A0A4_11</vt:lpwstr>
  </property>
  <property fmtid="{D5CDD505-2E9C-101B-9397-08002B2CF9AE}" pid="4" name="KSOTemplateDocerSaveRecord">
    <vt:lpwstr>eyJoZGlkIjoiNzlkYjQxZmY4MWQ0ZWY2YTZhOTY1MTMyMDgzMmE0NmEiLCJ1c2VySWQiOiI5MzY1NjA0ODAifQ==</vt:lpwstr>
  </property>
</Properties>
</file>