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版本号：GCZB2026-03-020-Q20260511001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光环境调控设备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GCZB2026-03-020-Q</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光环境调控设备</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GCZB2026-03-020-Q</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光环境调控设备</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光环境调控设备，具体详见竞争性谈判文件。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2、财务状况报告：提供经审计完整的2024年度或2025年度的财务报告或提交响应文件截止时间前六个月内银行出具的资信证明；其他组织和自然人提供银行出具的资信证明或财务报表；</w:t>
      </w:r>
    </w:p>
    <w:p>
      <w:pPr>
        <w:pStyle w:val="null3"/>
      </w:pPr>
      <w:r>
        <w:rPr>
          <w:rFonts w:ascii="仿宋_GB2312" w:hAnsi="仿宋_GB2312" w:cs="仿宋_GB2312" w:eastAsia="仿宋_GB2312"/>
        </w:rPr>
        <w:t>3、税收缴纳证明：提供响应文件递交截止日前一年内已缴存的至少一个月的纳税证明或完税证明。依法免税的供应商应提供相关文件证明；</w:t>
      </w:r>
    </w:p>
    <w:p>
      <w:pPr>
        <w:pStyle w:val="null3"/>
      </w:pPr>
      <w:r>
        <w:rPr>
          <w:rFonts w:ascii="仿宋_GB2312" w:hAnsi="仿宋_GB2312" w:cs="仿宋_GB2312" w:eastAsia="仿宋_GB2312"/>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7、法定代表人授权书：供应商应授权合法的人员参加谈判，其中法定代表人直接参加的，须出具法定代表人证明书；被授权代表参加的，须出具法定代表人授权书；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任倩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采购包1保证金金额：8,900.00元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代理服务费收费标准：成交供应商应向采购代理机构交纳招标代理服务费。本项目按定额3000元收取服务费，在领取成交通知书时向采购代理机构一次性交纳。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西安工业大学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陕西国创招标有限公司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按照谈判文件、响应文件及合同要求。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联系电话：029-88899362（1152611386@qq.com）</w:t>
      </w:r>
    </w:p>
    <w:p>
      <w:pPr>
        <w:pStyle w:val="null3"/>
      </w:pPr>
      <w:r>
        <w:rPr>
          <w:rFonts w:ascii="仿宋_GB2312" w:hAnsi="仿宋_GB2312" w:cs="仿宋_GB2312" w:eastAsia="仿宋_GB2312"/>
        </w:rPr>
        <w:t>地址：西安市莲湖区高新一路正信大厦A座24楼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光环境调控设备，具体详见技术参数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448,000.00</w:t>
      </w:r>
    </w:p>
    <w:p>
      <w:pPr>
        <w:pStyle w:val="null3"/>
      </w:pPr>
      <w:r>
        <w:rPr>
          <w:rFonts w:ascii="仿宋_GB2312" w:hAnsi="仿宋_GB2312" w:cs="仿宋_GB2312" w:eastAsia="仿宋_GB2312"/>
        </w:rPr>
        <w:t>采购包最高限价（元）: 448,000.00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光环境调控设备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448,000.00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标的名称：光环境调控设备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05"/>
              <w:tblBorders>
                <w:top w:val="none" w:color="000000" w:sz="4"/>
                <w:left w:val="none" w:color="000000" w:sz="4"/>
                <w:bottom w:val="none" w:color="000000" w:sz="4"/>
                <w:right w:val="none" w:color="000000" w:sz="4"/>
                <w:insideH w:val="none"/>
                <w:insideV w:val="none"/>
              </w:tblBorders>
            </w:tblPr>
            <w:tblGrid>
              <w:gridCol w:w="238"/>
              <w:gridCol w:w="433"/>
              <w:gridCol w:w="1506"/>
              <w:gridCol w:w="376"/>
            </w:tblGrid>
            <w:tr>
              <w:tc>
                <w:tcPr>
                  <w:tcW w:type="dxa" w:w="2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0"/>
                      <w:color w:val="000000"/>
                    </w:rPr>
                    <w:t>序号</w:t>
                  </w:r>
                </w:p>
              </w:tc>
              <w:tc>
                <w:tcPr>
                  <w:tcW w:type="dxa" w:w="4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0"/>
                      <w:color w:val="000000"/>
                    </w:rPr>
                    <w:t>设备名称</w:t>
                  </w:r>
                </w:p>
              </w:tc>
              <w:tc>
                <w:tcPr>
                  <w:tcW w:type="dxa" w:w="15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0"/>
                      <w:color w:val="000000"/>
                    </w:rPr>
                    <w:t>技术指标要求</w:t>
                  </w:r>
                </w:p>
              </w:tc>
              <w:tc>
                <w:tcPr>
                  <w:tcW w:type="dxa" w:w="37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jc w:val="center"/>
                  </w:pPr>
                  <w:r>
                    <w:rPr>
                      <w:rFonts w:ascii="仿宋_GB2312" w:hAnsi="仿宋_GB2312" w:cs="仿宋_GB2312" w:eastAsia="仿宋_GB2312"/>
                      <w:sz w:val="20"/>
                      <w:color w:val="000000"/>
                    </w:rPr>
                    <w:t>数量</w:t>
                  </w:r>
                </w:p>
                <w:p>
                  <w:pPr>
                    <w:pStyle w:val="null3"/>
                    <w:spacing w:before="180"/>
                    <w:jc w:val="center"/>
                  </w:pPr>
                  <w:r>
                    <w:rPr>
                      <w:rFonts w:ascii="仿宋_GB2312" w:hAnsi="仿宋_GB2312" w:cs="仿宋_GB2312" w:eastAsia="仿宋_GB2312"/>
                      <w:sz w:val="20"/>
                      <w:color w:val="000000"/>
                    </w:rPr>
                    <w:t>（单位）</w:t>
                  </w:r>
                </w:p>
              </w:tc>
            </w:tr>
            <w:tr>
              <w:tc>
                <w:tcPr>
                  <w:tcW w:type="dxa" w:w="2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color w:val="000000"/>
                    </w:rPr>
                    <w:t>1</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光环境调控</w:t>
                  </w:r>
                </w:p>
                <w:p>
                  <w:pPr>
                    <w:pStyle w:val="null3"/>
                    <w:jc w:val="center"/>
                  </w:pPr>
                  <w:r>
                    <w:rPr>
                      <w:rFonts w:ascii="仿宋_GB2312" w:hAnsi="仿宋_GB2312" w:cs="仿宋_GB2312" w:eastAsia="仿宋_GB2312"/>
                      <w:sz w:val="20"/>
                      <w:color w:val="000000"/>
                    </w:rPr>
                    <w:t>设备</w:t>
                  </w:r>
                </w:p>
              </w:tc>
              <w:tc>
                <w:tcPr>
                  <w:tcW w:type="dxa" w:w="1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color w:val="000000"/>
                    </w:rPr>
                    <w:t>一</w:t>
                  </w:r>
                  <w:r>
                    <w:rPr>
                      <w:rFonts w:ascii="仿宋_GB2312" w:hAnsi="仿宋_GB2312" w:cs="仿宋_GB2312" w:eastAsia="仿宋_GB2312"/>
                      <w:sz w:val="20"/>
                      <w:color w:val="000000"/>
                    </w:rPr>
                    <w:t>、</w:t>
                  </w:r>
                  <w:r>
                    <w:rPr>
                      <w:rFonts w:ascii="仿宋_GB2312" w:hAnsi="仿宋_GB2312" w:cs="仿宋_GB2312" w:eastAsia="仿宋_GB2312"/>
                      <w:sz w:val="20"/>
                      <w:color w:val="000000"/>
                    </w:rPr>
                    <w:t>动态渲染器</w:t>
                  </w:r>
                  <w:r>
                    <w:rPr>
                      <w:rFonts w:ascii="仿宋_GB2312" w:hAnsi="仿宋_GB2312" w:cs="仿宋_GB2312" w:eastAsia="仿宋_GB2312"/>
                      <w:sz w:val="20"/>
                      <w:color w:val="000000"/>
                    </w:rPr>
                    <w:t>（</w:t>
                  </w:r>
                  <w:r>
                    <w:rPr>
                      <w:rFonts w:ascii="仿宋_GB2312" w:hAnsi="仿宋_GB2312" w:cs="仿宋_GB2312" w:eastAsia="仿宋_GB2312"/>
                      <w:sz w:val="20"/>
                      <w:color w:val="000000"/>
                    </w:rPr>
                    <w:t>4组）</w:t>
                  </w:r>
                </w:p>
                <w:p>
                  <w:pPr>
                    <w:pStyle w:val="null3"/>
                    <w:jc w:val="both"/>
                  </w:pPr>
                  <w:r>
                    <w:rPr>
                      <w:rFonts w:ascii="仿宋_GB2312" w:hAnsi="仿宋_GB2312" w:cs="仿宋_GB2312" w:eastAsia="仿宋_GB2312"/>
                      <w:sz w:val="20"/>
                      <w:color w:val="000000"/>
                    </w:rPr>
                    <w:t>1、色彩通道≥5通道，RGB,CW,WW</w:t>
                  </w:r>
                  <w:r>
                    <w:rPr>
                      <w:rFonts w:ascii="仿宋_GB2312" w:hAnsi="仿宋_GB2312" w:cs="仿宋_GB2312" w:eastAsia="仿宋_GB2312"/>
                      <w:sz w:val="20"/>
                      <w:color w:val="000000"/>
                    </w:rPr>
                    <w:t>；</w:t>
                  </w:r>
                  <w:r>
                    <w:rPr>
                      <w:rFonts w:ascii="仿宋_GB2312" w:hAnsi="仿宋_GB2312" w:cs="仿宋_GB2312" w:eastAsia="仿宋_GB2312"/>
                      <w:sz w:val="21"/>
                      <w:color w:val="000000"/>
                    </w:rPr>
                    <w:t xml:space="preserve"> </w:t>
                  </w:r>
                </w:p>
                <w:p>
                  <w:pPr>
                    <w:pStyle w:val="null3"/>
                    <w:jc w:val="both"/>
                  </w:pPr>
                  <w:r>
                    <w:rPr>
                      <w:rFonts w:ascii="仿宋_GB2312" w:hAnsi="仿宋_GB2312" w:cs="仿宋_GB2312" w:eastAsia="仿宋_GB2312"/>
                      <w:sz w:val="20"/>
                      <w:color w:val="000000"/>
                    </w:rPr>
                    <w:t>2、光谱范围至少覆盖380～780（nm）</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3、调光分辨率≥12bit</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4、调色范围：</w:t>
                  </w:r>
                </w:p>
                <w:p>
                  <w:pPr>
                    <w:pStyle w:val="null3"/>
                    <w:jc w:val="both"/>
                  </w:pPr>
                  <w:r>
                    <w:rPr>
                      <w:rFonts w:ascii="仿宋_GB2312" w:hAnsi="仿宋_GB2312" w:cs="仿宋_GB2312" w:eastAsia="仿宋_GB2312"/>
                      <w:sz w:val="20"/>
                      <w:color w:val="000000"/>
                    </w:rPr>
                    <w:t>4.1色温:2700～7000（K）</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4.2显色指数:40～90</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4.3色差:-0.02～+0.02</w:t>
                  </w:r>
                </w:p>
                <w:p>
                  <w:pPr>
                    <w:pStyle w:val="null3"/>
                    <w:jc w:val="both"/>
                  </w:pPr>
                  <w:r>
                    <w:rPr>
                      <w:rFonts w:ascii="仿宋_GB2312" w:hAnsi="仿宋_GB2312" w:cs="仿宋_GB2312" w:eastAsia="仿宋_GB2312"/>
                      <w:sz w:val="20"/>
                      <w:color w:val="000000"/>
                    </w:rPr>
                    <w:t>5、单灯照度最大光输出，距离光源出光面1米处≥1000 lx</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6、短期稳定性≤±10K,光亮度≤±0.5%</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7、长期稳定性≤±25K,光亮度≤±1.5%</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8、尺寸(长/宽/高)≤600×600×120(mm)</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二、调控软件</w:t>
                  </w:r>
                  <w:r>
                    <w:rPr>
                      <w:rFonts w:ascii="仿宋_GB2312" w:hAnsi="仿宋_GB2312" w:cs="仿宋_GB2312" w:eastAsia="仿宋_GB2312"/>
                      <w:sz w:val="20"/>
                      <w:color w:val="000000"/>
                    </w:rPr>
                    <w:t>（</w:t>
                  </w:r>
                  <w:r>
                    <w:rPr>
                      <w:rFonts w:ascii="仿宋_GB2312" w:hAnsi="仿宋_GB2312" w:cs="仿宋_GB2312" w:eastAsia="仿宋_GB2312"/>
                      <w:sz w:val="20"/>
                      <w:color w:val="000000"/>
                    </w:rPr>
                    <w:t>1套</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色温配色，平台软件具有目标色调光功能，可按需选择目标色坐标或目标色温调光</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用户根据设定色温或者色坐标，程序自动计算色彩配方</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3、可通过外接光谱照度计实现光源的自动反馈调节，保证光源的长期稳定输出，可进行光谱匹配</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具备</w:t>
                  </w:r>
                  <w:r>
                    <w:rPr>
                      <w:rFonts w:ascii="仿宋_GB2312" w:hAnsi="仿宋_GB2312" w:cs="仿宋_GB2312" w:eastAsia="仿宋_GB2312"/>
                      <w:sz w:val="20"/>
                      <w:color w:val="000000"/>
                    </w:rPr>
                    <w:t>千级调光，可以在不同的亮度范围内精细调节，满足各式布光需求</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5、可实现多灯组网，在一个完整空间中实现高照度和高精度的色彩控制</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6、支持拖动滑条输出相应颜色，也可以在滑条文本框输入数据后输出颜色；</w:t>
                  </w:r>
                </w:p>
                <w:p>
                  <w:pPr>
                    <w:pStyle w:val="null3"/>
                    <w:jc w:val="both"/>
                  </w:pPr>
                  <w:r>
                    <w:rPr>
                      <w:rFonts w:ascii="仿宋_GB2312" w:hAnsi="仿宋_GB2312" w:cs="仿宋_GB2312" w:eastAsia="仿宋_GB2312"/>
                      <w:sz w:val="20"/>
                      <w:color w:val="000000"/>
                    </w:rPr>
                    <w:t>7、平台软件支持CL500A校准</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三、情绪监测模块</w:t>
                  </w:r>
                  <w:r>
                    <w:rPr>
                      <w:rFonts w:ascii="仿宋_GB2312" w:hAnsi="仿宋_GB2312" w:cs="仿宋_GB2312" w:eastAsia="仿宋_GB2312"/>
                      <w:sz w:val="20"/>
                      <w:color w:val="000000"/>
                    </w:rPr>
                    <w:t>（</w:t>
                  </w:r>
                  <w:r>
                    <w:rPr>
                      <w:rFonts w:ascii="仿宋_GB2312" w:hAnsi="仿宋_GB2312" w:cs="仿宋_GB2312" w:eastAsia="仿宋_GB2312"/>
                      <w:sz w:val="20"/>
                      <w:color w:val="000000"/>
                    </w:rPr>
                    <w:t>1套</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1、尺寸（长/宽/高）≤9.5×9.5×4（mm）；续航时间≥72H，具备主动测试的和自动监测模式；</w:t>
                  </w:r>
                </w:p>
                <w:p>
                  <w:pPr>
                    <w:pStyle w:val="null3"/>
                    <w:jc w:val="both"/>
                  </w:pPr>
                  <w:r>
                    <w:rPr>
                      <w:rFonts w:ascii="仿宋_GB2312" w:hAnsi="仿宋_GB2312" w:cs="仿宋_GB2312" w:eastAsia="仿宋_GB2312"/>
                      <w:sz w:val="20"/>
                      <w:color w:val="000000"/>
                    </w:rPr>
                    <w:t>2、健康功能：心率、血氧、微循环、心率变异性HRV、心律失常、呼吸频率，血压预估、心率散点图。(提供软件截图证明)。</w:t>
                  </w:r>
                </w:p>
                <w:p>
                  <w:pPr>
                    <w:pStyle w:val="null3"/>
                    <w:jc w:val="both"/>
                  </w:pPr>
                  <w:r>
                    <w:rPr>
                      <w:rFonts w:ascii="仿宋_GB2312" w:hAnsi="仿宋_GB2312" w:cs="仿宋_GB2312" w:eastAsia="仿宋_GB2312"/>
                      <w:sz w:val="20"/>
                      <w:color w:val="000000"/>
                    </w:rPr>
                    <w:t>3、情绪功能：心情检测、压力检测、疲劳检测、多种情绪状态实时呈现，输出体检报告并给出改善建议；</w:t>
                  </w:r>
                </w:p>
                <w:p>
                  <w:pPr>
                    <w:pStyle w:val="null3"/>
                    <w:jc w:val="both"/>
                  </w:pPr>
                  <w:r>
                    <w:rPr>
                      <w:rFonts w:ascii="仿宋_GB2312" w:hAnsi="仿宋_GB2312" w:cs="仿宋_GB2312" w:eastAsia="仿宋_GB2312"/>
                      <w:sz w:val="20"/>
                      <w:color w:val="000000"/>
                    </w:rPr>
                    <w:t>其他功能：计步统计、运动时长与距离、卡路里消耗统计、运动锻炼记录、运动统计与分析、健身质量评估。</w:t>
                  </w:r>
                </w:p>
                <w:p>
                  <w:pPr>
                    <w:pStyle w:val="null3"/>
                    <w:jc w:val="both"/>
                  </w:pPr>
                  <w:r>
                    <w:rPr>
                      <w:rFonts w:ascii="仿宋_GB2312" w:hAnsi="仿宋_GB2312" w:cs="仿宋_GB2312" w:eastAsia="仿宋_GB2312"/>
                      <w:sz w:val="20"/>
                      <w:color w:val="000000"/>
                    </w:rPr>
                    <w:t>四、</w:t>
                  </w:r>
                  <w:r>
                    <w:rPr>
                      <w:rFonts w:ascii="仿宋_GB2312" w:hAnsi="仿宋_GB2312" w:cs="仿宋_GB2312" w:eastAsia="仿宋_GB2312"/>
                      <w:sz w:val="20"/>
                      <w:color w:val="000000"/>
                    </w:rPr>
                    <w:t>刺激场景</w:t>
                  </w:r>
                  <w:r>
                    <w:rPr>
                      <w:rFonts w:ascii="仿宋_GB2312" w:hAnsi="仿宋_GB2312" w:cs="仿宋_GB2312" w:eastAsia="仿宋_GB2312"/>
                      <w:sz w:val="20"/>
                      <w:color w:val="000000"/>
                    </w:rPr>
                    <w:t>（</w:t>
                  </w:r>
                  <w:r>
                    <w:rPr>
                      <w:rFonts w:ascii="仿宋_GB2312" w:hAnsi="仿宋_GB2312" w:cs="仿宋_GB2312" w:eastAsia="仿宋_GB2312"/>
                      <w:sz w:val="20"/>
                      <w:color w:val="000000"/>
                    </w:rPr>
                    <w:t>1套</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、提供实验刺激场景要至少包含：</w:t>
                  </w:r>
                  <w:r>
                    <w:rPr>
                      <w:rFonts w:ascii="仿宋_GB2312" w:hAnsi="仿宋_GB2312" w:cs="仿宋_GB2312" w:eastAsia="仿宋_GB2312"/>
                      <w:sz w:val="20"/>
                      <w:color w:val="000000"/>
                    </w:rPr>
                    <w:t>(1)艺术画廊；(2)木箱堆垛：(3)意大利广场：(4)阁楼公寓；(5)数据中心；(6)摩天大楼；(7)视觉悬崖；(8)飞机飞行前检测；(9)三维扫描模型；(10)发动机拆卸；</w:t>
                  </w:r>
                </w:p>
                <w:p>
                  <w:pPr>
                    <w:pStyle w:val="null3"/>
                    <w:jc w:val="both"/>
                  </w:pPr>
                  <w:r>
                    <w:rPr>
                      <w:rFonts w:ascii="仿宋_GB2312" w:hAnsi="仿宋_GB2312" w:cs="仿宋_GB2312" w:eastAsia="仿宋_GB2312"/>
                      <w:sz w:val="20"/>
                      <w:color w:val="000000"/>
                    </w:rPr>
                    <w:t>2、提供实验情绪图库：每个人包含无表情、惊讶、愤怒、高兴、惊恐、</w:t>
                  </w:r>
                  <w:r>
                    <w:rPr>
                      <w:rFonts w:ascii="仿宋_GB2312" w:hAnsi="仿宋_GB2312" w:cs="仿宋_GB2312" w:eastAsia="仿宋_GB2312"/>
                      <w:sz w:val="20"/>
                      <w:color w:val="000000"/>
                    </w:rPr>
                    <w:t>鄙视、悲伤、微笑等</w:t>
                  </w:r>
                  <w:r>
                    <w:rPr>
                      <w:rFonts w:ascii="仿宋_GB2312" w:hAnsi="仿宋_GB2312" w:cs="仿宋_GB2312" w:eastAsia="仿宋_GB2312"/>
                      <w:sz w:val="20"/>
                      <w:color w:val="000000"/>
                    </w:rPr>
                    <w:t>8种表情；图库内容≥850张，包含男性和女性老年人(60-75岁)≥350张、男性和女性青年人(19-35岁)≥500张。</w:t>
                  </w:r>
                </w:p>
                <w:p>
                  <w:pPr>
                    <w:pStyle w:val="null3"/>
                    <w:jc w:val="both"/>
                  </w:pPr>
                  <w:r>
                    <w:rPr>
                      <w:rFonts w:ascii="仿宋_GB2312" w:hAnsi="仿宋_GB2312" w:cs="仿宋_GB2312" w:eastAsia="仿宋_GB2312"/>
                      <w:sz w:val="20"/>
                      <w:color w:val="000000"/>
                    </w:rPr>
                    <w:t>五、光刺激调控模块（</w:t>
                  </w:r>
                  <w:r>
                    <w:rPr>
                      <w:rFonts w:ascii="仿宋_GB2312" w:hAnsi="仿宋_GB2312" w:cs="仿宋_GB2312" w:eastAsia="仿宋_GB2312"/>
                      <w:sz w:val="20"/>
                      <w:color w:val="000000"/>
                    </w:rPr>
                    <w:t>1套）；</w:t>
                  </w:r>
                </w:p>
                <w:p>
                  <w:pPr>
                    <w:pStyle w:val="null3"/>
                    <w:jc w:val="both"/>
                  </w:pPr>
                  <w:r>
                    <w:rPr>
                      <w:rFonts w:ascii="仿宋_GB2312" w:hAnsi="仿宋_GB2312" w:cs="仿宋_GB2312" w:eastAsia="仿宋_GB2312"/>
                      <w:sz w:val="20"/>
                      <w:color w:val="000000"/>
                    </w:rPr>
                    <w:t>1、通道：≥11通道；</w:t>
                  </w:r>
                </w:p>
                <w:p>
                  <w:pPr>
                    <w:pStyle w:val="null3"/>
                    <w:jc w:val="both"/>
                  </w:pPr>
                  <w:r>
                    <w:rPr>
                      <w:rFonts w:ascii="仿宋_GB2312" w:hAnsi="仿宋_GB2312" w:cs="仿宋_GB2312" w:eastAsia="仿宋_GB2312"/>
                      <w:sz w:val="20"/>
                      <w:color w:val="000000"/>
                    </w:rPr>
                    <w:t>2、光谱范围：</w:t>
                  </w:r>
                  <w:r>
                    <w:rPr>
                      <w:rFonts w:ascii="仿宋_GB2312" w:hAnsi="仿宋_GB2312" w:cs="仿宋_GB2312" w:eastAsia="仿宋_GB2312"/>
                      <w:sz w:val="20"/>
                      <w:color w:val="000000"/>
                    </w:rPr>
                    <w:t>380～780（nm）</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3、至少包含蓝紫、蓝光、天蓝、冰蓝青、普绿、黄光、红光、植物红、红外、普白等颜色。（提供图片证明）</w:t>
                  </w:r>
                </w:p>
              </w:tc>
              <w:tc>
                <w:tcPr>
                  <w:tcW w:type="dxa" w:w="37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color w:val="000000"/>
                    </w:rPr>
                    <w:t>1套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color w:val="000000"/>
              </w:rPr>
              <w:t>注：</w:t>
            </w:r>
            <w:r>
              <w:rPr>
                <w:rFonts w:ascii="仿宋_GB2312" w:hAnsi="仿宋_GB2312" w:cs="仿宋_GB2312" w:eastAsia="仿宋_GB2312"/>
                <w:sz w:val="21"/>
                <w:color w:val="000000"/>
              </w:rPr>
              <w:t>1、以上所有技术指标必须满足要求没有负偏离，否则按无效文件处理；</w:t>
            </w:r>
          </w:p>
          <w:p>
            <w:pPr>
              <w:pStyle w:val="null3"/>
            </w:pPr>
            <w:r>
              <w:rPr>
                <w:rFonts w:ascii="仿宋_GB2312" w:hAnsi="仿宋_GB2312" w:cs="仿宋_GB2312" w:eastAsia="仿宋_GB2312"/>
                <w:sz w:val="21"/>
                <w:color w:val="000000"/>
              </w:rPr>
              <w:t>2、要求提供佐证材料的必须提供，否则视为负偏离，按无效文件处理。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交货期：合同签订后30个日历日交货。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西安工业大学未央校区（采购人指定地点）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采购设备的验收流程包括：到货验收、安装调试、试运行、最终验收。 到货验收：设备到达指定地点后，由采购人技术人员进行初步检查，确认设备的外观、型号等信息是否与合同一致。同时，需要开箱验货，检查设备及配件的外观、数量、包装是否完好无损。如果发现外包装损坏或规格、型号、数量与合同不符等问题，则视为初验不合格，设备应返回给中标（成交）供应商，并记录处理意见。安装调试：在确认设备符合要求后，由中标（成交）供应商进行设备的安装和调试，确保设备能够正常运行。 试运行：设备安装调试完成后，通常会进入试运行期。本项目运行期为1周，试运行期间，如果出现质量问题，中标（成交）供应商需负责修复或更换货物。试运行结束后，由采购人组织正式验收。 最终验收：在试运行无问题后，由采购人和中标（成交）供应商共同完成最终验收。验收小组对设备的性能、稳定性进行全面测试和评估，根据测试结果决定是否接受该设备，并签署验收报告。最终验收合格后，办理移交手续，并依据合同条款进行付款申报。2.培训要求:到货后一个月内，至少包含一名原厂技术工程师现场指导，培训时长不低于4小时。中标（成交）供应须负责开展培训服务，明确各阶段详实培训计划，包括但不限于对教师、实验室设备管理人员等进行培训服务。培训内容包括各种设备的初始化及故障诊断、定位和排除技能等。培训次数不限，达到熟练使用的效果。提供相关主要设备的操作流程及使用手册，维修手册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本项目整体质保期：验收合格后5年；质保期满后，中标（成交）供应商仍需提供专业维修服务。 质保期内免费提供正常使用的易损件和备件；软件系统提供终身免费升级服务。设备经过双方检验认可后，签署验收报告，产品保修期自验收合格之日起计算，由中标（成交）供应商提供产品保修文件。质保期内所有维修服务均由中标（成交）供应商免费上门取、送、修。安装调试1个月内，如有质量问题，设备整机无条件退换货并提供备件以保证教学正常开展。在保修期内，任何质量问题，中标（成交）供应商负责免费维修。质保期过后需换件时，原则上应提供原装器件，并按成本价收费。服务响应时间：中标（成交）供应商接到维修电话后2小时内给予明确答复，4小时内到达现场维修。维修人员到现场后若问题特殊无法现场修复的，中标（成交）供应商需在24小时内给出合理解决方案。</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按照谈判文件、响应文件及合同要求。</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供应商需要在线提交所有通过电子化交易平台实施的政府采购项目的谈判响应文件，同时，线下提交谈判响应文件正本壹份、副本贰份。若电子投标文件与纸质投标文件不一致的，以电子投标文件为准。(2)谈判响应文件，正、副本分别各自装订成册密封。在封口处加盖供应商公章。(3)线下投标文件递交截止时间与线上开评标时间一致。(4)纸质投标文件可邮寄递交，应于递交投标文件截止时间前邮寄到西安市莲湖区高新一路5号正信大厦A座24楼。 2、保证金退还: 1） 未中标单位：招标结束后，将根据所提供信息退还各投标单位保证金，无需亲自前来办理；2）成交单位：在采购合同签订并按规定交纳代理服务费后五个工作日内退还。（办理退保证金：需提供与甲方签订的合同原件的扫描件一份（pdf格式）发送至此邮箱（945990512@qq.cpm）,发送时务必备注项目名称、项目编号和标段（无标段可不写））；中标服务费查询请联系财务部：029-89286620转808。3）供应商如开具电子保函请在开标前把电子保函PDF版发送至1152611386@qq.com。3、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提供经审计完整的2024年度或2025年度的财务报告或提交响应文件截止时间前六个月内银行出具的资信证明；其他组织和自然人提供银行出具的资信证明或财务报表；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tc>
        <w:tc>
          <w:tcPr>
            <w:tcW w:type="dxa" w:w="1661"/>
          </w:tcPr>
          <w:p>
            <w:pPr>
              <w:pStyle w:val="null3"/>
            </w:pPr>
            <w:r>
              <w:rPr>
                <w:rFonts w:ascii="仿宋_GB2312" w:hAnsi="仿宋_GB2312" w:cs="仿宋_GB2312" w:eastAsia="仿宋_GB2312"/>
              </w:rPr>
              <w:t>近三年无重大违法.docx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履行合同所必需的设备和专业技术能力的说明及承诺.docx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供应商应授权合法的人员参加谈判，其中法定代表人直接参加的，须出具法定代表人证明书；被授权代表参加的，须出具法定代表人授权书；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供应商企业关系关联承诺书.docx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报价明显低于其他实质性响应的供应商报价，有可能影响产品质量或者不能诚信履约的，谈判小组应当要求其在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说明和证明材料，应当加盖供应商（法定名称）电子印章，在谈判小组要求的时间内通过项目电子化交易系统进行提交，否则提交的相关证明材料无效。供应商不能证明其投标报价合理性的，谈判小组应当将其投标文件作为无效处理。 3.政府采购异常低价审查 政府采购评审中出现下列情形之一的，谈判小组应当启动异常低价投标审查程序：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④谈判小组基于专业判断，认为供应商报价过低，有可能影响产品质量或者不能诚信履约的其他情形。 相关法律法规对供应商报价有规定的，从其规定。 谈判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谈判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谈判小组应当将其作为无效投标处理。</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谈判文件签署、盖章</w:t>
            </w:r>
          </w:p>
        </w:tc>
        <w:tc>
          <w:tcPr>
            <w:tcW w:type="dxa" w:w="3322"/>
          </w:tcPr>
          <w:p>
            <w:pPr>
              <w:pStyle w:val="null3"/>
            </w:pPr>
            <w:r>
              <w:rPr>
                <w:rFonts w:ascii="仿宋_GB2312" w:hAnsi="仿宋_GB2312" w:cs="仿宋_GB2312" w:eastAsia="仿宋_GB2312"/>
              </w:rPr>
              <w:t>均按谈判文件要求签字、盖章（评分标准中要求提供的证明材料除外）。</w:t>
            </w:r>
          </w:p>
        </w:tc>
        <w:tc>
          <w:tcPr>
            <w:tcW w:type="dxa" w:w="1661"/>
          </w:tcPr>
          <w:p>
            <w:pPr>
              <w:pStyle w:val="null3"/>
            </w:pPr>
            <w:r>
              <w:rPr>
                <w:rFonts w:ascii="仿宋_GB2312" w:hAnsi="仿宋_GB2312" w:cs="仿宋_GB2312" w:eastAsia="仿宋_GB2312"/>
              </w:rPr>
              <w:t>响应文件封面 商务应答表 供应商应提交的相关资格证明材料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谈判报价表</w:t>
            </w:r>
          </w:p>
        </w:tc>
        <w:tc>
          <w:tcPr>
            <w:tcW w:type="dxa" w:w="3322"/>
          </w:tcPr>
          <w:p>
            <w:pPr>
              <w:pStyle w:val="null3"/>
            </w:pPr>
            <w:r>
              <w:rPr>
                <w:rFonts w:ascii="仿宋_GB2312" w:hAnsi="仿宋_GB2312" w:cs="仿宋_GB2312" w:eastAsia="仿宋_GB2312"/>
              </w:rPr>
              <w:t>（1）谈判响应报价表填写符合要求； （2）计量单位、报价货币均符合采购文件要求； （3）谈判报价未超出采购预算或采购文件规定的最高限价（单价限价）。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完全理解并接受对合格供应商、合格的货物、工程或服务要求，根据供应商谈判响应文件《技术指标偏差表》，结合采购文件第三章“★”标识的实质性要求没有负偏离。</w:t>
            </w:r>
          </w:p>
        </w:tc>
        <w:tc>
          <w:tcPr>
            <w:tcW w:type="dxa" w:w="1661"/>
          </w:tcPr>
          <w:p>
            <w:pPr>
              <w:pStyle w:val="null3"/>
            </w:pPr>
            <w:r>
              <w:rPr>
                <w:rFonts w:ascii="仿宋_GB2312" w:hAnsi="仿宋_GB2312" w:cs="仿宋_GB2312" w:eastAsia="仿宋_GB2312"/>
              </w:rPr>
              <w:t>响应文件封面 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无其他采购文件或法规明确规定投标无效的事项</w:t>
            </w:r>
          </w:p>
        </w:tc>
        <w:tc>
          <w:tcPr>
            <w:tcW w:type="dxa" w:w="3322"/>
          </w:tcPr>
          <w:p>
            <w:pPr>
              <w:pStyle w:val="null3"/>
            </w:pPr>
            <w:r>
              <w:rPr>
                <w:rFonts w:ascii="仿宋_GB2312" w:hAnsi="仿宋_GB2312" w:cs="仿宋_GB2312" w:eastAsia="仿宋_GB2312"/>
              </w:rPr>
              <w:t>没有不符合采购文件规定的被视为无效投标的其他条款。</w:t>
            </w:r>
          </w:p>
        </w:tc>
        <w:tc>
          <w:tcPr>
            <w:tcW w:type="dxa" w:w="1661"/>
          </w:tcPr>
          <w:p>
            <w:pPr>
              <w:pStyle w:val="null3"/>
            </w:pPr>
            <w:r>
              <w:rPr>
                <w:rFonts w:ascii="仿宋_GB2312" w:hAnsi="仿宋_GB2312" w:cs="仿宋_GB2312" w:eastAsia="仿宋_GB2312"/>
              </w:rPr>
              <w:t>响应文件封面 产品技术参数表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完全理解并接受采购文件合同基本条款要求。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注：（1）根据《政府采购促进中小企业发展管理办法》的相关规定，对小型和微型企业的价格给予10%的扣除，用扣除后的价格参与评审。 （2）根据《财政部民政部中国残疾人联合会关于促进残疾人就业政府采购政策的通知》（财库[2017]141号）的规定，对符合条件的残疾人福利性单位产品的价格给予10%的扣除，用扣除后的价格参与评审。</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详见附件：近三年无重大违法.docx</w:t>
      </w:r>
    </w:p>
    <w:p>
      <w:pPr>
        <w:pStyle w:val="null3"/>
        <w:ind w:firstLine="960"/>
      </w:pPr>
      <w:r>
        <w:rPr>
          <w:rFonts w:ascii="仿宋_GB2312" w:hAnsi="仿宋_GB2312" w:cs="仿宋_GB2312" w:eastAsia="仿宋_GB2312"/>
        </w:rPr>
        <w:t>详见附件：供应商企业关系关联承诺书.docx</w:t>
      </w:r>
    </w:p>
    <w:p>
      <w:pPr>
        <w:pStyle w:val="null3"/>
        <w:ind w:firstLine="960"/>
      </w:pPr>
      <w:r>
        <w:rPr>
          <w:rFonts w:ascii="仿宋_GB2312" w:hAnsi="仿宋_GB2312" w:cs="仿宋_GB2312" w:eastAsia="仿宋_GB2312"/>
        </w:rPr>
        <w:t>详见附件：履行合同所必需的设备和专业技术能力的说明及承诺.docx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详见附件：西安工业大学采购合同.docx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