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4A902">
      <w:pPr>
        <w:adjustRightInd/>
        <w:spacing w:line="240" w:lineRule="auto"/>
        <w:jc w:val="center"/>
        <w:outlineLvl w:val="9"/>
        <w:rPr>
          <w:rFonts w:hint="eastAsia" w:ascii="仿宋" w:hAnsi="仿宋" w:eastAsia="仿宋" w:cs="仿宋"/>
          <w:b/>
          <w:bCs/>
          <w:sz w:val="28"/>
          <w:szCs w:val="28"/>
        </w:rPr>
      </w:pPr>
      <w:r>
        <w:rPr>
          <w:rFonts w:hint="eastAsia" w:ascii="仿宋" w:hAnsi="仿宋" w:eastAsia="仿宋" w:cs="仿宋"/>
          <w:b/>
          <w:bCs/>
          <w:sz w:val="28"/>
          <w:szCs w:val="28"/>
        </w:rPr>
        <w:t>商务及合同主要条款</w:t>
      </w:r>
    </w:p>
    <w:tbl>
      <w:tblPr>
        <w:tblStyle w:val="11"/>
        <w:tblW w:w="83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1016"/>
        <w:gridCol w:w="7301"/>
      </w:tblGrid>
      <w:tr w14:paraId="7C0BAB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016" w:type="dxa"/>
            <w:vAlign w:val="center"/>
          </w:tcPr>
          <w:p w14:paraId="16BC5193">
            <w:pPr>
              <w:spacing w:line="500" w:lineRule="exact"/>
              <w:jc w:val="center"/>
              <w:rPr>
                <w:rFonts w:hint="eastAsia" w:ascii="仿宋" w:hAnsi="仿宋" w:eastAsia="仿宋" w:cs="仿宋"/>
                <w:sz w:val="22"/>
                <w:szCs w:val="22"/>
              </w:rPr>
            </w:pPr>
            <w:r>
              <w:rPr>
                <w:rFonts w:hint="eastAsia" w:ascii="仿宋" w:hAnsi="仿宋" w:eastAsia="仿宋" w:cs="仿宋"/>
                <w:sz w:val="22"/>
                <w:szCs w:val="22"/>
              </w:rPr>
              <w:t>条款号</w:t>
            </w:r>
          </w:p>
        </w:tc>
        <w:tc>
          <w:tcPr>
            <w:tcW w:w="7301" w:type="dxa"/>
            <w:vAlign w:val="center"/>
          </w:tcPr>
          <w:p w14:paraId="52CBD0A7">
            <w:pPr>
              <w:spacing w:line="500" w:lineRule="exact"/>
              <w:jc w:val="center"/>
              <w:rPr>
                <w:rFonts w:hint="eastAsia" w:ascii="仿宋" w:hAnsi="仿宋" w:eastAsia="仿宋" w:cs="仿宋"/>
                <w:sz w:val="22"/>
                <w:szCs w:val="22"/>
              </w:rPr>
            </w:pPr>
            <w:r>
              <w:rPr>
                <w:rFonts w:hint="eastAsia" w:ascii="仿宋" w:hAnsi="仿宋" w:eastAsia="仿宋" w:cs="仿宋"/>
                <w:b/>
                <w:bCs/>
                <w:sz w:val="22"/>
                <w:szCs w:val="22"/>
              </w:rPr>
              <w:t>内      容</w:t>
            </w:r>
          </w:p>
        </w:tc>
      </w:tr>
      <w:tr w14:paraId="24548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2FD257D8">
            <w:pPr>
              <w:spacing w:line="500" w:lineRule="exact"/>
              <w:jc w:val="center"/>
              <w:rPr>
                <w:rFonts w:hint="eastAsia" w:ascii="仿宋" w:hAnsi="仿宋" w:eastAsia="仿宋" w:cs="仿宋"/>
                <w:sz w:val="22"/>
                <w:szCs w:val="22"/>
              </w:rPr>
            </w:pPr>
            <w:r>
              <w:rPr>
                <w:rFonts w:hint="eastAsia" w:ascii="仿宋" w:hAnsi="仿宋" w:eastAsia="仿宋" w:cs="仿宋"/>
                <w:sz w:val="22"/>
                <w:szCs w:val="22"/>
              </w:rPr>
              <w:t>1</w:t>
            </w:r>
          </w:p>
        </w:tc>
        <w:tc>
          <w:tcPr>
            <w:tcW w:w="7301" w:type="dxa"/>
            <w:vAlign w:val="center"/>
          </w:tcPr>
          <w:p w14:paraId="186CAD07">
            <w:pPr>
              <w:spacing w:line="500" w:lineRule="exact"/>
              <w:rPr>
                <w:rFonts w:hint="eastAsia" w:ascii="仿宋" w:hAnsi="仿宋" w:eastAsia="仿宋" w:cs="仿宋"/>
                <w:sz w:val="22"/>
                <w:szCs w:val="22"/>
              </w:rPr>
            </w:pPr>
            <w:r>
              <w:rPr>
                <w:rFonts w:hint="eastAsia" w:ascii="仿宋" w:hAnsi="仿宋" w:eastAsia="仿宋" w:cs="仿宋"/>
                <w:sz w:val="22"/>
                <w:szCs w:val="22"/>
              </w:rPr>
              <w:t>服务地点：</w:t>
            </w:r>
            <w:r>
              <w:rPr>
                <w:rFonts w:hint="eastAsia" w:ascii="仿宋" w:hAnsi="仿宋" w:eastAsia="仿宋" w:cs="仿宋"/>
                <w:sz w:val="22"/>
                <w:szCs w:val="22"/>
                <w:lang w:val="en-US" w:eastAsia="zh-CN"/>
              </w:rPr>
              <w:t>采购人指定地点</w:t>
            </w:r>
          </w:p>
        </w:tc>
      </w:tr>
      <w:tr w14:paraId="106D5D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63" w:hRule="atLeast"/>
        </w:trPr>
        <w:tc>
          <w:tcPr>
            <w:tcW w:w="1016" w:type="dxa"/>
            <w:vAlign w:val="center"/>
          </w:tcPr>
          <w:p w14:paraId="7309E62E">
            <w:pPr>
              <w:spacing w:line="500" w:lineRule="exact"/>
              <w:jc w:val="center"/>
              <w:rPr>
                <w:rFonts w:hint="eastAsia" w:ascii="仿宋" w:hAnsi="仿宋" w:eastAsia="仿宋" w:cs="仿宋"/>
                <w:sz w:val="22"/>
                <w:szCs w:val="22"/>
              </w:rPr>
            </w:pPr>
            <w:r>
              <w:rPr>
                <w:rFonts w:hint="eastAsia" w:ascii="仿宋" w:hAnsi="仿宋" w:eastAsia="仿宋" w:cs="仿宋"/>
                <w:sz w:val="22"/>
                <w:szCs w:val="22"/>
              </w:rPr>
              <w:t>2</w:t>
            </w:r>
          </w:p>
        </w:tc>
        <w:tc>
          <w:tcPr>
            <w:tcW w:w="7301" w:type="dxa"/>
            <w:vAlign w:val="center"/>
          </w:tcPr>
          <w:p w14:paraId="4C5C53F5">
            <w:pPr>
              <w:spacing w:line="500" w:lineRule="exact"/>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rPr>
              <w:t>服务期限：</w:t>
            </w:r>
            <w:r>
              <w:rPr>
                <w:rFonts w:hint="eastAsia" w:ascii="仿宋" w:hAnsi="仿宋" w:eastAsia="仿宋" w:cs="仿宋"/>
                <w:sz w:val="22"/>
                <w:szCs w:val="22"/>
                <w:highlight w:val="none"/>
                <w:lang w:eastAsia="zh-CN"/>
              </w:rPr>
              <w:t>自2026年06月24日至2027年06月25日</w:t>
            </w:r>
            <w:r>
              <w:rPr>
                <w:rFonts w:hint="eastAsia" w:ascii="仿宋" w:hAnsi="仿宋" w:eastAsia="仿宋" w:cs="仿宋"/>
                <w:sz w:val="22"/>
                <w:szCs w:val="22"/>
                <w:highlight w:val="none"/>
                <w:lang w:val="en-US" w:eastAsia="zh-CN"/>
              </w:rPr>
              <w:t>。</w:t>
            </w:r>
          </w:p>
        </w:tc>
      </w:tr>
      <w:tr w14:paraId="2F766D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781C7065">
            <w:pPr>
              <w:spacing w:line="500" w:lineRule="exact"/>
              <w:jc w:val="center"/>
              <w:rPr>
                <w:rFonts w:hint="eastAsia" w:ascii="仿宋" w:hAnsi="仿宋" w:eastAsia="仿宋" w:cs="仿宋"/>
                <w:sz w:val="22"/>
                <w:szCs w:val="22"/>
              </w:rPr>
            </w:pPr>
            <w:r>
              <w:rPr>
                <w:rFonts w:hint="eastAsia" w:ascii="仿宋" w:hAnsi="仿宋" w:eastAsia="仿宋" w:cs="仿宋"/>
                <w:sz w:val="22"/>
                <w:szCs w:val="22"/>
              </w:rPr>
              <w:t>3</w:t>
            </w:r>
          </w:p>
        </w:tc>
        <w:tc>
          <w:tcPr>
            <w:tcW w:w="7301" w:type="dxa"/>
            <w:vAlign w:val="center"/>
          </w:tcPr>
          <w:p w14:paraId="72FF8B2F">
            <w:pPr>
              <w:spacing w:line="500" w:lineRule="exact"/>
              <w:rPr>
                <w:rFonts w:hint="eastAsia" w:ascii="仿宋" w:hAnsi="仿宋" w:eastAsia="仿宋" w:cs="仿宋"/>
                <w:sz w:val="22"/>
                <w:szCs w:val="22"/>
                <w:highlight w:val="none"/>
              </w:rPr>
            </w:pPr>
            <w:r>
              <w:rPr>
                <w:rFonts w:hint="eastAsia" w:ascii="仿宋" w:hAnsi="仿宋" w:eastAsia="仿宋" w:cs="仿宋"/>
                <w:sz w:val="22"/>
                <w:szCs w:val="22"/>
                <w:highlight w:val="none"/>
              </w:rPr>
              <w:t>付款程序及付款方式：</w:t>
            </w:r>
          </w:p>
          <w:p w14:paraId="503479F4">
            <w:pPr>
              <w:spacing w:line="500" w:lineRule="exact"/>
              <w:rPr>
                <w:rFonts w:hint="eastAsia" w:ascii="仿宋" w:hAnsi="仿宋" w:eastAsia="仿宋" w:cs="仿宋"/>
                <w:sz w:val="22"/>
                <w:szCs w:val="22"/>
                <w:highlight w:val="none"/>
              </w:rPr>
            </w:pPr>
            <w:r>
              <w:rPr>
                <w:rFonts w:hint="eastAsia" w:ascii="仿宋" w:hAnsi="仿宋" w:eastAsia="仿宋" w:cs="仿宋"/>
                <w:sz w:val="22"/>
                <w:szCs w:val="22"/>
                <w:highlight w:val="none"/>
              </w:rPr>
              <w:t>（1）银行转账。</w:t>
            </w:r>
          </w:p>
          <w:p w14:paraId="6725C145">
            <w:pPr>
              <w:spacing w:line="500" w:lineRule="exact"/>
              <w:rPr>
                <w:rFonts w:hint="eastAsia" w:ascii="仿宋" w:hAnsi="仿宋" w:eastAsia="仿宋" w:cs="仿宋"/>
                <w:sz w:val="22"/>
                <w:szCs w:val="22"/>
                <w:highlight w:val="none"/>
              </w:rPr>
            </w:pPr>
            <w:r>
              <w:rPr>
                <w:rFonts w:hint="eastAsia" w:ascii="仿宋" w:hAnsi="仿宋" w:eastAsia="仿宋" w:cs="仿宋"/>
                <w:sz w:val="22"/>
                <w:szCs w:val="22"/>
                <w:highlight w:val="none"/>
              </w:rPr>
              <w:t>（2）</w:t>
            </w:r>
            <w:r>
              <w:rPr>
                <w:rFonts w:hint="eastAsia" w:ascii="仿宋" w:hAnsi="仿宋" w:eastAsia="仿宋" w:cs="仿宋"/>
                <w:sz w:val="22"/>
                <w:szCs w:val="22"/>
                <w:highlight w:val="none"/>
                <w:lang w:val="en-US" w:eastAsia="zh-CN"/>
              </w:rPr>
              <w:t>合同签订后供应商提供相应发票，采购人收到供应商的发票后，达到付款条件起14日内，支付合同总金额的 100.00%</w:t>
            </w:r>
            <w:r>
              <w:rPr>
                <w:rFonts w:hint="eastAsia" w:ascii="仿宋" w:hAnsi="仿宋" w:eastAsia="仿宋" w:cs="仿宋"/>
                <w:sz w:val="22"/>
                <w:szCs w:val="22"/>
                <w:highlight w:val="none"/>
              </w:rPr>
              <w:t>。</w:t>
            </w:r>
          </w:p>
          <w:p w14:paraId="7CA2E5AB">
            <w:pPr>
              <w:spacing w:line="500" w:lineRule="exact"/>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乙方开户行：                  </w:t>
            </w:r>
          </w:p>
          <w:p w14:paraId="42F0D3CB">
            <w:pPr>
              <w:spacing w:line="500" w:lineRule="exact"/>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乙方户  名：                  </w:t>
            </w:r>
          </w:p>
          <w:p w14:paraId="5253BE34">
            <w:pPr>
              <w:spacing w:line="500" w:lineRule="exact"/>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乙方账  号：                   </w:t>
            </w:r>
          </w:p>
        </w:tc>
      </w:tr>
      <w:tr w14:paraId="26F16A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200" w:hRule="atLeast"/>
        </w:trPr>
        <w:tc>
          <w:tcPr>
            <w:tcW w:w="1016" w:type="dxa"/>
            <w:vAlign w:val="center"/>
          </w:tcPr>
          <w:p w14:paraId="25253E48">
            <w:pPr>
              <w:spacing w:line="500" w:lineRule="exact"/>
              <w:jc w:val="center"/>
              <w:rPr>
                <w:rFonts w:hint="eastAsia" w:ascii="仿宋" w:hAnsi="仿宋" w:eastAsia="仿宋" w:cs="仿宋"/>
                <w:sz w:val="22"/>
                <w:szCs w:val="22"/>
              </w:rPr>
            </w:pPr>
            <w:r>
              <w:rPr>
                <w:rFonts w:hint="eastAsia" w:ascii="仿宋" w:hAnsi="仿宋" w:eastAsia="仿宋" w:cs="仿宋"/>
                <w:sz w:val="22"/>
                <w:szCs w:val="22"/>
              </w:rPr>
              <w:t>4</w:t>
            </w:r>
          </w:p>
        </w:tc>
        <w:tc>
          <w:tcPr>
            <w:tcW w:w="7301" w:type="dxa"/>
            <w:vAlign w:val="center"/>
          </w:tcPr>
          <w:p w14:paraId="1CC7D918">
            <w:pPr>
              <w:spacing w:line="500" w:lineRule="exact"/>
              <w:rPr>
                <w:rFonts w:hint="eastAsia" w:ascii="仿宋" w:hAnsi="仿宋" w:eastAsia="仿宋" w:cs="仿宋"/>
                <w:sz w:val="22"/>
                <w:szCs w:val="22"/>
              </w:rPr>
            </w:pPr>
            <w:r>
              <w:rPr>
                <w:rFonts w:hint="eastAsia" w:ascii="仿宋" w:hAnsi="仿宋" w:eastAsia="仿宋" w:cs="仿宋"/>
                <w:sz w:val="22"/>
                <w:szCs w:val="22"/>
              </w:rPr>
              <w:t>知识产权：</w:t>
            </w:r>
          </w:p>
          <w:p w14:paraId="5C4B4E9D">
            <w:pPr>
              <w:spacing w:line="500" w:lineRule="exact"/>
              <w:rPr>
                <w:rFonts w:hint="eastAsia" w:ascii="仿宋" w:hAnsi="仿宋" w:eastAsia="仿宋" w:cs="仿宋"/>
                <w:sz w:val="22"/>
                <w:szCs w:val="22"/>
              </w:rPr>
            </w:pPr>
            <w:r>
              <w:rPr>
                <w:rFonts w:hint="eastAsia" w:ascii="仿宋" w:hAnsi="仿宋" w:eastAsia="仿宋" w:cs="仿宋"/>
                <w:sz w:val="22"/>
                <w:szCs w:val="22"/>
              </w:rPr>
              <w:t>乙方应保证所提供的的产品及服务不会出现因第三方提出侵犯其专利权、商标权或其它知识产权而引发法律或经济纠纷，否则由乙方承担全部责任。任何被乙方用于未经授权的商业目的行为所造成的违约或侵权责任由乙方</w:t>
            </w:r>
            <w:r>
              <w:rPr>
                <w:rFonts w:hint="eastAsia" w:ascii="仿宋" w:hAnsi="仿宋" w:eastAsia="仿宋" w:cs="仿宋"/>
                <w:sz w:val="22"/>
                <w:szCs w:val="22"/>
                <w:lang w:eastAsia="zh-CN"/>
              </w:rPr>
              <w:t>承担</w:t>
            </w:r>
            <w:r>
              <w:rPr>
                <w:rFonts w:hint="eastAsia" w:ascii="仿宋" w:hAnsi="仿宋" w:eastAsia="仿宋" w:cs="仿宋"/>
                <w:sz w:val="22"/>
                <w:szCs w:val="22"/>
              </w:rPr>
              <w:t>。</w:t>
            </w:r>
          </w:p>
        </w:tc>
      </w:tr>
    </w:tbl>
    <w:p w14:paraId="7F1F398C">
      <w:pPr>
        <w:adjustRightInd/>
        <w:spacing w:line="240" w:lineRule="auto"/>
        <w:jc w:val="left"/>
        <w:rPr>
          <w:rFonts w:hint="eastAsia" w:ascii="仿宋" w:hAnsi="仿宋" w:eastAsia="仿宋" w:cs="仿宋"/>
          <w:b/>
          <w:bCs/>
          <w:sz w:val="28"/>
          <w:szCs w:val="28"/>
        </w:rPr>
        <w:sectPr>
          <w:footerReference r:id="rId3" w:type="default"/>
          <w:pgSz w:w="11906" w:h="16838"/>
          <w:pgMar w:top="1440" w:right="1800" w:bottom="1440" w:left="1800" w:header="851" w:footer="992" w:gutter="0"/>
          <w:cols w:space="425" w:num="1"/>
          <w:docGrid w:type="lines" w:linePitch="312" w:charSpace="0"/>
        </w:sectPr>
      </w:pPr>
    </w:p>
    <w:p w14:paraId="1051D65F">
      <w:pPr>
        <w:adjustRightInd/>
        <w:spacing w:line="240" w:lineRule="auto"/>
        <w:jc w:val="left"/>
        <w:rPr>
          <w:rFonts w:hint="eastAsia" w:ascii="仿宋" w:hAnsi="仿宋" w:eastAsia="仿宋" w:cs="仿宋"/>
          <w:b/>
          <w:bCs/>
          <w:sz w:val="28"/>
          <w:szCs w:val="28"/>
        </w:rPr>
      </w:pPr>
      <w:r>
        <w:rPr>
          <w:rFonts w:hint="eastAsia" w:ascii="仿宋" w:hAnsi="仿宋" w:eastAsia="仿宋" w:cs="仿宋"/>
          <w:b/>
          <w:bCs/>
          <w:sz w:val="28"/>
          <w:szCs w:val="28"/>
        </w:rPr>
        <w:t>政府采购合同                        合同编号：</w:t>
      </w:r>
    </w:p>
    <w:p w14:paraId="2097D4A4">
      <w:pPr>
        <w:adjustRightInd/>
        <w:spacing w:line="240" w:lineRule="auto"/>
        <w:jc w:val="left"/>
        <w:rPr>
          <w:rFonts w:hint="eastAsia" w:ascii="仿宋" w:hAnsi="仿宋" w:eastAsia="仿宋" w:cs="仿宋"/>
          <w:b/>
          <w:bCs/>
          <w:sz w:val="28"/>
          <w:szCs w:val="28"/>
        </w:rPr>
      </w:pPr>
    </w:p>
    <w:p w14:paraId="3374B28D">
      <w:pPr>
        <w:adjustRightInd/>
        <w:spacing w:line="240" w:lineRule="auto"/>
        <w:jc w:val="left"/>
        <w:rPr>
          <w:rFonts w:hint="eastAsia" w:ascii="仿宋" w:hAnsi="仿宋" w:eastAsia="仿宋" w:cs="仿宋"/>
          <w:b/>
          <w:bCs/>
          <w:sz w:val="28"/>
          <w:szCs w:val="28"/>
        </w:rPr>
      </w:pPr>
    </w:p>
    <w:p w14:paraId="002E1B1B">
      <w:pPr>
        <w:adjustRightInd/>
        <w:spacing w:line="240" w:lineRule="auto"/>
        <w:jc w:val="left"/>
        <w:rPr>
          <w:rFonts w:hint="eastAsia" w:ascii="仿宋" w:hAnsi="仿宋" w:eastAsia="仿宋" w:cs="仿宋"/>
          <w:sz w:val="28"/>
          <w:szCs w:val="28"/>
        </w:rPr>
      </w:pPr>
    </w:p>
    <w:p w14:paraId="300DEFDB">
      <w:pPr>
        <w:adjustRightInd/>
        <w:spacing w:line="240" w:lineRule="auto"/>
        <w:jc w:val="center"/>
        <w:rPr>
          <w:rFonts w:hint="eastAsia" w:ascii="仿宋" w:hAnsi="仿宋" w:eastAsia="仿宋" w:cs="仿宋"/>
          <w:b/>
          <w:bCs/>
          <w:sz w:val="44"/>
          <w:szCs w:val="44"/>
        </w:rPr>
      </w:pPr>
      <w:r>
        <w:rPr>
          <w:rFonts w:hint="eastAsia" w:ascii="仿宋" w:hAnsi="仿宋" w:eastAsia="仿宋" w:cs="仿宋"/>
          <w:b/>
          <w:bCs/>
          <w:sz w:val="44"/>
          <w:szCs w:val="44"/>
        </w:rPr>
        <w:t>采购项目</w:t>
      </w:r>
    </w:p>
    <w:p w14:paraId="6A967328">
      <w:pPr>
        <w:adjustRightInd/>
        <w:spacing w:line="240" w:lineRule="auto"/>
        <w:rPr>
          <w:rFonts w:hint="eastAsia" w:ascii="仿宋" w:hAnsi="仿宋" w:eastAsia="仿宋" w:cs="仿宋"/>
          <w:sz w:val="28"/>
          <w:szCs w:val="28"/>
        </w:rPr>
      </w:pPr>
    </w:p>
    <w:p w14:paraId="067160F4">
      <w:pPr>
        <w:adjustRightInd/>
        <w:spacing w:line="240" w:lineRule="auto"/>
        <w:rPr>
          <w:rFonts w:hint="eastAsia" w:ascii="仿宋" w:hAnsi="仿宋" w:eastAsia="仿宋" w:cs="仿宋"/>
          <w:sz w:val="28"/>
          <w:szCs w:val="28"/>
        </w:rPr>
      </w:pPr>
    </w:p>
    <w:p w14:paraId="68B55818">
      <w:pPr>
        <w:adjustRightInd/>
        <w:spacing w:line="240" w:lineRule="auto"/>
        <w:jc w:val="left"/>
        <w:rPr>
          <w:rFonts w:hint="eastAsia" w:ascii="仿宋" w:hAnsi="仿宋" w:eastAsia="仿宋" w:cs="仿宋"/>
          <w:sz w:val="28"/>
          <w:szCs w:val="28"/>
        </w:rPr>
      </w:pPr>
    </w:p>
    <w:p w14:paraId="493DBE94">
      <w:pPr>
        <w:adjustRightInd/>
        <w:spacing w:line="240" w:lineRule="auto"/>
        <w:jc w:val="left"/>
        <w:rPr>
          <w:rFonts w:hint="eastAsia" w:ascii="仿宋" w:hAnsi="仿宋" w:eastAsia="仿宋" w:cs="仿宋"/>
          <w:sz w:val="28"/>
          <w:szCs w:val="28"/>
        </w:rPr>
      </w:pPr>
    </w:p>
    <w:p w14:paraId="672FBFF5">
      <w:pPr>
        <w:adjustRightInd/>
        <w:spacing w:line="240" w:lineRule="auto"/>
        <w:rPr>
          <w:rFonts w:hint="eastAsia" w:ascii="仿宋" w:hAnsi="仿宋" w:eastAsia="仿宋" w:cs="仿宋"/>
          <w:sz w:val="28"/>
          <w:szCs w:val="28"/>
        </w:rPr>
      </w:pPr>
    </w:p>
    <w:p w14:paraId="54C92004">
      <w:pPr>
        <w:adjustRightInd/>
        <w:spacing w:line="240" w:lineRule="auto"/>
        <w:rPr>
          <w:rFonts w:hint="eastAsia" w:ascii="仿宋" w:hAnsi="仿宋" w:eastAsia="仿宋" w:cs="仿宋"/>
          <w:sz w:val="28"/>
          <w:szCs w:val="28"/>
        </w:rPr>
      </w:pPr>
    </w:p>
    <w:p w14:paraId="1027A7D6">
      <w:pPr>
        <w:adjustRightInd/>
        <w:spacing w:line="240" w:lineRule="auto"/>
        <w:jc w:val="center"/>
        <w:rPr>
          <w:rFonts w:hint="eastAsia" w:ascii="仿宋" w:hAnsi="仿宋" w:eastAsia="仿宋" w:cs="仿宋"/>
          <w:b/>
          <w:sz w:val="28"/>
          <w:szCs w:val="28"/>
        </w:rPr>
      </w:pPr>
    </w:p>
    <w:p w14:paraId="3A5EC61A">
      <w:pPr>
        <w:adjustRightInd/>
        <w:spacing w:line="240" w:lineRule="auto"/>
        <w:rPr>
          <w:rFonts w:hint="eastAsia" w:ascii="仿宋" w:hAnsi="仿宋" w:eastAsia="仿宋" w:cs="仿宋"/>
          <w:b/>
          <w:sz w:val="28"/>
          <w:szCs w:val="28"/>
        </w:rPr>
      </w:pPr>
    </w:p>
    <w:p w14:paraId="161FC87E">
      <w:pPr>
        <w:adjustRightInd/>
        <w:spacing w:line="240" w:lineRule="auto"/>
        <w:jc w:val="center"/>
        <w:rPr>
          <w:rFonts w:hint="eastAsia" w:ascii="仿宋" w:hAnsi="仿宋" w:eastAsia="仿宋" w:cs="仿宋"/>
          <w:b/>
          <w:sz w:val="28"/>
          <w:szCs w:val="28"/>
        </w:rPr>
      </w:pPr>
    </w:p>
    <w:p w14:paraId="2265BA66">
      <w:pPr>
        <w:adjustRightInd/>
        <w:spacing w:line="240" w:lineRule="auto"/>
        <w:rPr>
          <w:rFonts w:hint="eastAsia" w:ascii="仿宋" w:hAnsi="仿宋" w:eastAsia="仿宋" w:cs="仿宋"/>
          <w:b/>
          <w:sz w:val="28"/>
          <w:szCs w:val="28"/>
        </w:rPr>
      </w:pPr>
    </w:p>
    <w:p w14:paraId="532F753E">
      <w:pPr>
        <w:adjustRightInd/>
        <w:spacing w:before="156" w:beforeLines="50"/>
        <w:rPr>
          <w:rFonts w:hint="eastAsia" w:ascii="仿宋" w:hAnsi="仿宋" w:eastAsia="仿宋" w:cs="仿宋"/>
          <w:bCs/>
          <w:sz w:val="28"/>
          <w:szCs w:val="28"/>
        </w:rPr>
      </w:pPr>
    </w:p>
    <w:p w14:paraId="7DD5B286">
      <w:pPr>
        <w:adjustRightInd/>
        <w:spacing w:before="156" w:beforeLines="50"/>
        <w:ind w:firstLine="1386" w:firstLineChars="493"/>
        <w:jc w:val="left"/>
        <w:rPr>
          <w:rFonts w:hint="eastAsia" w:ascii="仿宋" w:hAnsi="仿宋" w:eastAsia="仿宋" w:cs="仿宋"/>
          <w:sz w:val="28"/>
          <w:szCs w:val="28"/>
          <w:u w:val="single"/>
        </w:rPr>
      </w:pPr>
      <w:r>
        <w:rPr>
          <w:rFonts w:hint="eastAsia" w:ascii="仿宋" w:hAnsi="仿宋" w:eastAsia="仿宋" w:cs="仿宋"/>
          <w:b/>
          <w:bCs/>
          <w:sz w:val="28"/>
          <w:szCs w:val="28"/>
        </w:rPr>
        <w:t>采购人：</w:t>
      </w:r>
    </w:p>
    <w:p w14:paraId="4EF15955">
      <w:pPr>
        <w:adjustRightInd/>
        <w:spacing w:before="156" w:beforeLines="50"/>
        <w:ind w:firstLine="1386" w:firstLineChars="493"/>
        <w:jc w:val="left"/>
        <w:rPr>
          <w:rFonts w:hint="eastAsia" w:ascii="仿宋" w:hAnsi="仿宋" w:eastAsia="仿宋" w:cs="仿宋"/>
          <w:b/>
          <w:bCs/>
          <w:sz w:val="28"/>
          <w:szCs w:val="28"/>
        </w:rPr>
      </w:pPr>
      <w:r>
        <w:rPr>
          <w:rFonts w:hint="eastAsia" w:ascii="仿宋" w:hAnsi="仿宋" w:eastAsia="仿宋" w:cs="仿宋"/>
          <w:b/>
          <w:bCs/>
          <w:sz w:val="28"/>
          <w:szCs w:val="28"/>
        </w:rPr>
        <w:t>供应商：</w:t>
      </w:r>
    </w:p>
    <w:p w14:paraId="6E9F43EB">
      <w:pPr>
        <w:adjustRightInd/>
        <w:spacing w:line="240" w:lineRule="auto"/>
        <w:jc w:val="center"/>
        <w:rPr>
          <w:rFonts w:hint="eastAsia" w:ascii="仿宋" w:hAnsi="仿宋" w:eastAsia="仿宋" w:cs="仿宋"/>
          <w:sz w:val="28"/>
          <w:szCs w:val="28"/>
        </w:rPr>
      </w:pPr>
      <w:r>
        <w:rPr>
          <w:rFonts w:hint="eastAsia" w:ascii="仿宋" w:hAnsi="仿宋" w:eastAsia="仿宋" w:cs="仿宋"/>
          <w:b/>
          <w:bCs/>
          <w:sz w:val="28"/>
          <w:szCs w:val="28"/>
        </w:rPr>
        <w:t>二〇二</w:t>
      </w: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年  月</w:t>
      </w:r>
      <w:r>
        <w:rPr>
          <w:rFonts w:hint="eastAsia" w:ascii="仿宋" w:hAnsi="仿宋" w:eastAsia="仿宋" w:cs="仿宋"/>
          <w:b/>
          <w:bCs/>
          <w:sz w:val="28"/>
          <w:szCs w:val="28"/>
        </w:rPr>
        <w:br w:type="page"/>
      </w:r>
    </w:p>
    <w:p w14:paraId="32B2BEE3">
      <w:pPr>
        <w:adjustRightInd/>
        <w:spacing w:line="240" w:lineRule="auto"/>
        <w:jc w:val="center"/>
        <w:rPr>
          <w:rFonts w:hint="eastAsia" w:ascii="仿宋" w:hAnsi="仿宋" w:eastAsia="仿宋" w:cs="仿宋"/>
          <w:b/>
          <w:bCs/>
          <w:sz w:val="32"/>
          <w:szCs w:val="32"/>
        </w:rPr>
      </w:pPr>
      <w:r>
        <w:rPr>
          <w:rFonts w:hint="eastAsia" w:ascii="仿宋" w:hAnsi="仿宋" w:eastAsia="仿宋" w:cs="仿宋"/>
          <w:b/>
          <w:bCs/>
          <w:sz w:val="32"/>
          <w:szCs w:val="32"/>
        </w:rPr>
        <w:t>合同主要条款</w:t>
      </w:r>
    </w:p>
    <w:p w14:paraId="3D5E2204">
      <w:pPr>
        <w:keepNext w:val="0"/>
        <w:keepLines w:val="0"/>
        <w:pageBreakBefore w:val="0"/>
        <w:overflowPunct/>
        <w:topLinePunct w:val="0"/>
        <w:bidi w:val="0"/>
        <w:adjustRightInd/>
        <w:snapToGrid w:val="0"/>
        <w:spacing w:line="420" w:lineRule="exact"/>
        <w:ind w:firstLine="442" w:firstLineChars="200"/>
        <w:textAlignment w:val="auto"/>
        <w:rPr>
          <w:rFonts w:hint="eastAsia" w:ascii="仿宋" w:hAnsi="仿宋" w:eastAsia="仿宋" w:cs="仿宋"/>
          <w:b/>
          <w:sz w:val="22"/>
          <w:szCs w:val="22"/>
        </w:rPr>
      </w:pPr>
      <w:r>
        <w:rPr>
          <w:rFonts w:hint="eastAsia" w:ascii="仿宋" w:hAnsi="仿宋" w:eastAsia="仿宋" w:cs="仿宋"/>
          <w:b/>
          <w:sz w:val="22"/>
          <w:szCs w:val="22"/>
        </w:rPr>
        <w:t>采购人（甲方）：</w:t>
      </w:r>
      <w:r>
        <w:rPr>
          <w:rFonts w:hint="eastAsia" w:ascii="仿宋" w:hAnsi="仿宋" w:eastAsia="仿宋" w:cs="仿宋"/>
          <w:b/>
          <w:sz w:val="22"/>
          <w:szCs w:val="22"/>
          <w:u w:val="single"/>
        </w:rPr>
        <w:t>陕西省交通运行监测中心</w:t>
      </w:r>
    </w:p>
    <w:p w14:paraId="4AC201F5">
      <w:pPr>
        <w:keepNext w:val="0"/>
        <w:keepLines w:val="0"/>
        <w:pageBreakBefore w:val="0"/>
        <w:overflowPunct/>
        <w:topLinePunct w:val="0"/>
        <w:bidi w:val="0"/>
        <w:adjustRightInd/>
        <w:snapToGrid w:val="0"/>
        <w:spacing w:line="420" w:lineRule="exact"/>
        <w:ind w:firstLine="442" w:firstLineChars="200"/>
        <w:textAlignment w:val="auto"/>
        <w:rPr>
          <w:rFonts w:hint="eastAsia" w:ascii="仿宋" w:hAnsi="仿宋" w:eastAsia="仿宋" w:cs="仿宋"/>
          <w:sz w:val="22"/>
          <w:szCs w:val="22"/>
          <w:u w:val="single"/>
        </w:rPr>
      </w:pPr>
      <w:r>
        <w:rPr>
          <w:rFonts w:hint="eastAsia" w:ascii="仿宋" w:hAnsi="仿宋" w:eastAsia="仿宋" w:cs="仿宋"/>
          <w:b/>
          <w:sz w:val="22"/>
          <w:szCs w:val="22"/>
        </w:rPr>
        <w:t>供应商（乙方）：</w:t>
      </w:r>
    </w:p>
    <w:p w14:paraId="68B5A093">
      <w:pPr>
        <w:keepNext w:val="0"/>
        <w:keepLines w:val="0"/>
        <w:pageBreakBefore w:val="0"/>
        <w:overflowPunct/>
        <w:topLinePunct w:val="0"/>
        <w:bidi w:val="0"/>
        <w:adjustRightInd/>
        <w:snapToGrid w:val="0"/>
        <w:spacing w:line="420" w:lineRule="exact"/>
        <w:ind w:firstLine="440" w:firstLineChars="200"/>
        <w:textAlignment w:val="auto"/>
        <w:rPr>
          <w:rFonts w:hint="eastAsia" w:ascii="仿宋" w:hAnsi="仿宋" w:eastAsia="仿宋" w:cs="仿宋"/>
          <w:sz w:val="22"/>
          <w:szCs w:val="22"/>
          <w:u w:val="single"/>
        </w:rPr>
      </w:pPr>
      <w:r>
        <w:rPr>
          <w:rFonts w:hint="eastAsia" w:ascii="仿宋" w:hAnsi="仿宋" w:eastAsia="仿宋" w:cs="仿宋"/>
          <w:sz w:val="22"/>
          <w:szCs w:val="22"/>
        </w:rPr>
        <w:t>根据《中华人民共和国民法典》及其他有关法律、法规，遵循平等、自愿、公平和诚信的原则，双方就下述项目范围与相关服务事项协商一致，订立本合同。</w:t>
      </w:r>
    </w:p>
    <w:p w14:paraId="1309A3A0">
      <w:pPr>
        <w:keepNext w:val="0"/>
        <w:keepLines w:val="0"/>
        <w:pageBreakBefore w:val="0"/>
        <w:overflowPunct/>
        <w:topLinePunct w:val="0"/>
        <w:bidi w:val="0"/>
        <w:adjustRightInd/>
        <w:spacing w:line="420" w:lineRule="exact"/>
        <w:textAlignment w:val="auto"/>
        <w:rPr>
          <w:rFonts w:hint="eastAsia" w:ascii="仿宋" w:hAnsi="仿宋" w:eastAsia="仿宋" w:cs="仿宋"/>
          <w:b/>
          <w:sz w:val="22"/>
          <w:szCs w:val="22"/>
        </w:rPr>
      </w:pPr>
      <w:r>
        <w:rPr>
          <w:rFonts w:hint="eastAsia" w:ascii="仿宋" w:hAnsi="仿宋" w:eastAsia="仿宋" w:cs="仿宋"/>
          <w:b/>
          <w:sz w:val="22"/>
          <w:szCs w:val="22"/>
        </w:rPr>
        <w:t>一、项目概况</w:t>
      </w:r>
    </w:p>
    <w:p w14:paraId="573D8830">
      <w:pPr>
        <w:keepNext w:val="0"/>
        <w:keepLines w:val="0"/>
        <w:pageBreakBefore w:val="0"/>
        <w:overflowPunct/>
        <w:topLinePunct w:val="0"/>
        <w:bidi w:val="0"/>
        <w:adjustRightInd/>
        <w:snapToGrid w:val="0"/>
        <w:spacing w:line="420" w:lineRule="exact"/>
        <w:ind w:firstLine="435" w:firstLineChars="198"/>
        <w:textAlignment w:val="auto"/>
        <w:rPr>
          <w:rFonts w:hint="eastAsia" w:ascii="仿宋" w:hAnsi="仿宋" w:eastAsia="仿宋" w:cs="仿宋"/>
          <w:sz w:val="22"/>
          <w:szCs w:val="22"/>
          <w:highlight w:val="none"/>
        </w:rPr>
      </w:pPr>
      <w:r>
        <w:rPr>
          <w:rFonts w:hint="eastAsia" w:ascii="仿宋" w:hAnsi="仿宋" w:eastAsia="仿宋" w:cs="仿宋"/>
          <w:sz w:val="22"/>
          <w:szCs w:val="22"/>
        </w:rPr>
        <w:t>1.</w:t>
      </w:r>
      <w:r>
        <w:rPr>
          <w:rFonts w:hint="eastAsia" w:ascii="仿宋" w:hAnsi="仿宋" w:eastAsia="仿宋" w:cs="仿宋"/>
          <w:sz w:val="22"/>
          <w:szCs w:val="22"/>
          <w:highlight w:val="none"/>
        </w:rPr>
        <w:t>项目名称：</w:t>
      </w:r>
      <w:r>
        <w:rPr>
          <w:rFonts w:hint="eastAsia" w:ascii="仿宋" w:hAnsi="仿宋" w:eastAsia="仿宋" w:cs="仿宋"/>
          <w:sz w:val="22"/>
          <w:szCs w:val="22"/>
          <w:highlight w:val="none"/>
          <w:u w:val="single"/>
          <w:lang w:eastAsia="zh-CN"/>
        </w:rPr>
        <w:t>交通行业专网网络服务</w:t>
      </w:r>
      <w:r>
        <w:rPr>
          <w:rFonts w:hint="eastAsia" w:ascii="仿宋" w:hAnsi="仿宋" w:eastAsia="仿宋" w:cs="仿宋"/>
          <w:sz w:val="22"/>
          <w:szCs w:val="22"/>
          <w:highlight w:val="none"/>
        </w:rPr>
        <w:t>；</w:t>
      </w:r>
    </w:p>
    <w:p w14:paraId="3F5A502D">
      <w:pPr>
        <w:keepNext w:val="0"/>
        <w:keepLines w:val="0"/>
        <w:pageBreakBefore w:val="0"/>
        <w:overflowPunct/>
        <w:topLinePunct w:val="0"/>
        <w:bidi w:val="0"/>
        <w:adjustRightInd/>
        <w:snapToGrid w:val="0"/>
        <w:spacing w:line="420" w:lineRule="exact"/>
        <w:ind w:firstLine="435" w:firstLineChars="198"/>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2.项目地点：</w:t>
      </w:r>
      <w:r>
        <w:rPr>
          <w:rFonts w:hint="eastAsia" w:ascii="仿宋" w:hAnsi="仿宋" w:eastAsia="仿宋" w:cs="仿宋"/>
          <w:sz w:val="22"/>
          <w:szCs w:val="22"/>
          <w:highlight w:val="none"/>
          <w:u w:val="single"/>
          <w:lang w:val="en-US" w:eastAsia="zh-CN"/>
        </w:rPr>
        <w:t>采购人指定地点</w:t>
      </w:r>
      <w:r>
        <w:rPr>
          <w:rFonts w:hint="eastAsia" w:ascii="仿宋" w:hAnsi="仿宋" w:eastAsia="仿宋" w:cs="仿宋"/>
          <w:sz w:val="22"/>
          <w:szCs w:val="22"/>
          <w:highlight w:val="none"/>
          <w:u w:val="single"/>
        </w:rPr>
        <w:t>。</w:t>
      </w:r>
    </w:p>
    <w:p w14:paraId="680294BD">
      <w:pPr>
        <w:keepNext w:val="0"/>
        <w:keepLines w:val="0"/>
        <w:pageBreakBefore w:val="0"/>
        <w:overflowPunct/>
        <w:topLinePunct w:val="0"/>
        <w:bidi w:val="0"/>
        <w:adjustRightInd/>
        <w:spacing w:line="420" w:lineRule="exact"/>
        <w:textAlignment w:val="auto"/>
        <w:rPr>
          <w:rFonts w:hint="eastAsia" w:ascii="仿宋" w:hAnsi="仿宋" w:eastAsia="仿宋" w:cs="仿宋"/>
          <w:b/>
          <w:sz w:val="22"/>
          <w:szCs w:val="22"/>
        </w:rPr>
      </w:pPr>
      <w:r>
        <w:rPr>
          <w:rFonts w:hint="eastAsia" w:ascii="仿宋" w:hAnsi="仿宋" w:eastAsia="仿宋" w:cs="仿宋"/>
          <w:b/>
          <w:sz w:val="22"/>
          <w:szCs w:val="22"/>
        </w:rPr>
        <w:t>二、组成本合同的文件</w:t>
      </w:r>
    </w:p>
    <w:p w14:paraId="492E81A7">
      <w:pPr>
        <w:keepNext w:val="0"/>
        <w:keepLines w:val="0"/>
        <w:pageBreakBefore w:val="0"/>
        <w:overflowPunct/>
        <w:topLinePunct w:val="0"/>
        <w:bidi w:val="0"/>
        <w:adjustRightInd/>
        <w:snapToGrid w:val="0"/>
        <w:spacing w:line="42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1.中标通知书（成交通知书）、政府采购招投标文件、澄清函等文件；</w:t>
      </w:r>
    </w:p>
    <w:p w14:paraId="6F277061">
      <w:pPr>
        <w:keepNext w:val="0"/>
        <w:keepLines w:val="0"/>
        <w:pageBreakBefore w:val="0"/>
        <w:overflowPunct/>
        <w:topLinePunct w:val="0"/>
        <w:bidi w:val="0"/>
        <w:adjustRightInd/>
        <w:snapToGrid w:val="0"/>
        <w:spacing w:line="420" w:lineRule="exact"/>
        <w:ind w:firstLine="435" w:firstLineChars="198"/>
        <w:textAlignment w:val="auto"/>
        <w:rPr>
          <w:rFonts w:hint="eastAsia" w:ascii="仿宋" w:hAnsi="仿宋" w:eastAsia="仿宋" w:cs="仿宋"/>
          <w:sz w:val="22"/>
          <w:szCs w:val="22"/>
        </w:rPr>
      </w:pPr>
      <w:r>
        <w:rPr>
          <w:rFonts w:hint="eastAsia" w:ascii="仿宋" w:hAnsi="仿宋" w:eastAsia="仿宋" w:cs="仿宋"/>
          <w:sz w:val="22"/>
          <w:szCs w:val="22"/>
        </w:rPr>
        <w:t>2.本合同签订后，双方依法签订的补充协议。</w:t>
      </w:r>
    </w:p>
    <w:p w14:paraId="152E29C2">
      <w:pPr>
        <w:keepNext w:val="0"/>
        <w:keepLines w:val="0"/>
        <w:pageBreakBefore w:val="0"/>
        <w:overflowPunct/>
        <w:topLinePunct w:val="0"/>
        <w:bidi w:val="0"/>
        <w:adjustRightInd/>
        <w:spacing w:line="420" w:lineRule="exact"/>
        <w:textAlignment w:val="auto"/>
        <w:rPr>
          <w:rFonts w:hint="eastAsia" w:ascii="仿宋" w:hAnsi="仿宋" w:eastAsia="仿宋" w:cs="仿宋"/>
          <w:b/>
          <w:sz w:val="22"/>
          <w:szCs w:val="22"/>
        </w:rPr>
      </w:pPr>
      <w:r>
        <w:rPr>
          <w:rFonts w:hint="eastAsia" w:ascii="仿宋" w:hAnsi="仿宋" w:eastAsia="仿宋" w:cs="仿宋"/>
          <w:b/>
          <w:sz w:val="22"/>
          <w:szCs w:val="22"/>
        </w:rPr>
        <w:t>三、合同金额</w:t>
      </w:r>
    </w:p>
    <w:p w14:paraId="55D4BC3D">
      <w:pPr>
        <w:keepNext w:val="0"/>
        <w:keepLines w:val="0"/>
        <w:pageBreakBefore w:val="0"/>
        <w:overflowPunct/>
        <w:topLinePunct w:val="0"/>
        <w:bidi w:val="0"/>
        <w:adjustRightInd/>
        <w:snapToGrid w:val="0"/>
        <w:spacing w:line="420" w:lineRule="exact"/>
        <w:ind w:firstLine="435" w:firstLineChars="198"/>
        <w:textAlignment w:val="auto"/>
        <w:rPr>
          <w:rFonts w:hint="eastAsia" w:ascii="仿宋" w:hAnsi="仿宋" w:eastAsia="仿宋" w:cs="仿宋"/>
          <w:sz w:val="22"/>
          <w:szCs w:val="22"/>
        </w:rPr>
      </w:pPr>
      <w:r>
        <w:rPr>
          <w:rFonts w:hint="eastAsia" w:ascii="仿宋" w:hAnsi="仿宋" w:eastAsia="仿宋" w:cs="仿宋"/>
          <w:sz w:val="22"/>
          <w:szCs w:val="22"/>
        </w:rPr>
        <w:t>合同金额（大写）：（¥</w:t>
      </w:r>
      <w:r>
        <w:rPr>
          <w:rFonts w:hint="eastAsia" w:ascii="仿宋" w:hAnsi="仿宋" w:eastAsia="仿宋" w:cs="仿宋"/>
          <w:sz w:val="22"/>
          <w:szCs w:val="22"/>
          <w:u w:val="single"/>
        </w:rPr>
        <w:t xml:space="preserve">            元</w:t>
      </w:r>
      <w:r>
        <w:rPr>
          <w:rFonts w:hint="eastAsia" w:ascii="仿宋" w:hAnsi="仿宋" w:eastAsia="仿宋" w:cs="仿宋"/>
          <w:sz w:val="22"/>
          <w:szCs w:val="22"/>
        </w:rPr>
        <w:t>）。</w:t>
      </w:r>
    </w:p>
    <w:p w14:paraId="7C4711D3">
      <w:pPr>
        <w:keepNext w:val="0"/>
        <w:keepLines w:val="0"/>
        <w:pageBreakBefore w:val="0"/>
        <w:overflowPunct/>
        <w:topLinePunct w:val="0"/>
        <w:bidi w:val="0"/>
        <w:adjustRightInd/>
        <w:snapToGrid w:val="0"/>
        <w:spacing w:line="420" w:lineRule="exact"/>
        <w:ind w:firstLine="435" w:firstLineChars="198"/>
        <w:textAlignment w:val="auto"/>
        <w:rPr>
          <w:rFonts w:hint="eastAsia" w:ascii="仿宋" w:hAnsi="仿宋" w:eastAsia="仿宋" w:cs="仿宋"/>
          <w:sz w:val="22"/>
          <w:szCs w:val="22"/>
        </w:rPr>
      </w:pPr>
      <w:r>
        <w:rPr>
          <w:rFonts w:hint="eastAsia" w:ascii="仿宋" w:hAnsi="仿宋" w:eastAsia="仿宋" w:cs="仿宋"/>
          <w:sz w:val="22"/>
          <w:szCs w:val="22"/>
        </w:rPr>
        <w:t>合同价格为含税价，乙方提供服务所发生的一切费用等都已包含于合同价款中。</w:t>
      </w:r>
    </w:p>
    <w:p w14:paraId="1F0ED319">
      <w:pPr>
        <w:keepNext w:val="0"/>
        <w:keepLines w:val="0"/>
        <w:pageBreakBefore w:val="0"/>
        <w:overflowPunct/>
        <w:topLinePunct w:val="0"/>
        <w:bidi w:val="0"/>
        <w:adjustRightInd/>
        <w:spacing w:line="420" w:lineRule="exact"/>
        <w:textAlignment w:val="auto"/>
        <w:rPr>
          <w:rFonts w:hint="eastAsia" w:ascii="仿宋" w:hAnsi="仿宋" w:eastAsia="仿宋" w:cs="仿宋"/>
          <w:b/>
          <w:sz w:val="22"/>
          <w:szCs w:val="22"/>
        </w:rPr>
      </w:pPr>
      <w:r>
        <w:rPr>
          <w:rFonts w:hint="eastAsia" w:ascii="仿宋" w:hAnsi="仿宋" w:eastAsia="仿宋" w:cs="仿宋"/>
          <w:b/>
          <w:sz w:val="22"/>
          <w:szCs w:val="22"/>
        </w:rPr>
        <w:t>四、付款方式</w:t>
      </w:r>
    </w:p>
    <w:p w14:paraId="7AF9C62C">
      <w:pPr>
        <w:keepNext w:val="0"/>
        <w:keepLines w:val="0"/>
        <w:pageBreakBefore w:val="0"/>
        <w:overflowPunct/>
        <w:topLinePunct w:val="0"/>
        <w:bidi w:val="0"/>
        <w:adjustRightInd/>
        <w:spacing w:line="42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1.银行转账。</w:t>
      </w:r>
    </w:p>
    <w:p w14:paraId="76923F61">
      <w:pPr>
        <w:keepNext w:val="0"/>
        <w:keepLines w:val="0"/>
        <w:pageBreakBefore w:val="0"/>
        <w:overflowPunct/>
        <w:topLinePunct w:val="0"/>
        <w:bidi w:val="0"/>
        <w:adjustRightInd/>
        <w:spacing w:line="420" w:lineRule="exact"/>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rPr>
        <w:t>2.</w:t>
      </w:r>
      <w:r>
        <w:rPr>
          <w:rFonts w:hint="eastAsia" w:ascii="仿宋" w:hAnsi="仿宋" w:eastAsia="仿宋" w:cs="仿宋"/>
          <w:sz w:val="22"/>
          <w:szCs w:val="22"/>
          <w:highlight w:val="none"/>
          <w:lang w:val="en-US" w:eastAsia="zh-CN"/>
        </w:rPr>
        <w:t>合同签订后供应商提供相应发票，采购人收到供应商的发票后，达到付款条件起14日内，支付合同总金额的 100.00%</w:t>
      </w:r>
      <w:r>
        <w:rPr>
          <w:rFonts w:hint="eastAsia" w:ascii="仿宋" w:hAnsi="仿宋" w:eastAsia="仿宋" w:cs="仿宋"/>
          <w:sz w:val="22"/>
          <w:szCs w:val="22"/>
          <w:highlight w:val="none"/>
          <w:lang w:eastAsia="zh-CN"/>
        </w:rPr>
        <w:t>。</w:t>
      </w:r>
    </w:p>
    <w:p w14:paraId="216E235D">
      <w:pPr>
        <w:keepNext w:val="0"/>
        <w:keepLines w:val="0"/>
        <w:pageBreakBefore w:val="0"/>
        <w:overflowPunct/>
        <w:topLinePunct w:val="0"/>
        <w:bidi w:val="0"/>
        <w:adjustRightInd/>
        <w:spacing w:line="42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乙方开户行：</w:t>
      </w:r>
    </w:p>
    <w:p w14:paraId="1C7E4898">
      <w:pPr>
        <w:keepNext w:val="0"/>
        <w:keepLines w:val="0"/>
        <w:pageBreakBefore w:val="0"/>
        <w:overflowPunct/>
        <w:topLinePunct w:val="0"/>
        <w:bidi w:val="0"/>
        <w:adjustRightInd/>
        <w:spacing w:line="42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乙方户  名：</w:t>
      </w:r>
    </w:p>
    <w:p w14:paraId="3CC22232">
      <w:pPr>
        <w:keepNext w:val="0"/>
        <w:keepLines w:val="0"/>
        <w:pageBreakBefore w:val="0"/>
        <w:overflowPunct/>
        <w:topLinePunct w:val="0"/>
        <w:bidi w:val="0"/>
        <w:adjustRightInd/>
        <w:snapToGrid w:val="0"/>
        <w:spacing w:line="42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乙方账  号：</w:t>
      </w:r>
    </w:p>
    <w:p w14:paraId="400A5BF5">
      <w:pPr>
        <w:keepNext w:val="0"/>
        <w:keepLines w:val="0"/>
        <w:pageBreakBefore w:val="0"/>
        <w:numPr>
          <w:ilvl w:val="0"/>
          <w:numId w:val="1"/>
        </w:numPr>
        <w:overflowPunct/>
        <w:topLinePunct w:val="0"/>
        <w:bidi w:val="0"/>
        <w:adjustRightInd/>
        <w:snapToGrid w:val="0"/>
        <w:spacing w:line="420" w:lineRule="exact"/>
        <w:textAlignment w:val="auto"/>
        <w:rPr>
          <w:rFonts w:hint="eastAsia" w:ascii="仿宋" w:hAnsi="仿宋" w:eastAsia="仿宋" w:cs="仿宋"/>
          <w:b/>
          <w:sz w:val="22"/>
          <w:szCs w:val="22"/>
        </w:rPr>
      </w:pPr>
      <w:r>
        <w:rPr>
          <w:rFonts w:hint="eastAsia" w:ascii="仿宋" w:hAnsi="仿宋" w:eastAsia="仿宋" w:cs="仿宋"/>
          <w:b/>
          <w:sz w:val="22"/>
          <w:szCs w:val="22"/>
        </w:rPr>
        <w:t>服务期限：</w:t>
      </w:r>
    </w:p>
    <w:p w14:paraId="78413E8D">
      <w:pPr>
        <w:keepNext w:val="0"/>
        <w:keepLines w:val="0"/>
        <w:pageBreakBefore w:val="0"/>
        <w:tabs>
          <w:tab w:val="left" w:pos="720"/>
          <w:tab w:val="left" w:pos="3780"/>
          <w:tab w:val="left" w:pos="6480"/>
        </w:tabs>
        <w:overflowPunct/>
        <w:topLinePunct w:val="0"/>
        <w:autoSpaceDE w:val="0"/>
        <w:autoSpaceDN w:val="0"/>
        <w:bidi w:val="0"/>
        <w:adjustRightInd/>
        <w:spacing w:line="420" w:lineRule="exact"/>
        <w:ind w:firstLine="440" w:firstLineChars="200"/>
        <w:jc w:val="left"/>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自2026年06月24日至2027年06月25日。</w:t>
      </w:r>
    </w:p>
    <w:p w14:paraId="6D22F67B">
      <w:pPr>
        <w:keepNext w:val="0"/>
        <w:keepLines w:val="0"/>
        <w:pageBreakBefore w:val="0"/>
        <w:tabs>
          <w:tab w:val="left" w:pos="720"/>
          <w:tab w:val="left" w:pos="3780"/>
          <w:tab w:val="left" w:pos="6480"/>
        </w:tabs>
        <w:overflowPunct/>
        <w:topLinePunct w:val="0"/>
        <w:autoSpaceDE w:val="0"/>
        <w:autoSpaceDN w:val="0"/>
        <w:bidi w:val="0"/>
        <w:adjustRightInd/>
        <w:spacing w:line="420" w:lineRule="exact"/>
        <w:jc w:val="left"/>
        <w:textAlignment w:val="auto"/>
        <w:rPr>
          <w:rFonts w:hint="eastAsia" w:ascii="仿宋" w:hAnsi="仿宋" w:eastAsia="仿宋" w:cs="仿宋"/>
          <w:b/>
          <w:sz w:val="22"/>
          <w:szCs w:val="22"/>
        </w:rPr>
      </w:pPr>
      <w:r>
        <w:rPr>
          <w:rFonts w:hint="eastAsia" w:ascii="仿宋" w:hAnsi="仿宋" w:eastAsia="仿宋" w:cs="仿宋"/>
          <w:b/>
          <w:sz w:val="22"/>
          <w:szCs w:val="22"/>
        </w:rPr>
        <w:t>六、内容及要求：</w:t>
      </w:r>
    </w:p>
    <w:p w14:paraId="07CFCDCA">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1"/>
          <w:sz w:val="22"/>
          <w:szCs w:val="22"/>
        </w:rPr>
        <w:t>本次专网服务项目要求供应商提供网络服务所需的网络链路、网络安全设备，巡检服务和设备、链路的运行维护服务，具体包括：</w:t>
      </w:r>
    </w:p>
    <w:p w14:paraId="774AB418">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4"/>
          <w:sz w:val="22"/>
          <w:szCs w:val="22"/>
        </w:rPr>
        <w:t>1.带宽</w:t>
      </w:r>
    </w:p>
    <w:p w14:paraId="45D9F6C8">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8"/>
          <w:sz w:val="22"/>
          <w:szCs w:val="22"/>
        </w:rPr>
        <w:t>➩省市主干</w:t>
      </w:r>
    </w:p>
    <w:p w14:paraId="11CC8EF4">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4"/>
          <w:sz w:val="22"/>
          <w:szCs w:val="22"/>
        </w:rPr>
        <w:t>省交通运输厅到电信汇聚中心带宽为700M（其中专网200M，互</w:t>
      </w:r>
      <w:r>
        <w:rPr>
          <w:rFonts w:hint="eastAsia"/>
          <w:spacing w:val="3"/>
          <w:sz w:val="22"/>
          <w:szCs w:val="22"/>
        </w:rPr>
        <w:t>联网500M）链路；省交通运输厅互</w:t>
      </w:r>
      <w:r>
        <w:rPr>
          <w:rFonts w:hint="eastAsia"/>
          <w:spacing w:val="4"/>
          <w:sz w:val="22"/>
          <w:szCs w:val="22"/>
        </w:rPr>
        <w:t>联网100M链路一条；各地市汇聚点到省级汇聚点专网线路</w:t>
      </w:r>
      <w:r>
        <w:rPr>
          <w:rFonts w:hint="eastAsia"/>
          <w:spacing w:val="3"/>
          <w:sz w:val="22"/>
          <w:szCs w:val="22"/>
        </w:rPr>
        <w:t>带宽为100M，杨凌、韩城带宽为20M。</w:t>
      </w:r>
    </w:p>
    <w:p w14:paraId="598D7FA8">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4"/>
          <w:sz w:val="22"/>
          <w:szCs w:val="22"/>
        </w:rPr>
        <w:t>省级节点提供一条</w:t>
      </w:r>
      <w:r>
        <w:rPr>
          <w:rFonts w:hint="eastAsia"/>
          <w:sz w:val="22"/>
          <w:szCs w:val="22"/>
        </w:rPr>
        <w:t>VPDN</w:t>
      </w:r>
      <w:r>
        <w:rPr>
          <w:rFonts w:hint="eastAsia"/>
          <w:spacing w:val="4"/>
          <w:sz w:val="22"/>
          <w:szCs w:val="22"/>
        </w:rPr>
        <w:t>链路（50M）。</w:t>
      </w:r>
    </w:p>
    <w:p w14:paraId="63E3CEAC">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2"/>
          <w:sz w:val="22"/>
          <w:szCs w:val="22"/>
        </w:rPr>
        <w:t>➩市级接入网络（含厅直单位）</w:t>
      </w:r>
    </w:p>
    <w:p w14:paraId="5F77C2C8">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3"/>
          <w:sz w:val="22"/>
          <w:szCs w:val="22"/>
        </w:rPr>
      </w:pPr>
      <w:r>
        <w:rPr>
          <w:rFonts w:hint="eastAsia"/>
          <w:spacing w:val="2"/>
          <w:sz w:val="22"/>
          <w:szCs w:val="22"/>
        </w:rPr>
        <w:t>各接入单位1条线路可以同时满足交通专网和互联网的接入，线路总带宽为交通专网和原单位互联网带宽之和，但又各自独立，互不占用，本项目完成后各单位将从统一出口</w:t>
      </w:r>
      <w:r>
        <w:rPr>
          <w:rFonts w:hint="eastAsia"/>
          <w:spacing w:val="1"/>
          <w:sz w:val="22"/>
          <w:szCs w:val="22"/>
        </w:rPr>
        <w:t>访问互联网（韩城、杨凌除</w:t>
      </w:r>
      <w:r>
        <w:rPr>
          <w:rFonts w:hint="eastAsia"/>
          <w:spacing w:val="-3"/>
          <w:sz w:val="22"/>
          <w:szCs w:val="22"/>
        </w:rPr>
        <w:t>外</w:t>
      </w:r>
      <w:r>
        <w:rPr>
          <w:rFonts w:hint="eastAsia"/>
          <w:spacing w:val="9"/>
          <w:sz w:val="22"/>
          <w:szCs w:val="22"/>
        </w:rPr>
        <w:t>），</w:t>
      </w:r>
      <w:r>
        <w:rPr>
          <w:rFonts w:hint="eastAsia"/>
          <w:spacing w:val="-3"/>
          <w:sz w:val="22"/>
          <w:szCs w:val="22"/>
        </w:rPr>
        <w:t>具体如下：</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1945"/>
        <w:gridCol w:w="1415"/>
        <w:gridCol w:w="1418"/>
        <w:gridCol w:w="1418"/>
        <w:gridCol w:w="1301"/>
      </w:tblGrid>
      <w:tr w14:paraId="0F82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0" w:hRule="atLeast"/>
        </w:trPr>
        <w:tc>
          <w:tcPr>
            <w:tcW w:w="880" w:type="dxa"/>
            <w:vAlign w:val="center"/>
          </w:tcPr>
          <w:p w14:paraId="720C7A31">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lang w:eastAsia="zh-CN"/>
              </w:rPr>
            </w:pPr>
            <w:r>
              <w:rPr>
                <w:rFonts w:hint="eastAsia"/>
                <w:spacing w:val="-3"/>
                <w:sz w:val="22"/>
                <w:szCs w:val="22"/>
                <w:lang w:eastAsia="zh-CN"/>
              </w:rPr>
              <w:t>序号</w:t>
            </w:r>
          </w:p>
        </w:tc>
        <w:tc>
          <w:tcPr>
            <w:tcW w:w="1945" w:type="dxa"/>
            <w:shd w:val="clear" w:color="auto" w:fill="auto"/>
            <w:vAlign w:val="center"/>
          </w:tcPr>
          <w:p w14:paraId="2780EABD">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r>
              <w:rPr>
                <w:rFonts w:hint="eastAsia"/>
                <w:spacing w:val="-1"/>
                <w:sz w:val="22"/>
                <w:szCs w:val="22"/>
              </w:rPr>
              <w:t>单位名称</w:t>
            </w:r>
          </w:p>
        </w:tc>
        <w:tc>
          <w:tcPr>
            <w:tcW w:w="1415" w:type="dxa"/>
            <w:shd w:val="clear" w:color="auto" w:fill="auto"/>
            <w:vAlign w:val="center"/>
          </w:tcPr>
          <w:p w14:paraId="0A86C5DD">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r>
              <w:rPr>
                <w:rFonts w:hint="eastAsia"/>
                <w:spacing w:val="2"/>
                <w:sz w:val="22"/>
                <w:szCs w:val="22"/>
              </w:rPr>
              <w:t>专网带宽(单</w:t>
            </w:r>
            <w:r>
              <w:rPr>
                <w:rFonts w:hint="eastAsia"/>
                <w:spacing w:val="-1"/>
                <w:sz w:val="22"/>
                <w:szCs w:val="22"/>
              </w:rPr>
              <w:t>位：M)</w:t>
            </w:r>
          </w:p>
        </w:tc>
        <w:tc>
          <w:tcPr>
            <w:tcW w:w="1418" w:type="dxa"/>
            <w:shd w:val="clear" w:color="auto" w:fill="auto"/>
            <w:vAlign w:val="center"/>
          </w:tcPr>
          <w:p w14:paraId="2DBFD5CF">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r>
              <w:rPr>
                <w:rFonts w:hint="eastAsia"/>
                <w:spacing w:val="2"/>
                <w:sz w:val="22"/>
                <w:szCs w:val="22"/>
              </w:rPr>
              <w:t>互联网带宽(</w:t>
            </w:r>
            <w:r>
              <w:rPr>
                <w:rFonts w:hint="eastAsia"/>
                <w:spacing w:val="-1"/>
                <w:sz w:val="22"/>
                <w:szCs w:val="22"/>
              </w:rPr>
              <w:t>单位：M)</w:t>
            </w:r>
          </w:p>
        </w:tc>
        <w:tc>
          <w:tcPr>
            <w:tcW w:w="1418" w:type="dxa"/>
            <w:shd w:val="clear" w:color="auto" w:fill="auto"/>
            <w:vAlign w:val="center"/>
          </w:tcPr>
          <w:p w14:paraId="1E504264">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r>
              <w:rPr>
                <w:rFonts w:hint="eastAsia"/>
                <w:spacing w:val="2"/>
                <w:sz w:val="22"/>
                <w:szCs w:val="22"/>
              </w:rPr>
              <w:t>总带宽需求(</w:t>
            </w:r>
            <w:r>
              <w:rPr>
                <w:rFonts w:hint="eastAsia"/>
                <w:spacing w:val="-1"/>
                <w:sz w:val="22"/>
                <w:szCs w:val="22"/>
              </w:rPr>
              <w:t>单位：M)</w:t>
            </w:r>
          </w:p>
        </w:tc>
        <w:tc>
          <w:tcPr>
            <w:tcW w:w="1301" w:type="dxa"/>
            <w:shd w:val="clear" w:color="auto" w:fill="auto"/>
            <w:vAlign w:val="center"/>
          </w:tcPr>
          <w:p w14:paraId="69678A63">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r>
              <w:rPr>
                <w:rFonts w:hint="eastAsia"/>
                <w:spacing w:val="-6"/>
                <w:sz w:val="22"/>
                <w:szCs w:val="22"/>
              </w:rPr>
              <w:t>入侵防御能力(</w:t>
            </w:r>
            <w:r>
              <w:rPr>
                <w:rFonts w:hint="eastAsia"/>
                <w:spacing w:val="2"/>
                <w:sz w:val="22"/>
                <w:szCs w:val="22"/>
              </w:rPr>
              <w:t>单位：G）</w:t>
            </w:r>
          </w:p>
        </w:tc>
      </w:tr>
      <w:tr w14:paraId="049BF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490B317E">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1"/>
                <w:sz w:val="22"/>
                <w:szCs w:val="22"/>
              </w:rPr>
            </w:pPr>
            <w:r>
              <w:rPr>
                <w:rFonts w:hint="eastAsia"/>
                <w:spacing w:val="-1"/>
                <w:sz w:val="22"/>
                <w:szCs w:val="22"/>
              </w:rPr>
              <w:t>1</w:t>
            </w:r>
          </w:p>
        </w:tc>
        <w:tc>
          <w:tcPr>
            <w:tcW w:w="1945" w:type="dxa"/>
            <w:vMerge w:val="restart"/>
            <w:vAlign w:val="center"/>
          </w:tcPr>
          <w:p w14:paraId="278FDBD8">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省交通运输厅</w:t>
            </w:r>
          </w:p>
        </w:tc>
        <w:tc>
          <w:tcPr>
            <w:tcW w:w="1415" w:type="dxa"/>
            <w:vAlign w:val="center"/>
          </w:tcPr>
          <w:p w14:paraId="5DD20D3E">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4129D395">
            <w:pPr>
              <w:pStyle w:val="18"/>
              <w:keepNext w:val="0"/>
              <w:keepLines w:val="0"/>
              <w:pageBreakBefore w:val="0"/>
              <w:widowControl/>
              <w:kinsoku/>
              <w:wordWrap/>
              <w:overflowPunct/>
              <w:topLinePunct w:val="0"/>
              <w:autoSpaceDE/>
              <w:autoSpaceDN/>
              <w:bidi w:val="0"/>
              <w:adjustRightInd/>
              <w:snapToGrid/>
              <w:spacing w:before="127" w:line="420" w:lineRule="exact"/>
              <w:ind w:left="111"/>
              <w:jc w:val="both"/>
              <w:textAlignment w:val="auto"/>
              <w:rPr>
                <w:rFonts w:hint="eastAsia"/>
                <w:spacing w:val="-1"/>
                <w:sz w:val="22"/>
                <w:szCs w:val="22"/>
              </w:rPr>
            </w:pPr>
            <w:r>
              <w:rPr>
                <w:rFonts w:hint="eastAsia"/>
                <w:spacing w:val="-1"/>
                <w:sz w:val="22"/>
                <w:szCs w:val="22"/>
              </w:rPr>
              <w:t>500</w:t>
            </w:r>
          </w:p>
        </w:tc>
        <w:tc>
          <w:tcPr>
            <w:tcW w:w="1418" w:type="dxa"/>
            <w:vAlign w:val="center"/>
          </w:tcPr>
          <w:p w14:paraId="6B2469D1">
            <w:pPr>
              <w:pStyle w:val="18"/>
              <w:keepNext w:val="0"/>
              <w:keepLines w:val="0"/>
              <w:pageBreakBefore w:val="0"/>
              <w:widowControl/>
              <w:kinsoku/>
              <w:wordWrap/>
              <w:overflowPunct/>
              <w:topLinePunct w:val="0"/>
              <w:autoSpaceDE/>
              <w:autoSpaceDN/>
              <w:bidi w:val="0"/>
              <w:adjustRightInd/>
              <w:snapToGrid/>
              <w:spacing w:before="127" w:line="420" w:lineRule="exact"/>
              <w:ind w:left="114"/>
              <w:jc w:val="both"/>
              <w:textAlignment w:val="auto"/>
              <w:rPr>
                <w:rFonts w:hint="eastAsia"/>
                <w:spacing w:val="-1"/>
                <w:sz w:val="22"/>
                <w:szCs w:val="22"/>
              </w:rPr>
            </w:pPr>
            <w:r>
              <w:rPr>
                <w:rFonts w:hint="eastAsia"/>
                <w:spacing w:val="-1"/>
                <w:sz w:val="22"/>
                <w:szCs w:val="22"/>
              </w:rPr>
              <w:t>700</w:t>
            </w:r>
          </w:p>
        </w:tc>
        <w:tc>
          <w:tcPr>
            <w:tcW w:w="1301" w:type="dxa"/>
            <w:vMerge w:val="restart"/>
            <w:vAlign w:val="center"/>
          </w:tcPr>
          <w:p w14:paraId="3A9F4A93">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lang w:eastAsia="zh-CN"/>
              </w:rPr>
            </w:pPr>
            <w:r>
              <w:rPr>
                <w:rFonts w:hint="eastAsia"/>
                <w:spacing w:val="-3"/>
                <w:sz w:val="22"/>
                <w:szCs w:val="22"/>
                <w:lang w:eastAsia="zh-CN"/>
              </w:rPr>
              <w:t>15</w:t>
            </w:r>
          </w:p>
        </w:tc>
      </w:tr>
      <w:tr w14:paraId="45527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57C0FA8B">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pacing w:val="-1"/>
                <w:sz w:val="22"/>
                <w:szCs w:val="22"/>
              </w:rPr>
              <w:t>2</w:t>
            </w:r>
          </w:p>
        </w:tc>
        <w:tc>
          <w:tcPr>
            <w:tcW w:w="1945" w:type="dxa"/>
            <w:vMerge w:val="continue"/>
            <w:vAlign w:val="center"/>
          </w:tcPr>
          <w:p w14:paraId="064F4364">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5" w:type="dxa"/>
            <w:vAlign w:val="center"/>
          </w:tcPr>
          <w:p w14:paraId="584B3FA9">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2854D126">
            <w:pPr>
              <w:pStyle w:val="18"/>
              <w:keepNext w:val="0"/>
              <w:keepLines w:val="0"/>
              <w:pageBreakBefore w:val="0"/>
              <w:widowControl/>
              <w:kinsoku/>
              <w:wordWrap/>
              <w:overflowPunct/>
              <w:topLinePunct w:val="0"/>
              <w:autoSpaceDE/>
              <w:autoSpaceDN/>
              <w:bidi w:val="0"/>
              <w:adjustRightInd/>
              <w:snapToGrid/>
              <w:spacing w:before="127" w:line="420" w:lineRule="exact"/>
              <w:ind w:left="118"/>
              <w:jc w:val="both"/>
              <w:textAlignment w:val="auto"/>
              <w:rPr>
                <w:rFonts w:hint="eastAsia"/>
                <w:spacing w:val="-1"/>
                <w:sz w:val="22"/>
                <w:szCs w:val="22"/>
              </w:rPr>
            </w:pPr>
            <w:r>
              <w:rPr>
                <w:rFonts w:hint="eastAsia"/>
                <w:spacing w:val="-1"/>
                <w:sz w:val="22"/>
                <w:szCs w:val="22"/>
              </w:rPr>
              <w:t>100</w:t>
            </w:r>
          </w:p>
        </w:tc>
        <w:tc>
          <w:tcPr>
            <w:tcW w:w="1418" w:type="dxa"/>
            <w:vAlign w:val="center"/>
          </w:tcPr>
          <w:p w14:paraId="3771C2FC">
            <w:pPr>
              <w:pStyle w:val="18"/>
              <w:keepNext w:val="0"/>
              <w:keepLines w:val="0"/>
              <w:pageBreakBefore w:val="0"/>
              <w:widowControl/>
              <w:kinsoku/>
              <w:wordWrap/>
              <w:overflowPunct/>
              <w:topLinePunct w:val="0"/>
              <w:autoSpaceDE/>
              <w:autoSpaceDN/>
              <w:bidi w:val="0"/>
              <w:adjustRightInd/>
              <w:snapToGrid/>
              <w:spacing w:before="127" w:line="420" w:lineRule="exact"/>
              <w:ind w:left="119"/>
              <w:jc w:val="both"/>
              <w:textAlignment w:val="auto"/>
              <w:rPr>
                <w:rFonts w:hint="eastAsia"/>
                <w:spacing w:val="-1"/>
                <w:sz w:val="22"/>
                <w:szCs w:val="22"/>
              </w:rPr>
            </w:pPr>
            <w:r>
              <w:rPr>
                <w:rFonts w:hint="eastAsia"/>
                <w:spacing w:val="-1"/>
                <w:sz w:val="22"/>
                <w:szCs w:val="22"/>
              </w:rPr>
              <w:t>100</w:t>
            </w:r>
          </w:p>
        </w:tc>
        <w:tc>
          <w:tcPr>
            <w:tcW w:w="1301" w:type="dxa"/>
            <w:vMerge w:val="continue"/>
            <w:vAlign w:val="center"/>
          </w:tcPr>
          <w:p w14:paraId="1C139DF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1FD27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5C69EDC4">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pacing w:val="-1"/>
                <w:sz w:val="22"/>
                <w:szCs w:val="22"/>
              </w:rPr>
              <w:t>3</w:t>
            </w:r>
          </w:p>
        </w:tc>
        <w:tc>
          <w:tcPr>
            <w:tcW w:w="1945" w:type="dxa"/>
            <w:vAlign w:val="center"/>
          </w:tcPr>
          <w:p w14:paraId="259C8E78">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省公路局</w:t>
            </w:r>
          </w:p>
        </w:tc>
        <w:tc>
          <w:tcPr>
            <w:tcW w:w="1415" w:type="dxa"/>
            <w:vAlign w:val="center"/>
          </w:tcPr>
          <w:p w14:paraId="46797C82">
            <w:pPr>
              <w:pStyle w:val="18"/>
              <w:keepNext w:val="0"/>
              <w:keepLines w:val="0"/>
              <w:pageBreakBefore w:val="0"/>
              <w:widowControl/>
              <w:kinsoku/>
              <w:wordWrap/>
              <w:overflowPunct/>
              <w:topLinePunct w:val="0"/>
              <w:autoSpaceDE/>
              <w:autoSpaceDN/>
              <w:bidi w:val="0"/>
              <w:adjustRightInd/>
              <w:snapToGrid/>
              <w:spacing w:before="127" w:line="420" w:lineRule="exact"/>
              <w:ind w:left="110"/>
              <w:jc w:val="both"/>
              <w:textAlignment w:val="auto"/>
              <w:rPr>
                <w:rFonts w:hint="eastAsia"/>
                <w:spacing w:val="-1"/>
                <w:sz w:val="22"/>
                <w:szCs w:val="22"/>
              </w:rPr>
            </w:pPr>
            <w:r>
              <w:rPr>
                <w:rFonts w:hint="eastAsia"/>
                <w:spacing w:val="-1"/>
                <w:sz w:val="22"/>
                <w:szCs w:val="22"/>
              </w:rPr>
              <w:t>50</w:t>
            </w:r>
          </w:p>
        </w:tc>
        <w:tc>
          <w:tcPr>
            <w:tcW w:w="1418" w:type="dxa"/>
            <w:vAlign w:val="center"/>
          </w:tcPr>
          <w:p w14:paraId="0EF9EA61">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00FC1BFB">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1"/>
                <w:sz w:val="22"/>
                <w:szCs w:val="22"/>
              </w:rPr>
            </w:pPr>
            <w:r>
              <w:rPr>
                <w:rFonts w:hint="eastAsia"/>
                <w:spacing w:val="-1"/>
                <w:sz w:val="22"/>
                <w:szCs w:val="22"/>
              </w:rPr>
              <w:t>50</w:t>
            </w:r>
          </w:p>
        </w:tc>
        <w:tc>
          <w:tcPr>
            <w:tcW w:w="1301" w:type="dxa"/>
            <w:vMerge w:val="continue"/>
            <w:vAlign w:val="center"/>
          </w:tcPr>
          <w:p w14:paraId="54148BA5">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6F77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80" w:type="dxa"/>
            <w:vAlign w:val="center"/>
          </w:tcPr>
          <w:p w14:paraId="051F25A2">
            <w:pPr>
              <w:pStyle w:val="18"/>
              <w:keepNext w:val="0"/>
              <w:keepLines w:val="0"/>
              <w:pageBreakBefore w:val="0"/>
              <w:widowControl/>
              <w:kinsoku/>
              <w:wordWrap/>
              <w:overflowPunct/>
              <w:topLinePunct w:val="0"/>
              <w:autoSpaceDE/>
              <w:autoSpaceDN/>
              <w:bidi w:val="0"/>
              <w:adjustRightInd/>
              <w:snapToGrid/>
              <w:spacing w:before="127" w:line="420" w:lineRule="exact"/>
              <w:ind w:left="101"/>
              <w:jc w:val="both"/>
              <w:textAlignment w:val="auto"/>
              <w:rPr>
                <w:rFonts w:hint="eastAsia"/>
                <w:spacing w:val="-1"/>
                <w:sz w:val="22"/>
                <w:szCs w:val="22"/>
              </w:rPr>
            </w:pPr>
            <w:r>
              <w:rPr>
                <w:rFonts w:hint="eastAsia"/>
                <w:spacing w:val="-1"/>
                <w:sz w:val="22"/>
                <w:szCs w:val="22"/>
              </w:rPr>
              <w:t>4</w:t>
            </w:r>
          </w:p>
        </w:tc>
        <w:tc>
          <w:tcPr>
            <w:tcW w:w="1945" w:type="dxa"/>
            <w:vAlign w:val="center"/>
          </w:tcPr>
          <w:p w14:paraId="43A67F5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省道路运输中心（厅水路事业中心）</w:t>
            </w:r>
          </w:p>
        </w:tc>
        <w:tc>
          <w:tcPr>
            <w:tcW w:w="1415" w:type="dxa"/>
            <w:vAlign w:val="center"/>
          </w:tcPr>
          <w:p w14:paraId="31577713">
            <w:pPr>
              <w:pStyle w:val="18"/>
              <w:keepNext w:val="0"/>
              <w:keepLines w:val="0"/>
              <w:pageBreakBefore w:val="0"/>
              <w:widowControl/>
              <w:kinsoku/>
              <w:wordWrap/>
              <w:overflowPunct/>
              <w:topLinePunct w:val="0"/>
              <w:autoSpaceDE/>
              <w:autoSpaceDN/>
              <w:bidi w:val="0"/>
              <w:adjustRightInd/>
              <w:snapToGrid/>
              <w:spacing w:before="127" w:line="420" w:lineRule="exact"/>
              <w:ind w:left="110"/>
              <w:jc w:val="both"/>
              <w:textAlignment w:val="auto"/>
              <w:rPr>
                <w:rFonts w:hint="eastAsia"/>
                <w:spacing w:val="-1"/>
                <w:sz w:val="22"/>
                <w:szCs w:val="22"/>
              </w:rPr>
            </w:pPr>
            <w:r>
              <w:rPr>
                <w:rFonts w:hint="eastAsia"/>
                <w:spacing w:val="-1"/>
                <w:sz w:val="22"/>
                <w:szCs w:val="22"/>
              </w:rPr>
              <w:t>50</w:t>
            </w:r>
          </w:p>
        </w:tc>
        <w:tc>
          <w:tcPr>
            <w:tcW w:w="1418" w:type="dxa"/>
            <w:vAlign w:val="center"/>
          </w:tcPr>
          <w:p w14:paraId="075BA9E4">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1FA273B2">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1"/>
                <w:sz w:val="22"/>
                <w:szCs w:val="22"/>
              </w:rPr>
            </w:pPr>
            <w:r>
              <w:rPr>
                <w:rFonts w:hint="eastAsia"/>
                <w:spacing w:val="-1"/>
                <w:sz w:val="22"/>
                <w:szCs w:val="22"/>
              </w:rPr>
              <w:t>50</w:t>
            </w:r>
          </w:p>
        </w:tc>
        <w:tc>
          <w:tcPr>
            <w:tcW w:w="1301" w:type="dxa"/>
            <w:vMerge w:val="continue"/>
            <w:vAlign w:val="center"/>
          </w:tcPr>
          <w:p w14:paraId="0D74711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6EDD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76DB4A99">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pacing w:val="-1"/>
                <w:sz w:val="22"/>
                <w:szCs w:val="22"/>
              </w:rPr>
              <w:t>5</w:t>
            </w:r>
          </w:p>
        </w:tc>
        <w:tc>
          <w:tcPr>
            <w:tcW w:w="1945" w:type="dxa"/>
            <w:vAlign w:val="center"/>
          </w:tcPr>
          <w:p w14:paraId="2718C7E0">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收费中心</w:t>
            </w:r>
          </w:p>
        </w:tc>
        <w:tc>
          <w:tcPr>
            <w:tcW w:w="1415" w:type="dxa"/>
            <w:vAlign w:val="center"/>
          </w:tcPr>
          <w:p w14:paraId="60E3B5A1">
            <w:pPr>
              <w:pStyle w:val="18"/>
              <w:keepNext w:val="0"/>
              <w:keepLines w:val="0"/>
              <w:pageBreakBefore w:val="0"/>
              <w:widowControl/>
              <w:kinsoku/>
              <w:wordWrap/>
              <w:overflowPunct/>
              <w:topLinePunct w:val="0"/>
              <w:autoSpaceDE/>
              <w:autoSpaceDN/>
              <w:bidi w:val="0"/>
              <w:adjustRightInd/>
              <w:snapToGrid/>
              <w:spacing w:before="127" w:line="420" w:lineRule="exact"/>
              <w:ind w:left="116"/>
              <w:jc w:val="both"/>
              <w:textAlignment w:val="auto"/>
              <w:rPr>
                <w:rFonts w:hint="eastAsia"/>
                <w:spacing w:val="-1"/>
                <w:sz w:val="22"/>
                <w:szCs w:val="22"/>
              </w:rPr>
            </w:pPr>
            <w:r>
              <w:rPr>
                <w:rFonts w:hint="eastAsia"/>
                <w:spacing w:val="-1"/>
                <w:sz w:val="22"/>
                <w:szCs w:val="22"/>
              </w:rPr>
              <w:t>100</w:t>
            </w:r>
          </w:p>
        </w:tc>
        <w:tc>
          <w:tcPr>
            <w:tcW w:w="1418" w:type="dxa"/>
            <w:vAlign w:val="center"/>
          </w:tcPr>
          <w:p w14:paraId="4646E383">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547F830A">
            <w:pPr>
              <w:pStyle w:val="18"/>
              <w:keepNext w:val="0"/>
              <w:keepLines w:val="0"/>
              <w:pageBreakBefore w:val="0"/>
              <w:widowControl/>
              <w:kinsoku/>
              <w:wordWrap/>
              <w:overflowPunct/>
              <w:topLinePunct w:val="0"/>
              <w:autoSpaceDE/>
              <w:autoSpaceDN/>
              <w:bidi w:val="0"/>
              <w:adjustRightInd/>
              <w:snapToGrid/>
              <w:spacing w:before="127" w:line="420" w:lineRule="exact"/>
              <w:ind w:left="119"/>
              <w:jc w:val="both"/>
              <w:textAlignment w:val="auto"/>
              <w:rPr>
                <w:rFonts w:hint="eastAsia"/>
                <w:spacing w:val="-1"/>
                <w:sz w:val="22"/>
                <w:szCs w:val="22"/>
              </w:rPr>
            </w:pPr>
            <w:r>
              <w:rPr>
                <w:rFonts w:hint="eastAsia"/>
                <w:spacing w:val="-1"/>
                <w:sz w:val="22"/>
                <w:szCs w:val="22"/>
              </w:rPr>
              <w:t>100</w:t>
            </w:r>
          </w:p>
        </w:tc>
        <w:tc>
          <w:tcPr>
            <w:tcW w:w="1301" w:type="dxa"/>
            <w:vMerge w:val="continue"/>
            <w:vAlign w:val="center"/>
          </w:tcPr>
          <w:p w14:paraId="3B555755">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3493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80" w:type="dxa"/>
            <w:vAlign w:val="center"/>
          </w:tcPr>
          <w:p w14:paraId="7A1F5597">
            <w:pPr>
              <w:pStyle w:val="18"/>
              <w:keepNext w:val="0"/>
              <w:keepLines w:val="0"/>
              <w:pageBreakBefore w:val="0"/>
              <w:widowControl/>
              <w:kinsoku/>
              <w:wordWrap/>
              <w:overflowPunct/>
              <w:topLinePunct w:val="0"/>
              <w:autoSpaceDE/>
              <w:autoSpaceDN/>
              <w:bidi w:val="0"/>
              <w:adjustRightInd/>
              <w:snapToGrid/>
              <w:spacing w:before="127" w:line="420" w:lineRule="exact"/>
              <w:ind w:left="105"/>
              <w:jc w:val="both"/>
              <w:textAlignment w:val="auto"/>
              <w:rPr>
                <w:rFonts w:hint="eastAsia"/>
                <w:spacing w:val="-1"/>
                <w:sz w:val="22"/>
                <w:szCs w:val="22"/>
              </w:rPr>
            </w:pPr>
            <w:r>
              <w:rPr>
                <w:rFonts w:hint="eastAsia"/>
                <w:sz w:val="22"/>
                <w:szCs w:val="22"/>
              </w:rPr>
              <w:t>6</w:t>
            </w:r>
          </w:p>
        </w:tc>
        <w:tc>
          <w:tcPr>
            <w:tcW w:w="1945" w:type="dxa"/>
            <w:vAlign w:val="center"/>
          </w:tcPr>
          <w:p w14:paraId="0FF9FFA8">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外资办（后勤服务中心)</w:t>
            </w:r>
          </w:p>
        </w:tc>
        <w:tc>
          <w:tcPr>
            <w:tcW w:w="1415" w:type="dxa"/>
            <w:vAlign w:val="center"/>
          </w:tcPr>
          <w:p w14:paraId="3E294BA0">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z w:val="22"/>
                <w:szCs w:val="22"/>
              </w:rPr>
              <w:t>2</w:t>
            </w:r>
          </w:p>
        </w:tc>
        <w:tc>
          <w:tcPr>
            <w:tcW w:w="1418" w:type="dxa"/>
            <w:vAlign w:val="center"/>
          </w:tcPr>
          <w:p w14:paraId="613F29C4">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7A84D1A7">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z w:val="22"/>
                <w:szCs w:val="22"/>
              </w:rPr>
              <w:t>2</w:t>
            </w:r>
          </w:p>
        </w:tc>
        <w:tc>
          <w:tcPr>
            <w:tcW w:w="1301" w:type="dxa"/>
            <w:vMerge w:val="continue"/>
            <w:vAlign w:val="center"/>
          </w:tcPr>
          <w:p w14:paraId="7CF9176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44FD3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80" w:type="dxa"/>
            <w:vAlign w:val="center"/>
          </w:tcPr>
          <w:p w14:paraId="3944F024">
            <w:pPr>
              <w:pStyle w:val="18"/>
              <w:keepNext w:val="0"/>
              <w:keepLines w:val="0"/>
              <w:pageBreakBefore w:val="0"/>
              <w:widowControl/>
              <w:kinsoku/>
              <w:wordWrap/>
              <w:overflowPunct/>
              <w:topLinePunct w:val="0"/>
              <w:autoSpaceDE/>
              <w:autoSpaceDN/>
              <w:bidi w:val="0"/>
              <w:adjustRightInd/>
              <w:snapToGrid/>
              <w:spacing w:before="127" w:line="420" w:lineRule="exact"/>
              <w:ind w:left="107"/>
              <w:jc w:val="both"/>
              <w:textAlignment w:val="auto"/>
              <w:rPr>
                <w:rFonts w:hint="eastAsia"/>
                <w:spacing w:val="-1"/>
                <w:sz w:val="22"/>
                <w:szCs w:val="22"/>
              </w:rPr>
            </w:pPr>
            <w:r>
              <w:rPr>
                <w:rFonts w:hint="eastAsia"/>
                <w:sz w:val="22"/>
                <w:szCs w:val="22"/>
              </w:rPr>
              <w:t>7</w:t>
            </w:r>
          </w:p>
        </w:tc>
        <w:tc>
          <w:tcPr>
            <w:tcW w:w="1945" w:type="dxa"/>
            <w:vAlign w:val="center"/>
          </w:tcPr>
          <w:p w14:paraId="7AC869A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陕西省路政执法总队</w:t>
            </w:r>
          </w:p>
        </w:tc>
        <w:tc>
          <w:tcPr>
            <w:tcW w:w="1415" w:type="dxa"/>
            <w:vAlign w:val="center"/>
          </w:tcPr>
          <w:p w14:paraId="366B3A18">
            <w:pPr>
              <w:pStyle w:val="18"/>
              <w:keepNext w:val="0"/>
              <w:keepLines w:val="0"/>
              <w:pageBreakBefore w:val="0"/>
              <w:widowControl/>
              <w:kinsoku/>
              <w:wordWrap/>
              <w:overflowPunct/>
              <w:topLinePunct w:val="0"/>
              <w:autoSpaceDE/>
              <w:autoSpaceDN/>
              <w:bidi w:val="0"/>
              <w:adjustRightInd/>
              <w:snapToGrid/>
              <w:spacing w:before="127" w:line="420" w:lineRule="exact"/>
              <w:ind w:left="110"/>
              <w:jc w:val="both"/>
              <w:textAlignment w:val="auto"/>
              <w:rPr>
                <w:rFonts w:hint="eastAsia"/>
                <w:spacing w:val="-1"/>
                <w:sz w:val="22"/>
                <w:szCs w:val="22"/>
              </w:rPr>
            </w:pPr>
            <w:r>
              <w:rPr>
                <w:rFonts w:hint="eastAsia"/>
                <w:spacing w:val="-7"/>
                <w:sz w:val="22"/>
                <w:szCs w:val="22"/>
              </w:rPr>
              <w:t>50</w:t>
            </w:r>
          </w:p>
        </w:tc>
        <w:tc>
          <w:tcPr>
            <w:tcW w:w="1418" w:type="dxa"/>
            <w:vAlign w:val="center"/>
          </w:tcPr>
          <w:p w14:paraId="1627E4A1">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246479E7">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1"/>
                <w:sz w:val="22"/>
                <w:szCs w:val="22"/>
              </w:rPr>
            </w:pPr>
            <w:r>
              <w:rPr>
                <w:rFonts w:hint="eastAsia"/>
                <w:spacing w:val="-7"/>
                <w:sz w:val="22"/>
                <w:szCs w:val="22"/>
              </w:rPr>
              <w:t>50</w:t>
            </w:r>
          </w:p>
        </w:tc>
        <w:tc>
          <w:tcPr>
            <w:tcW w:w="1301" w:type="dxa"/>
            <w:vMerge w:val="continue"/>
            <w:vAlign w:val="center"/>
          </w:tcPr>
          <w:p w14:paraId="635D8EDE">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0F0E3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80" w:type="dxa"/>
            <w:vAlign w:val="center"/>
          </w:tcPr>
          <w:p w14:paraId="0569952B">
            <w:pPr>
              <w:pStyle w:val="18"/>
              <w:keepNext w:val="0"/>
              <w:keepLines w:val="0"/>
              <w:pageBreakBefore w:val="0"/>
              <w:widowControl/>
              <w:kinsoku/>
              <w:wordWrap/>
              <w:overflowPunct/>
              <w:topLinePunct w:val="0"/>
              <w:autoSpaceDE/>
              <w:autoSpaceDN/>
              <w:bidi w:val="0"/>
              <w:adjustRightInd/>
              <w:snapToGrid/>
              <w:spacing w:before="127" w:line="420" w:lineRule="exact"/>
              <w:ind w:left="105"/>
              <w:jc w:val="both"/>
              <w:textAlignment w:val="auto"/>
              <w:rPr>
                <w:rFonts w:hint="eastAsia"/>
                <w:spacing w:val="-1"/>
                <w:sz w:val="22"/>
                <w:szCs w:val="22"/>
              </w:rPr>
            </w:pPr>
            <w:r>
              <w:rPr>
                <w:rFonts w:hint="eastAsia"/>
                <w:sz w:val="22"/>
                <w:szCs w:val="22"/>
              </w:rPr>
              <w:t>8</w:t>
            </w:r>
          </w:p>
        </w:tc>
        <w:tc>
          <w:tcPr>
            <w:tcW w:w="1945" w:type="dxa"/>
            <w:vAlign w:val="center"/>
          </w:tcPr>
          <w:p w14:paraId="7ED8A494">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2"/>
                <w:sz w:val="22"/>
                <w:szCs w:val="22"/>
              </w:rPr>
              <w:t>陕西省交通医院</w:t>
            </w:r>
          </w:p>
        </w:tc>
        <w:tc>
          <w:tcPr>
            <w:tcW w:w="1415" w:type="dxa"/>
            <w:vAlign w:val="center"/>
          </w:tcPr>
          <w:p w14:paraId="1A9B674C">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lang w:eastAsia="zh-CN"/>
              </w:rPr>
              <w:t>5</w:t>
            </w:r>
            <w:r>
              <w:rPr>
                <w:rFonts w:hint="eastAsia"/>
                <w:spacing w:val="-7"/>
                <w:sz w:val="22"/>
                <w:szCs w:val="22"/>
              </w:rPr>
              <w:t>0</w:t>
            </w:r>
          </w:p>
        </w:tc>
        <w:tc>
          <w:tcPr>
            <w:tcW w:w="1418" w:type="dxa"/>
            <w:vAlign w:val="center"/>
          </w:tcPr>
          <w:p w14:paraId="00A6458D">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37B3CEEE">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lang w:eastAsia="zh-CN"/>
              </w:rPr>
              <w:t>5</w:t>
            </w:r>
            <w:r>
              <w:rPr>
                <w:rFonts w:hint="eastAsia"/>
                <w:spacing w:val="-7"/>
                <w:sz w:val="22"/>
                <w:szCs w:val="22"/>
              </w:rPr>
              <w:t>0</w:t>
            </w:r>
          </w:p>
        </w:tc>
        <w:tc>
          <w:tcPr>
            <w:tcW w:w="1301" w:type="dxa"/>
            <w:vMerge w:val="continue"/>
            <w:vAlign w:val="center"/>
          </w:tcPr>
          <w:p w14:paraId="728E1FDC">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6256D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80" w:type="dxa"/>
            <w:vAlign w:val="center"/>
          </w:tcPr>
          <w:p w14:paraId="39F00001">
            <w:pPr>
              <w:pStyle w:val="18"/>
              <w:keepNext w:val="0"/>
              <w:keepLines w:val="0"/>
              <w:pageBreakBefore w:val="0"/>
              <w:widowControl/>
              <w:kinsoku/>
              <w:wordWrap/>
              <w:overflowPunct/>
              <w:topLinePunct w:val="0"/>
              <w:autoSpaceDE/>
              <w:autoSpaceDN/>
              <w:bidi w:val="0"/>
              <w:adjustRightInd/>
              <w:snapToGrid/>
              <w:spacing w:before="127" w:line="420" w:lineRule="exact"/>
              <w:ind w:left="104"/>
              <w:jc w:val="both"/>
              <w:textAlignment w:val="auto"/>
              <w:rPr>
                <w:rFonts w:hint="eastAsia"/>
                <w:spacing w:val="-1"/>
                <w:sz w:val="22"/>
                <w:szCs w:val="22"/>
              </w:rPr>
            </w:pPr>
            <w:r>
              <w:rPr>
                <w:rFonts w:hint="eastAsia"/>
                <w:sz w:val="22"/>
                <w:szCs w:val="22"/>
              </w:rPr>
              <w:t>9</w:t>
            </w:r>
          </w:p>
        </w:tc>
        <w:tc>
          <w:tcPr>
            <w:tcW w:w="1945" w:type="dxa"/>
            <w:vAlign w:val="center"/>
          </w:tcPr>
          <w:p w14:paraId="7B7F42A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陕西省交通技术服务中</w:t>
            </w:r>
            <w:r>
              <w:rPr>
                <w:rFonts w:hint="eastAsia"/>
                <w:sz w:val="22"/>
                <w:szCs w:val="22"/>
              </w:rPr>
              <w:t>心</w:t>
            </w:r>
          </w:p>
        </w:tc>
        <w:tc>
          <w:tcPr>
            <w:tcW w:w="1415" w:type="dxa"/>
            <w:vAlign w:val="center"/>
          </w:tcPr>
          <w:p w14:paraId="0C177E1C">
            <w:pPr>
              <w:pStyle w:val="18"/>
              <w:keepNext w:val="0"/>
              <w:keepLines w:val="0"/>
              <w:pageBreakBefore w:val="0"/>
              <w:widowControl/>
              <w:kinsoku/>
              <w:wordWrap/>
              <w:overflowPunct/>
              <w:topLinePunct w:val="0"/>
              <w:autoSpaceDE/>
              <w:autoSpaceDN/>
              <w:bidi w:val="0"/>
              <w:adjustRightInd/>
              <w:snapToGrid/>
              <w:spacing w:before="127" w:line="420" w:lineRule="exact"/>
              <w:ind w:left="116"/>
              <w:jc w:val="both"/>
              <w:textAlignment w:val="auto"/>
              <w:rPr>
                <w:rFonts w:hint="eastAsia"/>
                <w:spacing w:val="-1"/>
                <w:sz w:val="22"/>
                <w:szCs w:val="22"/>
              </w:rPr>
            </w:pPr>
            <w:r>
              <w:rPr>
                <w:rFonts w:hint="eastAsia"/>
                <w:spacing w:val="-11"/>
                <w:sz w:val="22"/>
                <w:szCs w:val="22"/>
              </w:rPr>
              <w:t>10</w:t>
            </w:r>
          </w:p>
        </w:tc>
        <w:tc>
          <w:tcPr>
            <w:tcW w:w="1418" w:type="dxa"/>
            <w:vAlign w:val="center"/>
          </w:tcPr>
          <w:p w14:paraId="0AF69F21">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4275AB11">
            <w:pPr>
              <w:pStyle w:val="18"/>
              <w:keepNext w:val="0"/>
              <w:keepLines w:val="0"/>
              <w:pageBreakBefore w:val="0"/>
              <w:widowControl/>
              <w:kinsoku/>
              <w:wordWrap/>
              <w:overflowPunct/>
              <w:topLinePunct w:val="0"/>
              <w:autoSpaceDE/>
              <w:autoSpaceDN/>
              <w:bidi w:val="0"/>
              <w:adjustRightInd/>
              <w:snapToGrid/>
              <w:spacing w:before="127" w:line="420" w:lineRule="exact"/>
              <w:ind w:left="119"/>
              <w:jc w:val="both"/>
              <w:textAlignment w:val="auto"/>
              <w:rPr>
                <w:rFonts w:hint="eastAsia"/>
                <w:spacing w:val="-1"/>
                <w:sz w:val="22"/>
                <w:szCs w:val="22"/>
              </w:rPr>
            </w:pPr>
            <w:r>
              <w:rPr>
                <w:rFonts w:hint="eastAsia"/>
                <w:spacing w:val="-11"/>
                <w:sz w:val="22"/>
                <w:szCs w:val="22"/>
              </w:rPr>
              <w:t>10</w:t>
            </w:r>
          </w:p>
        </w:tc>
        <w:tc>
          <w:tcPr>
            <w:tcW w:w="1301" w:type="dxa"/>
            <w:vMerge w:val="continue"/>
            <w:vAlign w:val="center"/>
          </w:tcPr>
          <w:p w14:paraId="1EB8A77A">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7382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546AD970">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1"/>
                <w:sz w:val="22"/>
                <w:szCs w:val="22"/>
              </w:rPr>
            </w:pPr>
            <w:r>
              <w:rPr>
                <w:rFonts w:hint="eastAsia"/>
                <w:sz w:val="22"/>
                <w:szCs w:val="22"/>
              </w:rPr>
              <w:t>10</w:t>
            </w:r>
          </w:p>
        </w:tc>
        <w:tc>
          <w:tcPr>
            <w:tcW w:w="1945" w:type="dxa"/>
            <w:vAlign w:val="center"/>
          </w:tcPr>
          <w:p w14:paraId="440878D4">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2"/>
                <w:sz w:val="22"/>
                <w:szCs w:val="22"/>
              </w:rPr>
              <w:t>交控集团</w:t>
            </w:r>
          </w:p>
        </w:tc>
        <w:tc>
          <w:tcPr>
            <w:tcW w:w="1415" w:type="dxa"/>
            <w:vAlign w:val="center"/>
          </w:tcPr>
          <w:p w14:paraId="2CDD57B7">
            <w:pPr>
              <w:pStyle w:val="18"/>
              <w:keepNext w:val="0"/>
              <w:keepLines w:val="0"/>
              <w:pageBreakBefore w:val="0"/>
              <w:widowControl/>
              <w:kinsoku/>
              <w:wordWrap/>
              <w:overflowPunct/>
              <w:topLinePunct w:val="0"/>
              <w:autoSpaceDE/>
              <w:autoSpaceDN/>
              <w:bidi w:val="0"/>
              <w:adjustRightInd/>
              <w:snapToGrid/>
              <w:spacing w:before="127" w:line="420" w:lineRule="exact"/>
              <w:ind w:left="116"/>
              <w:jc w:val="both"/>
              <w:textAlignment w:val="auto"/>
              <w:rPr>
                <w:rFonts w:hint="eastAsia"/>
                <w:spacing w:val="-1"/>
                <w:sz w:val="22"/>
                <w:szCs w:val="22"/>
              </w:rPr>
            </w:pPr>
            <w:r>
              <w:rPr>
                <w:rFonts w:hint="eastAsia"/>
                <w:spacing w:val="-11"/>
                <w:sz w:val="22"/>
                <w:szCs w:val="22"/>
              </w:rPr>
              <w:t>10</w:t>
            </w:r>
          </w:p>
        </w:tc>
        <w:tc>
          <w:tcPr>
            <w:tcW w:w="1418" w:type="dxa"/>
            <w:vAlign w:val="center"/>
          </w:tcPr>
          <w:p w14:paraId="05A79BF0">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0D9E32C4">
            <w:pPr>
              <w:pStyle w:val="18"/>
              <w:keepNext w:val="0"/>
              <w:keepLines w:val="0"/>
              <w:pageBreakBefore w:val="0"/>
              <w:widowControl/>
              <w:kinsoku/>
              <w:wordWrap/>
              <w:overflowPunct/>
              <w:topLinePunct w:val="0"/>
              <w:autoSpaceDE/>
              <w:autoSpaceDN/>
              <w:bidi w:val="0"/>
              <w:adjustRightInd/>
              <w:snapToGrid/>
              <w:spacing w:before="127" w:line="420" w:lineRule="exact"/>
              <w:ind w:left="119"/>
              <w:jc w:val="both"/>
              <w:textAlignment w:val="auto"/>
              <w:rPr>
                <w:rFonts w:hint="eastAsia"/>
                <w:spacing w:val="-1"/>
                <w:sz w:val="22"/>
                <w:szCs w:val="22"/>
              </w:rPr>
            </w:pPr>
            <w:r>
              <w:rPr>
                <w:rFonts w:hint="eastAsia"/>
                <w:spacing w:val="-11"/>
                <w:sz w:val="22"/>
                <w:szCs w:val="22"/>
              </w:rPr>
              <w:t>10</w:t>
            </w:r>
          </w:p>
        </w:tc>
        <w:tc>
          <w:tcPr>
            <w:tcW w:w="1301" w:type="dxa"/>
            <w:vMerge w:val="continue"/>
            <w:vAlign w:val="center"/>
          </w:tcPr>
          <w:p w14:paraId="4F8C5F63">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596FD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52E84083">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1"/>
                <w:sz w:val="22"/>
                <w:szCs w:val="22"/>
              </w:rPr>
            </w:pPr>
            <w:r>
              <w:rPr>
                <w:rFonts w:hint="eastAsia"/>
                <w:sz w:val="22"/>
                <w:szCs w:val="22"/>
              </w:rPr>
              <w:t>11</w:t>
            </w:r>
          </w:p>
        </w:tc>
        <w:tc>
          <w:tcPr>
            <w:tcW w:w="1945" w:type="dxa"/>
            <w:vAlign w:val="center"/>
          </w:tcPr>
          <w:p w14:paraId="3CEC410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西安交通局</w:t>
            </w:r>
          </w:p>
        </w:tc>
        <w:tc>
          <w:tcPr>
            <w:tcW w:w="1415" w:type="dxa"/>
            <w:vAlign w:val="center"/>
          </w:tcPr>
          <w:p w14:paraId="24723A47">
            <w:pPr>
              <w:pStyle w:val="18"/>
              <w:keepNext w:val="0"/>
              <w:keepLines w:val="0"/>
              <w:pageBreakBefore w:val="0"/>
              <w:widowControl/>
              <w:kinsoku/>
              <w:wordWrap/>
              <w:overflowPunct/>
              <w:topLinePunct w:val="0"/>
              <w:autoSpaceDE/>
              <w:autoSpaceDN/>
              <w:bidi w:val="0"/>
              <w:adjustRightInd/>
              <w:snapToGrid/>
              <w:spacing w:before="127" w:line="420" w:lineRule="exact"/>
              <w:ind w:left="116"/>
              <w:jc w:val="both"/>
              <w:textAlignment w:val="auto"/>
              <w:rPr>
                <w:rFonts w:hint="eastAsia"/>
                <w:spacing w:val="-1"/>
                <w:sz w:val="22"/>
                <w:szCs w:val="22"/>
              </w:rPr>
            </w:pPr>
            <w:r>
              <w:rPr>
                <w:rFonts w:hint="eastAsia"/>
                <w:spacing w:val="-7"/>
                <w:sz w:val="22"/>
                <w:szCs w:val="22"/>
              </w:rPr>
              <w:t>100</w:t>
            </w:r>
          </w:p>
        </w:tc>
        <w:tc>
          <w:tcPr>
            <w:tcW w:w="1418" w:type="dxa"/>
            <w:vAlign w:val="center"/>
          </w:tcPr>
          <w:p w14:paraId="233C239E">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7526DBD7">
            <w:pPr>
              <w:pStyle w:val="18"/>
              <w:keepNext w:val="0"/>
              <w:keepLines w:val="0"/>
              <w:pageBreakBefore w:val="0"/>
              <w:widowControl/>
              <w:kinsoku/>
              <w:wordWrap/>
              <w:overflowPunct/>
              <w:topLinePunct w:val="0"/>
              <w:autoSpaceDE/>
              <w:autoSpaceDN/>
              <w:bidi w:val="0"/>
              <w:adjustRightInd/>
              <w:snapToGrid/>
              <w:spacing w:before="127" w:line="420" w:lineRule="exact"/>
              <w:ind w:left="119"/>
              <w:jc w:val="both"/>
              <w:textAlignment w:val="auto"/>
              <w:rPr>
                <w:rFonts w:hint="eastAsia"/>
                <w:spacing w:val="-1"/>
                <w:sz w:val="22"/>
                <w:szCs w:val="22"/>
              </w:rPr>
            </w:pPr>
            <w:r>
              <w:rPr>
                <w:rFonts w:hint="eastAsia"/>
                <w:spacing w:val="-7"/>
                <w:sz w:val="22"/>
                <w:szCs w:val="22"/>
              </w:rPr>
              <w:t>100</w:t>
            </w:r>
          </w:p>
        </w:tc>
        <w:tc>
          <w:tcPr>
            <w:tcW w:w="1301" w:type="dxa"/>
            <w:vMerge w:val="restart"/>
            <w:vAlign w:val="center"/>
          </w:tcPr>
          <w:p w14:paraId="35AC14D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lang w:eastAsia="zh-CN"/>
              </w:rPr>
            </w:pPr>
            <w:r>
              <w:rPr>
                <w:rFonts w:hint="eastAsia"/>
                <w:spacing w:val="-3"/>
                <w:sz w:val="22"/>
                <w:szCs w:val="22"/>
                <w:lang w:eastAsia="zh-CN"/>
              </w:rPr>
              <w:t>10</w:t>
            </w:r>
          </w:p>
        </w:tc>
      </w:tr>
      <w:tr w14:paraId="381B2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6A055C32">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1"/>
                <w:sz w:val="22"/>
                <w:szCs w:val="22"/>
              </w:rPr>
            </w:pPr>
            <w:r>
              <w:rPr>
                <w:rFonts w:hint="eastAsia"/>
                <w:sz w:val="22"/>
                <w:szCs w:val="22"/>
              </w:rPr>
              <w:t>12</w:t>
            </w:r>
          </w:p>
        </w:tc>
        <w:tc>
          <w:tcPr>
            <w:tcW w:w="1945" w:type="dxa"/>
            <w:vAlign w:val="center"/>
          </w:tcPr>
          <w:p w14:paraId="0173CE76">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西安运管处</w:t>
            </w:r>
          </w:p>
        </w:tc>
        <w:tc>
          <w:tcPr>
            <w:tcW w:w="1415" w:type="dxa"/>
            <w:vAlign w:val="center"/>
          </w:tcPr>
          <w:p w14:paraId="38FDB65F">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7AFB45B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759F1A83">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6918D06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0F9D9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706F4960">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1"/>
                <w:sz w:val="22"/>
                <w:szCs w:val="22"/>
              </w:rPr>
            </w:pPr>
            <w:r>
              <w:rPr>
                <w:rFonts w:hint="eastAsia"/>
                <w:sz w:val="22"/>
                <w:szCs w:val="22"/>
              </w:rPr>
              <w:t>13</w:t>
            </w:r>
          </w:p>
        </w:tc>
        <w:tc>
          <w:tcPr>
            <w:tcW w:w="1945" w:type="dxa"/>
            <w:vAlign w:val="center"/>
          </w:tcPr>
          <w:p w14:paraId="4368EF13">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西安公路局</w:t>
            </w:r>
          </w:p>
        </w:tc>
        <w:tc>
          <w:tcPr>
            <w:tcW w:w="1415" w:type="dxa"/>
            <w:vAlign w:val="center"/>
          </w:tcPr>
          <w:p w14:paraId="6BCED365">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17E9A22D">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1C649913">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5E1EA9AA">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75A6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64BF03E9">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1"/>
                <w:sz w:val="22"/>
                <w:szCs w:val="22"/>
              </w:rPr>
            </w:pPr>
            <w:r>
              <w:rPr>
                <w:rFonts w:hint="eastAsia"/>
                <w:sz w:val="22"/>
                <w:szCs w:val="22"/>
              </w:rPr>
              <w:t>14</w:t>
            </w:r>
          </w:p>
        </w:tc>
        <w:tc>
          <w:tcPr>
            <w:tcW w:w="1945" w:type="dxa"/>
            <w:vAlign w:val="center"/>
          </w:tcPr>
          <w:p w14:paraId="190BDE2D">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宝鸡交通局</w:t>
            </w:r>
          </w:p>
        </w:tc>
        <w:tc>
          <w:tcPr>
            <w:tcW w:w="1415" w:type="dxa"/>
            <w:vAlign w:val="center"/>
          </w:tcPr>
          <w:p w14:paraId="7A5A912F">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24113626">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1AF1B491">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restart"/>
            <w:vAlign w:val="center"/>
          </w:tcPr>
          <w:p w14:paraId="1D981E46">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lang w:eastAsia="zh-CN"/>
              </w:rPr>
            </w:pPr>
            <w:r>
              <w:rPr>
                <w:rFonts w:hint="eastAsia"/>
                <w:spacing w:val="-3"/>
                <w:sz w:val="22"/>
                <w:szCs w:val="22"/>
                <w:lang w:eastAsia="zh-CN"/>
              </w:rPr>
              <w:t>10</w:t>
            </w:r>
          </w:p>
        </w:tc>
      </w:tr>
      <w:tr w14:paraId="5DABD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1A4BE293">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1"/>
                <w:sz w:val="22"/>
                <w:szCs w:val="22"/>
              </w:rPr>
            </w:pPr>
            <w:r>
              <w:rPr>
                <w:rFonts w:hint="eastAsia"/>
                <w:sz w:val="22"/>
                <w:szCs w:val="22"/>
              </w:rPr>
              <w:t>15</w:t>
            </w:r>
          </w:p>
        </w:tc>
        <w:tc>
          <w:tcPr>
            <w:tcW w:w="1945" w:type="dxa"/>
            <w:vAlign w:val="center"/>
          </w:tcPr>
          <w:p w14:paraId="6D9F8641">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宝鸡运管处</w:t>
            </w:r>
          </w:p>
        </w:tc>
        <w:tc>
          <w:tcPr>
            <w:tcW w:w="1415" w:type="dxa"/>
            <w:vAlign w:val="center"/>
          </w:tcPr>
          <w:p w14:paraId="66ED60C9">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4B31876C">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0FF17F86">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545E4CAA">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5B00D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55F93786">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1"/>
                <w:sz w:val="22"/>
                <w:szCs w:val="22"/>
              </w:rPr>
            </w:pPr>
            <w:r>
              <w:rPr>
                <w:rFonts w:hint="eastAsia"/>
                <w:sz w:val="22"/>
                <w:szCs w:val="22"/>
              </w:rPr>
              <w:t>16</w:t>
            </w:r>
          </w:p>
        </w:tc>
        <w:tc>
          <w:tcPr>
            <w:tcW w:w="1945" w:type="dxa"/>
            <w:vAlign w:val="center"/>
          </w:tcPr>
          <w:p w14:paraId="622A4199">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宝鸡公路局</w:t>
            </w:r>
          </w:p>
        </w:tc>
        <w:tc>
          <w:tcPr>
            <w:tcW w:w="1415" w:type="dxa"/>
            <w:vAlign w:val="center"/>
          </w:tcPr>
          <w:p w14:paraId="68A0E4F6">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2426A3D4">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45391BD0">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3D7FA9DD">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7C72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3ECA629B">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1"/>
                <w:sz w:val="22"/>
                <w:szCs w:val="22"/>
              </w:rPr>
            </w:pPr>
            <w:r>
              <w:rPr>
                <w:rFonts w:hint="eastAsia"/>
                <w:sz w:val="22"/>
                <w:szCs w:val="22"/>
              </w:rPr>
              <w:t>17</w:t>
            </w:r>
          </w:p>
        </w:tc>
        <w:tc>
          <w:tcPr>
            <w:tcW w:w="1945" w:type="dxa"/>
            <w:vAlign w:val="center"/>
          </w:tcPr>
          <w:p w14:paraId="17E2B961">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渭南交通局</w:t>
            </w:r>
          </w:p>
        </w:tc>
        <w:tc>
          <w:tcPr>
            <w:tcW w:w="1415" w:type="dxa"/>
            <w:vAlign w:val="center"/>
          </w:tcPr>
          <w:p w14:paraId="277956C3">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6D0621D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3BA41FA0">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restart"/>
            <w:vAlign w:val="center"/>
          </w:tcPr>
          <w:p w14:paraId="33F827D6">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lang w:eastAsia="zh-CN"/>
              </w:rPr>
            </w:pPr>
            <w:r>
              <w:rPr>
                <w:rFonts w:hint="eastAsia"/>
                <w:spacing w:val="-3"/>
                <w:sz w:val="22"/>
                <w:szCs w:val="22"/>
                <w:lang w:eastAsia="zh-CN"/>
              </w:rPr>
              <w:t>10</w:t>
            </w:r>
          </w:p>
        </w:tc>
      </w:tr>
      <w:tr w14:paraId="1F507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58B3F414">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1"/>
                <w:sz w:val="22"/>
                <w:szCs w:val="22"/>
              </w:rPr>
            </w:pPr>
            <w:r>
              <w:rPr>
                <w:rFonts w:hint="eastAsia"/>
                <w:sz w:val="22"/>
                <w:szCs w:val="22"/>
              </w:rPr>
              <w:t>18</w:t>
            </w:r>
          </w:p>
        </w:tc>
        <w:tc>
          <w:tcPr>
            <w:tcW w:w="1945" w:type="dxa"/>
            <w:vAlign w:val="center"/>
          </w:tcPr>
          <w:p w14:paraId="21D9099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渭南运管处</w:t>
            </w:r>
          </w:p>
        </w:tc>
        <w:tc>
          <w:tcPr>
            <w:tcW w:w="1415" w:type="dxa"/>
            <w:vAlign w:val="center"/>
          </w:tcPr>
          <w:p w14:paraId="70D33D84">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02C12F96">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7C9DAC50">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4A6B894F">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6CB92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433392F6">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1"/>
                <w:sz w:val="22"/>
                <w:szCs w:val="22"/>
              </w:rPr>
            </w:pPr>
            <w:r>
              <w:rPr>
                <w:rFonts w:hint="eastAsia"/>
                <w:sz w:val="22"/>
                <w:szCs w:val="22"/>
              </w:rPr>
              <w:t>19</w:t>
            </w:r>
          </w:p>
        </w:tc>
        <w:tc>
          <w:tcPr>
            <w:tcW w:w="1945" w:type="dxa"/>
            <w:vAlign w:val="center"/>
          </w:tcPr>
          <w:p w14:paraId="0C66437E">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渭南公路局</w:t>
            </w:r>
          </w:p>
        </w:tc>
        <w:tc>
          <w:tcPr>
            <w:tcW w:w="1415" w:type="dxa"/>
            <w:vAlign w:val="center"/>
          </w:tcPr>
          <w:p w14:paraId="0DF7B69B">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666F08A5">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7D46DFD2">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1E4B8F74">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59E8E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28522A56">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20</w:t>
            </w:r>
          </w:p>
        </w:tc>
        <w:tc>
          <w:tcPr>
            <w:tcW w:w="1945" w:type="dxa"/>
            <w:vAlign w:val="center"/>
          </w:tcPr>
          <w:p w14:paraId="5FAB098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汉中交通局</w:t>
            </w:r>
          </w:p>
        </w:tc>
        <w:tc>
          <w:tcPr>
            <w:tcW w:w="1415" w:type="dxa"/>
            <w:vAlign w:val="center"/>
          </w:tcPr>
          <w:p w14:paraId="5CB2C772">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26E04B0A">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36BB7894">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restart"/>
            <w:vAlign w:val="center"/>
          </w:tcPr>
          <w:p w14:paraId="14AF244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lang w:eastAsia="zh-CN"/>
              </w:rPr>
            </w:pPr>
            <w:r>
              <w:rPr>
                <w:rFonts w:hint="eastAsia"/>
                <w:spacing w:val="-3"/>
                <w:sz w:val="22"/>
                <w:szCs w:val="22"/>
                <w:lang w:eastAsia="zh-CN"/>
              </w:rPr>
              <w:t>10</w:t>
            </w:r>
          </w:p>
        </w:tc>
      </w:tr>
      <w:tr w14:paraId="17A4F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3B3F95BC">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21</w:t>
            </w:r>
          </w:p>
        </w:tc>
        <w:tc>
          <w:tcPr>
            <w:tcW w:w="1945" w:type="dxa"/>
            <w:vAlign w:val="center"/>
          </w:tcPr>
          <w:p w14:paraId="249D1502">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汉中运管处</w:t>
            </w:r>
          </w:p>
        </w:tc>
        <w:tc>
          <w:tcPr>
            <w:tcW w:w="1415" w:type="dxa"/>
            <w:vAlign w:val="center"/>
          </w:tcPr>
          <w:p w14:paraId="37C2BE69">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670D668D">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1B4F29E8">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6AB45FD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4561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1FCEABC8">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22</w:t>
            </w:r>
          </w:p>
        </w:tc>
        <w:tc>
          <w:tcPr>
            <w:tcW w:w="1945" w:type="dxa"/>
            <w:vAlign w:val="center"/>
          </w:tcPr>
          <w:p w14:paraId="0CC53D05">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汉中公路局</w:t>
            </w:r>
          </w:p>
        </w:tc>
        <w:tc>
          <w:tcPr>
            <w:tcW w:w="1415" w:type="dxa"/>
            <w:vAlign w:val="center"/>
          </w:tcPr>
          <w:p w14:paraId="579F2591">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2273D015">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58D26354">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58FDB8BC">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79A18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6832852F">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23</w:t>
            </w:r>
          </w:p>
        </w:tc>
        <w:tc>
          <w:tcPr>
            <w:tcW w:w="1945" w:type="dxa"/>
            <w:vAlign w:val="center"/>
          </w:tcPr>
          <w:p w14:paraId="2788ADC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延安交通局</w:t>
            </w:r>
          </w:p>
        </w:tc>
        <w:tc>
          <w:tcPr>
            <w:tcW w:w="1415" w:type="dxa"/>
            <w:vAlign w:val="center"/>
          </w:tcPr>
          <w:p w14:paraId="4057E8B1">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3A3DB7B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0C768C72">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restart"/>
            <w:vAlign w:val="center"/>
          </w:tcPr>
          <w:p w14:paraId="4BCCFDA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lang w:eastAsia="zh-CN"/>
              </w:rPr>
            </w:pPr>
            <w:r>
              <w:rPr>
                <w:rFonts w:hint="eastAsia"/>
                <w:spacing w:val="-3"/>
                <w:sz w:val="22"/>
                <w:szCs w:val="22"/>
                <w:lang w:eastAsia="zh-CN"/>
              </w:rPr>
              <w:t>5</w:t>
            </w:r>
          </w:p>
        </w:tc>
      </w:tr>
      <w:tr w14:paraId="20429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3B7C4FA0">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24</w:t>
            </w:r>
          </w:p>
        </w:tc>
        <w:tc>
          <w:tcPr>
            <w:tcW w:w="1945" w:type="dxa"/>
            <w:vAlign w:val="center"/>
          </w:tcPr>
          <w:p w14:paraId="1F05AC2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延安运管处</w:t>
            </w:r>
          </w:p>
        </w:tc>
        <w:tc>
          <w:tcPr>
            <w:tcW w:w="1415" w:type="dxa"/>
            <w:vAlign w:val="center"/>
          </w:tcPr>
          <w:p w14:paraId="483FC23E">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5FEB26F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00F746C1">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4002F502">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557B1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71F8E8F1">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25</w:t>
            </w:r>
          </w:p>
        </w:tc>
        <w:tc>
          <w:tcPr>
            <w:tcW w:w="1945" w:type="dxa"/>
            <w:vAlign w:val="center"/>
          </w:tcPr>
          <w:p w14:paraId="0C0AC248">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延安公路局</w:t>
            </w:r>
          </w:p>
        </w:tc>
        <w:tc>
          <w:tcPr>
            <w:tcW w:w="1415" w:type="dxa"/>
            <w:vAlign w:val="center"/>
          </w:tcPr>
          <w:p w14:paraId="30669F25">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13ED6144">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07A4FD33">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6BC9BCA2">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0AAA9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2EF43C93">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26</w:t>
            </w:r>
          </w:p>
        </w:tc>
        <w:tc>
          <w:tcPr>
            <w:tcW w:w="1945" w:type="dxa"/>
            <w:vAlign w:val="center"/>
          </w:tcPr>
          <w:p w14:paraId="7FF2A4F5">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榆林交通局</w:t>
            </w:r>
          </w:p>
        </w:tc>
        <w:tc>
          <w:tcPr>
            <w:tcW w:w="1415" w:type="dxa"/>
            <w:vAlign w:val="center"/>
          </w:tcPr>
          <w:p w14:paraId="0E81A8A6">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54A9A621">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7975F108">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restart"/>
            <w:vAlign w:val="center"/>
          </w:tcPr>
          <w:p w14:paraId="49912EAF">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lang w:eastAsia="zh-CN"/>
              </w:rPr>
            </w:pPr>
            <w:r>
              <w:rPr>
                <w:rFonts w:hint="eastAsia"/>
                <w:spacing w:val="-3"/>
                <w:sz w:val="22"/>
                <w:szCs w:val="22"/>
                <w:lang w:eastAsia="zh-CN"/>
              </w:rPr>
              <w:t>5</w:t>
            </w:r>
          </w:p>
        </w:tc>
      </w:tr>
      <w:tr w14:paraId="6D12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5DD34F27">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27</w:t>
            </w:r>
          </w:p>
        </w:tc>
        <w:tc>
          <w:tcPr>
            <w:tcW w:w="1945" w:type="dxa"/>
            <w:vAlign w:val="center"/>
          </w:tcPr>
          <w:p w14:paraId="59D20164">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榆林运管处</w:t>
            </w:r>
          </w:p>
        </w:tc>
        <w:tc>
          <w:tcPr>
            <w:tcW w:w="1415" w:type="dxa"/>
            <w:vAlign w:val="center"/>
          </w:tcPr>
          <w:p w14:paraId="62646E62">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265F5490">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0DD13AD3">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75DE861F">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71BC3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2E0461FF">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28</w:t>
            </w:r>
          </w:p>
        </w:tc>
        <w:tc>
          <w:tcPr>
            <w:tcW w:w="1945" w:type="dxa"/>
            <w:vAlign w:val="center"/>
          </w:tcPr>
          <w:p w14:paraId="685EE471">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榆林公路局</w:t>
            </w:r>
          </w:p>
        </w:tc>
        <w:tc>
          <w:tcPr>
            <w:tcW w:w="1415" w:type="dxa"/>
            <w:vAlign w:val="center"/>
          </w:tcPr>
          <w:p w14:paraId="2F99BAFD">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3E425F79">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3393C38B">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0E86C12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05B70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278FB313">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29</w:t>
            </w:r>
          </w:p>
        </w:tc>
        <w:tc>
          <w:tcPr>
            <w:tcW w:w="1945" w:type="dxa"/>
            <w:vAlign w:val="center"/>
          </w:tcPr>
          <w:p w14:paraId="60870A0E">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商洛交通局</w:t>
            </w:r>
          </w:p>
        </w:tc>
        <w:tc>
          <w:tcPr>
            <w:tcW w:w="1415" w:type="dxa"/>
            <w:vAlign w:val="center"/>
          </w:tcPr>
          <w:p w14:paraId="29DC2837">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11DD8A05">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142590AE">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restart"/>
            <w:vAlign w:val="center"/>
          </w:tcPr>
          <w:p w14:paraId="0633F06F">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lang w:eastAsia="zh-CN"/>
              </w:rPr>
            </w:pPr>
            <w:r>
              <w:rPr>
                <w:rFonts w:hint="eastAsia"/>
                <w:spacing w:val="-3"/>
                <w:sz w:val="22"/>
                <w:szCs w:val="22"/>
                <w:lang w:eastAsia="zh-CN"/>
              </w:rPr>
              <w:t>5</w:t>
            </w:r>
          </w:p>
        </w:tc>
      </w:tr>
      <w:tr w14:paraId="3B8B3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05AD2752">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30</w:t>
            </w:r>
          </w:p>
        </w:tc>
        <w:tc>
          <w:tcPr>
            <w:tcW w:w="1945" w:type="dxa"/>
            <w:vAlign w:val="center"/>
          </w:tcPr>
          <w:p w14:paraId="102CE5C1">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商洛运管处</w:t>
            </w:r>
          </w:p>
        </w:tc>
        <w:tc>
          <w:tcPr>
            <w:tcW w:w="1415" w:type="dxa"/>
            <w:vAlign w:val="center"/>
          </w:tcPr>
          <w:p w14:paraId="3A21ECC0">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1E519588">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165DD601">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170AB171">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0A7C0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3F1A7AA9">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31</w:t>
            </w:r>
          </w:p>
        </w:tc>
        <w:tc>
          <w:tcPr>
            <w:tcW w:w="1945" w:type="dxa"/>
            <w:vAlign w:val="center"/>
          </w:tcPr>
          <w:p w14:paraId="3C1D0A1F">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商洛公路局</w:t>
            </w:r>
          </w:p>
        </w:tc>
        <w:tc>
          <w:tcPr>
            <w:tcW w:w="1415" w:type="dxa"/>
            <w:vAlign w:val="center"/>
          </w:tcPr>
          <w:p w14:paraId="797FCCA9">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1148314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1B2FC121">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673EB8DF">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5D65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338277EC">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32</w:t>
            </w:r>
          </w:p>
        </w:tc>
        <w:tc>
          <w:tcPr>
            <w:tcW w:w="1945" w:type="dxa"/>
            <w:vAlign w:val="center"/>
          </w:tcPr>
          <w:p w14:paraId="578353EA">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铜川交通局</w:t>
            </w:r>
          </w:p>
        </w:tc>
        <w:tc>
          <w:tcPr>
            <w:tcW w:w="1415" w:type="dxa"/>
            <w:vAlign w:val="center"/>
          </w:tcPr>
          <w:p w14:paraId="6B838C8D">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2D9CBEF6">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07106661">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restart"/>
            <w:vAlign w:val="center"/>
          </w:tcPr>
          <w:p w14:paraId="1DF56CA1">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lang w:eastAsia="zh-CN"/>
              </w:rPr>
            </w:pPr>
            <w:r>
              <w:rPr>
                <w:rFonts w:hint="eastAsia"/>
                <w:spacing w:val="-3"/>
                <w:sz w:val="22"/>
                <w:szCs w:val="22"/>
                <w:lang w:eastAsia="zh-CN"/>
              </w:rPr>
              <w:t>5</w:t>
            </w:r>
          </w:p>
        </w:tc>
      </w:tr>
      <w:tr w14:paraId="795FD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303FECA1">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33</w:t>
            </w:r>
          </w:p>
        </w:tc>
        <w:tc>
          <w:tcPr>
            <w:tcW w:w="1945" w:type="dxa"/>
            <w:vAlign w:val="center"/>
          </w:tcPr>
          <w:p w14:paraId="0F22D929">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铜川运管处</w:t>
            </w:r>
          </w:p>
        </w:tc>
        <w:tc>
          <w:tcPr>
            <w:tcW w:w="1415" w:type="dxa"/>
            <w:vAlign w:val="center"/>
          </w:tcPr>
          <w:p w14:paraId="5842622D">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0E957208">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34FE63B5">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71337E83">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288D8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62A90249">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34</w:t>
            </w:r>
          </w:p>
        </w:tc>
        <w:tc>
          <w:tcPr>
            <w:tcW w:w="1945" w:type="dxa"/>
            <w:vAlign w:val="center"/>
          </w:tcPr>
          <w:p w14:paraId="32CB6B5C">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铜川公路局</w:t>
            </w:r>
          </w:p>
        </w:tc>
        <w:tc>
          <w:tcPr>
            <w:tcW w:w="1415" w:type="dxa"/>
            <w:vAlign w:val="center"/>
          </w:tcPr>
          <w:p w14:paraId="3F968EEC">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35F41F98">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32D6EE99">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368DB6B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59D3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03490526">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35</w:t>
            </w:r>
          </w:p>
        </w:tc>
        <w:tc>
          <w:tcPr>
            <w:tcW w:w="1945" w:type="dxa"/>
            <w:vAlign w:val="center"/>
          </w:tcPr>
          <w:p w14:paraId="2D840A13">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咸阳交通局</w:t>
            </w:r>
          </w:p>
        </w:tc>
        <w:tc>
          <w:tcPr>
            <w:tcW w:w="1415" w:type="dxa"/>
            <w:vAlign w:val="center"/>
          </w:tcPr>
          <w:p w14:paraId="33FCC873">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4027E3D4">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5C03A8ED">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restart"/>
            <w:vAlign w:val="center"/>
          </w:tcPr>
          <w:p w14:paraId="159E683E">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lang w:eastAsia="zh-CN"/>
              </w:rPr>
            </w:pPr>
            <w:r>
              <w:rPr>
                <w:rFonts w:hint="eastAsia"/>
                <w:spacing w:val="-3"/>
                <w:sz w:val="22"/>
                <w:szCs w:val="22"/>
                <w:lang w:eastAsia="zh-CN"/>
              </w:rPr>
              <w:t>5</w:t>
            </w:r>
          </w:p>
        </w:tc>
      </w:tr>
      <w:tr w14:paraId="666D4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54A6700E">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36</w:t>
            </w:r>
          </w:p>
        </w:tc>
        <w:tc>
          <w:tcPr>
            <w:tcW w:w="1945" w:type="dxa"/>
            <w:vAlign w:val="center"/>
          </w:tcPr>
          <w:p w14:paraId="7BDA1DD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咸阳运管处</w:t>
            </w:r>
          </w:p>
        </w:tc>
        <w:tc>
          <w:tcPr>
            <w:tcW w:w="1415" w:type="dxa"/>
            <w:vAlign w:val="center"/>
          </w:tcPr>
          <w:p w14:paraId="069F327B">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7C358DFF">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39800F95">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7966E52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72E9B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17F927FA">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37</w:t>
            </w:r>
          </w:p>
        </w:tc>
        <w:tc>
          <w:tcPr>
            <w:tcW w:w="1945" w:type="dxa"/>
            <w:vAlign w:val="center"/>
          </w:tcPr>
          <w:p w14:paraId="780BF94F">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咸阳公路局</w:t>
            </w:r>
          </w:p>
        </w:tc>
        <w:tc>
          <w:tcPr>
            <w:tcW w:w="1415" w:type="dxa"/>
            <w:vAlign w:val="center"/>
          </w:tcPr>
          <w:p w14:paraId="4BB56F5E">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70290FE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4350BCE0">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3C3B973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54D0D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8" w:hRule="atLeast"/>
        </w:trPr>
        <w:tc>
          <w:tcPr>
            <w:tcW w:w="880" w:type="dxa"/>
            <w:vAlign w:val="center"/>
          </w:tcPr>
          <w:p w14:paraId="75FB886E">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38</w:t>
            </w:r>
          </w:p>
        </w:tc>
        <w:tc>
          <w:tcPr>
            <w:tcW w:w="1945" w:type="dxa"/>
            <w:vAlign w:val="center"/>
          </w:tcPr>
          <w:p w14:paraId="241AF092">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安康交通局</w:t>
            </w:r>
          </w:p>
        </w:tc>
        <w:tc>
          <w:tcPr>
            <w:tcW w:w="1415" w:type="dxa"/>
            <w:vAlign w:val="center"/>
          </w:tcPr>
          <w:p w14:paraId="2E64407D">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6B0EBE3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0F06E0AE">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restart"/>
            <w:vAlign w:val="center"/>
          </w:tcPr>
          <w:p w14:paraId="67D7B5E4">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lang w:eastAsia="zh-CN"/>
              </w:rPr>
            </w:pPr>
            <w:r>
              <w:rPr>
                <w:rFonts w:hint="eastAsia"/>
                <w:spacing w:val="-3"/>
                <w:sz w:val="22"/>
                <w:szCs w:val="22"/>
                <w:lang w:eastAsia="zh-CN"/>
              </w:rPr>
              <w:t>5</w:t>
            </w:r>
          </w:p>
        </w:tc>
      </w:tr>
      <w:tr w14:paraId="1006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117EFDC1">
            <w:pPr>
              <w:pStyle w:val="18"/>
              <w:keepNext w:val="0"/>
              <w:keepLines w:val="0"/>
              <w:pageBreakBefore w:val="0"/>
              <w:widowControl/>
              <w:kinsoku/>
              <w:wordWrap/>
              <w:overflowPunct/>
              <w:topLinePunct w:val="0"/>
              <w:autoSpaceDE/>
              <w:autoSpaceDN/>
              <w:bidi w:val="0"/>
              <w:adjustRightInd/>
              <w:snapToGrid/>
              <w:spacing w:before="127" w:line="420" w:lineRule="exact"/>
              <w:ind w:left="106"/>
              <w:jc w:val="both"/>
              <w:textAlignment w:val="auto"/>
              <w:rPr>
                <w:rFonts w:hint="eastAsia"/>
                <w:spacing w:val="-1"/>
                <w:sz w:val="22"/>
                <w:szCs w:val="22"/>
              </w:rPr>
            </w:pPr>
            <w:r>
              <w:rPr>
                <w:rFonts w:hint="eastAsia"/>
                <w:sz w:val="22"/>
                <w:szCs w:val="22"/>
              </w:rPr>
              <w:t>39</w:t>
            </w:r>
          </w:p>
        </w:tc>
        <w:tc>
          <w:tcPr>
            <w:tcW w:w="1945" w:type="dxa"/>
            <w:vAlign w:val="center"/>
          </w:tcPr>
          <w:p w14:paraId="40E52BA2">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安康运管处</w:t>
            </w:r>
          </w:p>
        </w:tc>
        <w:tc>
          <w:tcPr>
            <w:tcW w:w="1415" w:type="dxa"/>
            <w:vAlign w:val="center"/>
          </w:tcPr>
          <w:p w14:paraId="38CAD72E">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51E5EDFF">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173B1692">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0782D37E">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455D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5275CBF2">
            <w:pPr>
              <w:pStyle w:val="18"/>
              <w:keepNext w:val="0"/>
              <w:keepLines w:val="0"/>
              <w:pageBreakBefore w:val="0"/>
              <w:widowControl/>
              <w:kinsoku/>
              <w:wordWrap/>
              <w:overflowPunct/>
              <w:topLinePunct w:val="0"/>
              <w:autoSpaceDE/>
              <w:autoSpaceDN/>
              <w:bidi w:val="0"/>
              <w:adjustRightInd/>
              <w:snapToGrid/>
              <w:spacing w:before="127" w:line="420" w:lineRule="exact"/>
              <w:ind w:left="101"/>
              <w:jc w:val="both"/>
              <w:textAlignment w:val="auto"/>
              <w:rPr>
                <w:rFonts w:hint="eastAsia"/>
                <w:spacing w:val="-1"/>
                <w:sz w:val="22"/>
                <w:szCs w:val="22"/>
              </w:rPr>
            </w:pPr>
            <w:r>
              <w:rPr>
                <w:rFonts w:hint="eastAsia"/>
                <w:sz w:val="22"/>
                <w:szCs w:val="22"/>
              </w:rPr>
              <w:t>40</w:t>
            </w:r>
          </w:p>
        </w:tc>
        <w:tc>
          <w:tcPr>
            <w:tcW w:w="1945" w:type="dxa"/>
            <w:vAlign w:val="center"/>
          </w:tcPr>
          <w:p w14:paraId="24AD317D">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安康公路局</w:t>
            </w:r>
          </w:p>
        </w:tc>
        <w:tc>
          <w:tcPr>
            <w:tcW w:w="1415" w:type="dxa"/>
            <w:vAlign w:val="center"/>
          </w:tcPr>
          <w:p w14:paraId="2DE15EC0">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013AEAF5">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616E5C39">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Merge w:val="continue"/>
            <w:vAlign w:val="center"/>
          </w:tcPr>
          <w:p w14:paraId="77C403BE">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p>
        </w:tc>
      </w:tr>
      <w:tr w14:paraId="4DFF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80" w:type="dxa"/>
            <w:vAlign w:val="center"/>
          </w:tcPr>
          <w:p w14:paraId="5012AA7F">
            <w:pPr>
              <w:pStyle w:val="18"/>
              <w:keepNext w:val="0"/>
              <w:keepLines w:val="0"/>
              <w:pageBreakBefore w:val="0"/>
              <w:widowControl/>
              <w:kinsoku/>
              <w:wordWrap/>
              <w:overflowPunct/>
              <w:topLinePunct w:val="0"/>
              <w:autoSpaceDE/>
              <w:autoSpaceDN/>
              <w:bidi w:val="0"/>
              <w:adjustRightInd/>
              <w:snapToGrid/>
              <w:spacing w:before="127" w:line="420" w:lineRule="exact"/>
              <w:ind w:left="101"/>
              <w:jc w:val="both"/>
              <w:textAlignment w:val="auto"/>
              <w:rPr>
                <w:rFonts w:hint="eastAsia"/>
                <w:spacing w:val="-1"/>
                <w:sz w:val="22"/>
                <w:szCs w:val="22"/>
              </w:rPr>
            </w:pPr>
            <w:r>
              <w:rPr>
                <w:rFonts w:hint="eastAsia"/>
                <w:sz w:val="22"/>
                <w:szCs w:val="22"/>
              </w:rPr>
              <w:t>41</w:t>
            </w:r>
          </w:p>
        </w:tc>
        <w:tc>
          <w:tcPr>
            <w:tcW w:w="1945" w:type="dxa"/>
            <w:vAlign w:val="center"/>
          </w:tcPr>
          <w:p w14:paraId="395711B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pacing w:val="-1"/>
                <w:sz w:val="22"/>
                <w:szCs w:val="22"/>
              </w:rPr>
              <w:t>杨凌交通局</w:t>
            </w:r>
          </w:p>
        </w:tc>
        <w:tc>
          <w:tcPr>
            <w:tcW w:w="1415" w:type="dxa"/>
            <w:vAlign w:val="center"/>
          </w:tcPr>
          <w:p w14:paraId="6A68E164">
            <w:pPr>
              <w:pStyle w:val="18"/>
              <w:keepNext w:val="0"/>
              <w:keepLines w:val="0"/>
              <w:pageBreakBefore w:val="0"/>
              <w:widowControl/>
              <w:kinsoku/>
              <w:wordWrap/>
              <w:overflowPunct/>
              <w:topLinePunct w:val="0"/>
              <w:autoSpaceDE/>
              <w:autoSpaceDN/>
              <w:bidi w:val="0"/>
              <w:adjustRightInd/>
              <w:snapToGrid/>
              <w:spacing w:before="127" w:line="420" w:lineRule="exact"/>
              <w:ind w:left="109"/>
              <w:jc w:val="both"/>
              <w:textAlignment w:val="auto"/>
              <w:rPr>
                <w:rFonts w:hint="eastAsia"/>
                <w:spacing w:val="-1"/>
                <w:sz w:val="22"/>
                <w:szCs w:val="22"/>
              </w:rPr>
            </w:pPr>
            <w:r>
              <w:rPr>
                <w:rFonts w:hint="eastAsia"/>
                <w:spacing w:val="-7"/>
                <w:sz w:val="22"/>
                <w:szCs w:val="22"/>
              </w:rPr>
              <w:t>20</w:t>
            </w:r>
          </w:p>
        </w:tc>
        <w:tc>
          <w:tcPr>
            <w:tcW w:w="1418" w:type="dxa"/>
            <w:vAlign w:val="center"/>
          </w:tcPr>
          <w:p w14:paraId="66D74C90">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0F512E27">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Align w:val="center"/>
          </w:tcPr>
          <w:p w14:paraId="054D4533">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lang w:eastAsia="zh-CN"/>
              </w:rPr>
            </w:pPr>
            <w:r>
              <w:rPr>
                <w:rFonts w:hint="eastAsia"/>
                <w:spacing w:val="-3"/>
                <w:sz w:val="22"/>
                <w:szCs w:val="22"/>
                <w:lang w:eastAsia="zh-CN"/>
              </w:rPr>
              <w:t>0</w:t>
            </w:r>
          </w:p>
        </w:tc>
      </w:tr>
      <w:tr w14:paraId="345D9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80" w:type="dxa"/>
            <w:vAlign w:val="center"/>
          </w:tcPr>
          <w:p w14:paraId="38ACDD46">
            <w:pPr>
              <w:pStyle w:val="18"/>
              <w:keepNext w:val="0"/>
              <w:keepLines w:val="0"/>
              <w:pageBreakBefore w:val="0"/>
              <w:widowControl/>
              <w:kinsoku/>
              <w:wordWrap/>
              <w:overflowPunct/>
              <w:topLinePunct w:val="0"/>
              <w:autoSpaceDE/>
              <w:autoSpaceDN/>
              <w:bidi w:val="0"/>
              <w:adjustRightInd/>
              <w:snapToGrid/>
              <w:spacing w:before="127" w:line="420" w:lineRule="exact"/>
              <w:ind w:left="97"/>
              <w:jc w:val="both"/>
              <w:textAlignment w:val="auto"/>
              <w:rPr>
                <w:rFonts w:hint="eastAsia"/>
                <w:spacing w:val="-1"/>
                <w:sz w:val="22"/>
                <w:szCs w:val="22"/>
              </w:rPr>
            </w:pPr>
            <w:r>
              <w:rPr>
                <w:rFonts w:hint="eastAsia"/>
                <w:sz w:val="22"/>
                <w:szCs w:val="22"/>
              </w:rPr>
              <w:t>42</w:t>
            </w:r>
          </w:p>
        </w:tc>
        <w:tc>
          <w:tcPr>
            <w:tcW w:w="1945" w:type="dxa"/>
            <w:vAlign w:val="center"/>
          </w:tcPr>
          <w:p w14:paraId="611ADCAF">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r>
              <w:rPr>
                <w:rFonts w:hint="eastAsia"/>
                <w:sz w:val="22"/>
                <w:szCs w:val="22"/>
              </w:rPr>
              <w:t>韩城交通局</w:t>
            </w:r>
          </w:p>
        </w:tc>
        <w:tc>
          <w:tcPr>
            <w:tcW w:w="1415" w:type="dxa"/>
            <w:vAlign w:val="center"/>
          </w:tcPr>
          <w:p w14:paraId="4067C3A5">
            <w:pPr>
              <w:pStyle w:val="18"/>
              <w:keepNext w:val="0"/>
              <w:keepLines w:val="0"/>
              <w:pageBreakBefore w:val="0"/>
              <w:widowControl/>
              <w:kinsoku/>
              <w:wordWrap/>
              <w:overflowPunct/>
              <w:topLinePunct w:val="0"/>
              <w:autoSpaceDE/>
              <w:autoSpaceDN/>
              <w:bidi w:val="0"/>
              <w:adjustRightInd/>
              <w:snapToGrid/>
              <w:spacing w:before="127" w:line="420" w:lineRule="exact"/>
              <w:ind w:left="110"/>
              <w:jc w:val="both"/>
              <w:textAlignment w:val="auto"/>
              <w:rPr>
                <w:rFonts w:hint="eastAsia"/>
                <w:spacing w:val="-1"/>
                <w:sz w:val="22"/>
                <w:szCs w:val="22"/>
              </w:rPr>
            </w:pPr>
            <w:r>
              <w:rPr>
                <w:rFonts w:hint="eastAsia"/>
                <w:spacing w:val="-7"/>
                <w:sz w:val="22"/>
                <w:szCs w:val="22"/>
              </w:rPr>
              <w:t>20</w:t>
            </w:r>
          </w:p>
        </w:tc>
        <w:tc>
          <w:tcPr>
            <w:tcW w:w="1418" w:type="dxa"/>
            <w:vAlign w:val="center"/>
          </w:tcPr>
          <w:p w14:paraId="354E7DD1">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rPr>
            </w:pPr>
          </w:p>
        </w:tc>
        <w:tc>
          <w:tcPr>
            <w:tcW w:w="1418" w:type="dxa"/>
            <w:vAlign w:val="center"/>
          </w:tcPr>
          <w:p w14:paraId="0464CA9A">
            <w:pPr>
              <w:pStyle w:val="18"/>
              <w:keepNext w:val="0"/>
              <w:keepLines w:val="0"/>
              <w:pageBreakBefore w:val="0"/>
              <w:widowControl/>
              <w:kinsoku/>
              <w:wordWrap/>
              <w:overflowPunct/>
              <w:topLinePunct w:val="0"/>
              <w:autoSpaceDE/>
              <w:autoSpaceDN/>
              <w:bidi w:val="0"/>
              <w:adjustRightInd/>
              <w:snapToGrid/>
              <w:spacing w:before="127" w:line="420" w:lineRule="exact"/>
              <w:ind w:left="112"/>
              <w:jc w:val="both"/>
              <w:textAlignment w:val="auto"/>
              <w:rPr>
                <w:rFonts w:hint="eastAsia"/>
                <w:spacing w:val="-1"/>
                <w:sz w:val="22"/>
                <w:szCs w:val="22"/>
              </w:rPr>
            </w:pPr>
            <w:r>
              <w:rPr>
                <w:rFonts w:hint="eastAsia"/>
                <w:spacing w:val="-7"/>
                <w:sz w:val="22"/>
                <w:szCs w:val="22"/>
              </w:rPr>
              <w:t>20</w:t>
            </w:r>
          </w:p>
        </w:tc>
        <w:tc>
          <w:tcPr>
            <w:tcW w:w="1301" w:type="dxa"/>
            <w:vAlign w:val="center"/>
          </w:tcPr>
          <w:p w14:paraId="78112995">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lang w:eastAsia="zh-CN"/>
              </w:rPr>
            </w:pPr>
            <w:r>
              <w:rPr>
                <w:rFonts w:hint="eastAsia"/>
                <w:spacing w:val="-3"/>
                <w:sz w:val="22"/>
                <w:szCs w:val="22"/>
                <w:lang w:eastAsia="zh-CN"/>
              </w:rPr>
              <w:t>0</w:t>
            </w:r>
          </w:p>
        </w:tc>
      </w:tr>
    </w:tbl>
    <w:p w14:paraId="36FDDE2C">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1"/>
          <w:sz w:val="22"/>
          <w:szCs w:val="22"/>
        </w:rPr>
        <w:t>2.互联网融合</w:t>
      </w:r>
    </w:p>
    <w:p w14:paraId="5E0E5B45">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2"/>
          <w:sz w:val="22"/>
          <w:szCs w:val="22"/>
        </w:rPr>
        <w:t>要求各接入单位互联网出口带宽并入专网线路，访问必须从各地市汇聚节点统一</w:t>
      </w:r>
      <w:r>
        <w:rPr>
          <w:rFonts w:hint="eastAsia"/>
          <w:spacing w:val="1"/>
          <w:sz w:val="22"/>
          <w:szCs w:val="22"/>
        </w:rPr>
        <w:t>互联网出口接入，地</w:t>
      </w:r>
      <w:r>
        <w:rPr>
          <w:rFonts w:hint="eastAsia"/>
          <w:spacing w:val="2"/>
          <w:sz w:val="22"/>
          <w:szCs w:val="22"/>
        </w:rPr>
        <w:t>市汇聚节点统一互联网出口带宽为各接入单位原互联线路带宽之和，专网及相关外网服务器</w:t>
      </w:r>
      <w:r>
        <w:rPr>
          <w:rFonts w:hint="eastAsia"/>
          <w:sz w:val="22"/>
          <w:szCs w:val="22"/>
        </w:rPr>
        <w:t>IP</w:t>
      </w:r>
      <w:r>
        <w:rPr>
          <w:rFonts w:hint="eastAsia"/>
          <w:spacing w:val="2"/>
          <w:sz w:val="22"/>
          <w:szCs w:val="22"/>
        </w:rPr>
        <w:t>地址需要进行重新规划设计分配，网络拓扑见总体结构部分网络拓扑图。省级汇</w:t>
      </w:r>
      <w:r>
        <w:rPr>
          <w:rFonts w:hint="eastAsia"/>
          <w:spacing w:val="1"/>
          <w:sz w:val="22"/>
          <w:szCs w:val="22"/>
        </w:rPr>
        <w:t>聚节点需提供64个连续的实</w:t>
      </w:r>
      <w:r>
        <w:rPr>
          <w:rFonts w:hint="eastAsia"/>
          <w:sz w:val="22"/>
          <w:szCs w:val="22"/>
        </w:rPr>
        <w:t>IP</w:t>
      </w:r>
      <w:r>
        <w:rPr>
          <w:rFonts w:hint="eastAsia"/>
          <w:spacing w:val="2"/>
          <w:sz w:val="22"/>
          <w:szCs w:val="22"/>
        </w:rPr>
        <w:t>，每个市级汇聚节点提供16个连续的实</w:t>
      </w:r>
      <w:r>
        <w:rPr>
          <w:rFonts w:hint="eastAsia"/>
          <w:sz w:val="22"/>
          <w:szCs w:val="22"/>
        </w:rPr>
        <w:t>IP</w:t>
      </w:r>
      <w:r>
        <w:rPr>
          <w:rFonts w:hint="eastAsia"/>
          <w:spacing w:val="2"/>
          <w:sz w:val="22"/>
          <w:szCs w:val="22"/>
        </w:rPr>
        <w:t>，并配</w:t>
      </w:r>
      <w:r>
        <w:rPr>
          <w:rFonts w:hint="eastAsia"/>
          <w:spacing w:val="1"/>
          <w:sz w:val="22"/>
          <w:szCs w:val="22"/>
        </w:rPr>
        <w:t>合各单位完成</w:t>
      </w:r>
      <w:r>
        <w:rPr>
          <w:rFonts w:hint="eastAsia"/>
          <w:sz w:val="22"/>
          <w:szCs w:val="22"/>
        </w:rPr>
        <w:t>IP</w:t>
      </w:r>
      <w:r>
        <w:rPr>
          <w:rFonts w:hint="eastAsia"/>
          <w:spacing w:val="1"/>
          <w:sz w:val="22"/>
          <w:szCs w:val="22"/>
        </w:rPr>
        <w:t>地址的调整。</w:t>
      </w:r>
    </w:p>
    <w:p w14:paraId="245448BA">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1"/>
          <w:sz w:val="22"/>
          <w:szCs w:val="22"/>
        </w:rPr>
        <w:t>3.汇聚节点环境</w:t>
      </w:r>
    </w:p>
    <w:p w14:paraId="0C8C957F">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2"/>
          <w:sz w:val="22"/>
          <w:szCs w:val="22"/>
        </w:rPr>
        <w:t>要求供应商提供机房环境，作为陕西省交通行业专网地市汇聚点，放置项目涉及</w:t>
      </w:r>
      <w:r>
        <w:rPr>
          <w:rFonts w:hint="eastAsia"/>
          <w:spacing w:val="1"/>
          <w:sz w:val="22"/>
          <w:szCs w:val="22"/>
        </w:rPr>
        <w:t>的传输设备、路由器</w:t>
      </w:r>
      <w:r>
        <w:rPr>
          <w:rFonts w:hint="eastAsia"/>
          <w:sz w:val="22"/>
          <w:szCs w:val="22"/>
        </w:rPr>
        <w:t>及防火墙等设备。</w:t>
      </w:r>
    </w:p>
    <w:p w14:paraId="3894ABCF">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z w:val="22"/>
          <w:szCs w:val="22"/>
        </w:rPr>
        <w:t>4.网管监控平台</w:t>
      </w:r>
    </w:p>
    <w:p w14:paraId="5C33DFE5">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2"/>
          <w:sz w:val="22"/>
          <w:szCs w:val="22"/>
        </w:rPr>
        <w:t>供应商需提供二级以上分支机构（市级）网管系统，能够提供路由器、传输线路等</w:t>
      </w:r>
      <w:r>
        <w:rPr>
          <w:rFonts w:hint="eastAsia"/>
          <w:spacing w:val="1"/>
          <w:sz w:val="22"/>
          <w:szCs w:val="22"/>
        </w:rPr>
        <w:t>监控，可监控、管理到设备端口,并提供短信、邮件等告警服务。</w:t>
      </w:r>
    </w:p>
    <w:p w14:paraId="36038EB8">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2"/>
          <w:sz w:val="22"/>
          <w:szCs w:val="22"/>
        </w:rPr>
        <w:t>5.工作界面</w:t>
      </w:r>
    </w:p>
    <w:p w14:paraId="2DECF357">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2"/>
          <w:sz w:val="22"/>
          <w:szCs w:val="22"/>
        </w:rPr>
        <w:t>省市各机构网点交换机上行网络设备由供应商提供，交换机及以下设备和维</w:t>
      </w:r>
      <w:r>
        <w:rPr>
          <w:rFonts w:hint="eastAsia"/>
          <w:spacing w:val="1"/>
          <w:sz w:val="22"/>
          <w:szCs w:val="22"/>
        </w:rPr>
        <w:t>护由采购人负责，并提供</w:t>
      </w:r>
      <w:r>
        <w:rPr>
          <w:rFonts w:hint="eastAsia"/>
          <w:sz w:val="22"/>
          <w:szCs w:val="22"/>
        </w:rPr>
        <w:t>配套机房环境。</w:t>
      </w:r>
    </w:p>
    <w:p w14:paraId="70112E94">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1"/>
          <w:sz w:val="22"/>
          <w:szCs w:val="22"/>
        </w:rPr>
        <w:t>3.4.2技术要求</w:t>
      </w:r>
    </w:p>
    <w:p w14:paraId="6DB20D6D">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3"/>
          <w:sz w:val="22"/>
          <w:szCs w:val="22"/>
        </w:rPr>
      </w:pPr>
      <w:r>
        <w:rPr>
          <w:rFonts w:hint="eastAsia"/>
          <w:spacing w:val="-3"/>
          <w:sz w:val="22"/>
          <w:szCs w:val="22"/>
        </w:rPr>
        <w:t>1.总体结构</w:t>
      </w:r>
    </w:p>
    <w:p w14:paraId="1C57D6D5">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3"/>
          <w:sz w:val="22"/>
          <w:szCs w:val="22"/>
        </w:rPr>
      </w:pPr>
      <w:r>
        <w:rPr>
          <w:rFonts w:hint="eastAsia"/>
          <w:position w:val="-91"/>
          <w:sz w:val="22"/>
          <w:szCs w:val="22"/>
        </w:rPr>
        <w:drawing>
          <wp:anchor distT="0" distB="0" distL="0" distR="0" simplePos="0" relativeHeight="251659264" behindDoc="1" locked="0" layoutInCell="1" allowOverlap="1">
            <wp:simplePos x="0" y="0"/>
            <wp:positionH relativeFrom="column">
              <wp:posOffset>41910</wp:posOffset>
            </wp:positionH>
            <wp:positionV relativeFrom="paragraph">
              <wp:posOffset>216535</wp:posOffset>
            </wp:positionV>
            <wp:extent cx="3497580" cy="1468755"/>
            <wp:effectExtent l="0" t="0" r="26670" b="0"/>
            <wp:wrapTight wrapText="bothSides">
              <wp:wrapPolygon>
                <wp:start x="0" y="0"/>
                <wp:lineTo x="0" y="21292"/>
                <wp:lineTo x="21529" y="21292"/>
                <wp:lineTo x="21529" y="0"/>
                <wp:lineTo x="0" y="0"/>
              </wp:wrapPolygon>
            </wp:wrapTight>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5"/>
                    <a:stretch>
                      <a:fillRect/>
                    </a:stretch>
                  </pic:blipFill>
                  <pic:spPr>
                    <a:xfrm>
                      <a:off x="0" y="0"/>
                      <a:ext cx="3497580" cy="1468755"/>
                    </a:xfrm>
                    <a:prstGeom prst="rect">
                      <a:avLst/>
                    </a:prstGeom>
                  </pic:spPr>
                </pic:pic>
              </a:graphicData>
            </a:graphic>
          </wp:anchor>
        </w:drawing>
      </w:r>
    </w:p>
    <w:p w14:paraId="216B848A">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rPr>
      </w:pPr>
    </w:p>
    <w:p w14:paraId="475B421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rPr>
      </w:pPr>
    </w:p>
    <w:p w14:paraId="30C05BDB">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rPr>
      </w:pPr>
    </w:p>
    <w:p w14:paraId="62414E4A">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rPr>
      </w:pPr>
    </w:p>
    <w:p w14:paraId="24619435">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2"/>
          <w:sz w:val="22"/>
          <w:szCs w:val="22"/>
        </w:rPr>
        <w:t>陕西省交通行业专网是全省交通信息化建设的网络</w:t>
      </w:r>
      <w:r>
        <w:rPr>
          <w:rFonts w:hint="eastAsia"/>
          <w:spacing w:val="1"/>
          <w:sz w:val="22"/>
          <w:szCs w:val="22"/>
        </w:rPr>
        <w:t>基础设施，建成以省交通运输厅为总汇聚中心、各</w:t>
      </w:r>
      <w:r>
        <w:rPr>
          <w:rFonts w:hint="eastAsia"/>
          <w:spacing w:val="2"/>
          <w:sz w:val="22"/>
          <w:szCs w:val="22"/>
        </w:rPr>
        <w:t>市交通运输局为二级汇聚中心，连接省、市</w:t>
      </w:r>
      <w:r>
        <w:rPr>
          <w:rFonts w:hint="eastAsia"/>
          <w:spacing w:val="1"/>
          <w:sz w:val="22"/>
          <w:szCs w:val="22"/>
        </w:rPr>
        <w:t>、县三级交通管理部门的广域网络。</w:t>
      </w:r>
    </w:p>
    <w:p w14:paraId="7F8ED0D7">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2.链路要求</w:t>
      </w:r>
    </w:p>
    <w:p w14:paraId="36B12E85">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lang w:eastAsia="zh-CN"/>
        </w:rPr>
      </w:pPr>
      <w:r>
        <w:rPr>
          <w:rFonts w:hint="eastAsia"/>
          <w:spacing w:val="-2"/>
          <w:sz w:val="22"/>
          <w:szCs w:val="22"/>
          <w:lang w:eastAsia="zh-CN"/>
        </w:rPr>
        <w:t>（1）宽带要求详见项目需求</w:t>
      </w:r>
    </w:p>
    <w:p w14:paraId="2EADE4E9">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z w:val="22"/>
          <w:szCs w:val="22"/>
        </w:rPr>
        <w:t>（2）技术指标要求</w:t>
      </w:r>
    </w:p>
    <w:p w14:paraId="5D397C47">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1"/>
          <w:sz w:val="22"/>
          <w:szCs w:val="22"/>
        </w:rPr>
        <w:t>提供7*24小时故障申告热线，故障申告后30分钟内响应，4小时内故障处理解决。</w:t>
      </w:r>
    </w:p>
    <w:p w14:paraId="1C233963">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3"/>
          <w:sz w:val="22"/>
          <w:szCs w:val="22"/>
          <w:highlight w:val="cyan"/>
          <w:vertAlign w:val="baseline"/>
          <w:lang w:val="en-US" w:eastAsia="zh-CN"/>
        </w:rPr>
      </w:pPr>
      <w:r>
        <w:rPr>
          <w:rFonts w:hint="eastAsia"/>
          <w:spacing w:val="-3"/>
          <w:sz w:val="22"/>
          <w:szCs w:val="22"/>
        </w:rPr>
        <w:t>平均丢帧率低</w:t>
      </w:r>
      <w:r>
        <w:rPr>
          <w:rFonts w:hint="eastAsia"/>
          <w:spacing w:val="-3"/>
          <w:sz w:val="22"/>
          <w:szCs w:val="22"/>
          <w:highlight w:val="none"/>
        </w:rPr>
        <w:t>于</w:t>
      </w:r>
      <w:r>
        <w:rPr>
          <w:rFonts w:hint="eastAsia"/>
          <w:spacing w:val="-3"/>
          <w:sz w:val="22"/>
          <w:szCs w:val="22"/>
          <w:highlight w:val="none"/>
          <w:lang w:val="en-US" w:eastAsia="zh-CN"/>
        </w:rPr>
        <w:t>10</w:t>
      </w:r>
      <w:r>
        <w:rPr>
          <w:rFonts w:hint="eastAsia"/>
          <w:spacing w:val="-3"/>
          <w:sz w:val="22"/>
          <w:szCs w:val="22"/>
          <w:highlight w:val="none"/>
          <w:vertAlign w:val="superscript"/>
          <w:lang w:val="en-US" w:eastAsia="zh-CN"/>
        </w:rPr>
        <w:t>-7</w:t>
      </w:r>
      <w:r>
        <w:rPr>
          <w:rFonts w:hint="eastAsia"/>
          <w:spacing w:val="-3"/>
          <w:sz w:val="22"/>
          <w:szCs w:val="22"/>
          <w:highlight w:val="none"/>
          <w:vertAlign w:val="baseline"/>
          <w:lang w:val="en-US" w:eastAsia="zh-CN"/>
        </w:rPr>
        <w:t>。</w:t>
      </w:r>
    </w:p>
    <w:p w14:paraId="10DEECBF">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z w:val="22"/>
          <w:szCs w:val="22"/>
        </w:rPr>
        <w:t>时延小于等于80ms。</w:t>
      </w:r>
    </w:p>
    <w:p w14:paraId="3CD1D2C0">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4"/>
          <w:sz w:val="22"/>
          <w:szCs w:val="22"/>
        </w:rPr>
      </w:pPr>
      <w:r>
        <w:rPr>
          <w:rFonts w:hint="eastAsia"/>
          <w:spacing w:val="4"/>
          <w:sz w:val="22"/>
          <w:szCs w:val="22"/>
        </w:rPr>
        <w:t>承诺带宽与测试值误差应小于1%。</w:t>
      </w:r>
    </w:p>
    <w:p w14:paraId="4A6A53FF">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4"/>
          <w:sz w:val="22"/>
          <w:szCs w:val="22"/>
        </w:rPr>
        <w:t>要求运营商提供的线路技术为：</w:t>
      </w:r>
      <w:r>
        <w:rPr>
          <w:rFonts w:hint="eastAsia"/>
          <w:sz w:val="22"/>
          <w:szCs w:val="22"/>
        </w:rPr>
        <w:t>IPRAN</w:t>
      </w:r>
      <w:r>
        <w:rPr>
          <w:rFonts w:hint="eastAsia"/>
          <w:spacing w:val="4"/>
          <w:sz w:val="22"/>
          <w:szCs w:val="22"/>
        </w:rPr>
        <w:t>或</w:t>
      </w:r>
      <w:r>
        <w:rPr>
          <w:rFonts w:hint="eastAsia"/>
          <w:sz w:val="22"/>
          <w:szCs w:val="22"/>
        </w:rPr>
        <w:t>PTN</w:t>
      </w:r>
      <w:r>
        <w:rPr>
          <w:rFonts w:hint="eastAsia"/>
          <w:spacing w:val="4"/>
          <w:sz w:val="22"/>
          <w:szCs w:val="22"/>
        </w:rPr>
        <w:t>。</w:t>
      </w:r>
    </w:p>
    <w:p w14:paraId="32EA7C37">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z w:val="22"/>
          <w:szCs w:val="22"/>
        </w:rPr>
        <w:t>（3）专网与互联网带宽互不占用</w:t>
      </w:r>
    </w:p>
    <w:p w14:paraId="2054BC0C">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1"/>
          <w:sz w:val="22"/>
          <w:szCs w:val="22"/>
        </w:rPr>
        <w:t>专网网络带宽和互联网网络带宽相互独立、互不占用。</w:t>
      </w:r>
    </w:p>
    <w:p w14:paraId="4923CEF1">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1"/>
          <w:sz w:val="22"/>
          <w:szCs w:val="22"/>
        </w:rPr>
        <w:t>区县网络保持原状，只含专网带宽，互联网接入不在本次项目实施范围内。</w:t>
      </w:r>
    </w:p>
    <w:p w14:paraId="4BD74739">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z w:val="22"/>
          <w:szCs w:val="22"/>
        </w:rPr>
        <w:t>（4）网络监控平台</w:t>
      </w:r>
    </w:p>
    <w:p w14:paraId="69AABA50">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2"/>
          <w:sz w:val="22"/>
          <w:szCs w:val="22"/>
        </w:rPr>
        <w:t>供应商需提供二级以上分支机构（市级）网管系统，能够提供路由器、传输线路等</w:t>
      </w:r>
      <w:r>
        <w:rPr>
          <w:rFonts w:hint="eastAsia"/>
          <w:spacing w:val="1"/>
          <w:sz w:val="22"/>
          <w:szCs w:val="22"/>
        </w:rPr>
        <w:t>监控，可监控、管</w:t>
      </w:r>
      <w:r>
        <w:rPr>
          <w:rFonts w:hint="eastAsia"/>
          <w:spacing w:val="2"/>
          <w:sz w:val="22"/>
          <w:szCs w:val="22"/>
        </w:rPr>
        <w:t>理到设备端口,查看设备、链路实时运行情况，同时提供基于多途</w:t>
      </w:r>
      <w:r>
        <w:rPr>
          <w:rFonts w:hint="eastAsia"/>
          <w:spacing w:val="1"/>
          <w:sz w:val="22"/>
          <w:szCs w:val="22"/>
        </w:rPr>
        <w:t>径的流量监控服务，并提供短信、</w:t>
      </w:r>
      <w:r>
        <w:rPr>
          <w:rFonts w:hint="eastAsia"/>
          <w:spacing w:val="-2"/>
          <w:sz w:val="22"/>
          <w:szCs w:val="22"/>
        </w:rPr>
        <w:t>邮件等告警服务。</w:t>
      </w:r>
    </w:p>
    <w:p w14:paraId="5816FB7D">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3.设备要求</w:t>
      </w:r>
    </w:p>
    <w:tbl>
      <w:tblPr>
        <w:tblStyle w:val="12"/>
        <w:tblW w:w="84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729"/>
        <w:gridCol w:w="6214"/>
        <w:gridCol w:w="495"/>
        <w:gridCol w:w="495"/>
      </w:tblGrid>
      <w:tr w14:paraId="1938C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503" w:type="dxa"/>
            <w:vAlign w:val="center"/>
          </w:tcPr>
          <w:p w14:paraId="1AFA6F58">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lang w:eastAsia="zh-CN"/>
              </w:rPr>
            </w:pPr>
            <w:r>
              <w:rPr>
                <w:rFonts w:hint="eastAsia"/>
                <w:spacing w:val="-2"/>
                <w:sz w:val="22"/>
                <w:szCs w:val="22"/>
                <w:lang w:eastAsia="zh-CN"/>
              </w:rPr>
              <w:t>序号</w:t>
            </w:r>
          </w:p>
        </w:tc>
        <w:tc>
          <w:tcPr>
            <w:tcW w:w="729" w:type="dxa"/>
            <w:vAlign w:val="center"/>
          </w:tcPr>
          <w:p w14:paraId="4C6CE465">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lang w:eastAsia="zh-CN"/>
              </w:rPr>
            </w:pPr>
            <w:r>
              <w:rPr>
                <w:rFonts w:hint="eastAsia"/>
                <w:spacing w:val="-2"/>
                <w:sz w:val="22"/>
                <w:szCs w:val="22"/>
                <w:lang w:eastAsia="zh-CN"/>
              </w:rPr>
              <w:t>设备名称</w:t>
            </w:r>
          </w:p>
        </w:tc>
        <w:tc>
          <w:tcPr>
            <w:tcW w:w="6214" w:type="dxa"/>
            <w:vAlign w:val="center"/>
          </w:tcPr>
          <w:p w14:paraId="0529FFA6">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lang w:eastAsia="zh-CN"/>
              </w:rPr>
            </w:pPr>
            <w:r>
              <w:rPr>
                <w:rFonts w:hint="eastAsia"/>
                <w:spacing w:val="-2"/>
                <w:sz w:val="22"/>
                <w:szCs w:val="22"/>
                <w:lang w:eastAsia="zh-CN"/>
              </w:rPr>
              <w:t>技术建议参数</w:t>
            </w:r>
          </w:p>
        </w:tc>
        <w:tc>
          <w:tcPr>
            <w:tcW w:w="495" w:type="dxa"/>
            <w:vAlign w:val="center"/>
          </w:tcPr>
          <w:p w14:paraId="7E371D95">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lang w:eastAsia="zh-CN"/>
              </w:rPr>
            </w:pPr>
            <w:r>
              <w:rPr>
                <w:rFonts w:hint="eastAsia"/>
                <w:spacing w:val="-2"/>
                <w:sz w:val="22"/>
                <w:szCs w:val="22"/>
                <w:lang w:eastAsia="zh-CN"/>
              </w:rPr>
              <w:t>单位</w:t>
            </w:r>
          </w:p>
        </w:tc>
        <w:tc>
          <w:tcPr>
            <w:tcW w:w="495" w:type="dxa"/>
            <w:vAlign w:val="center"/>
          </w:tcPr>
          <w:p w14:paraId="233E1100">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lang w:eastAsia="zh-CN"/>
              </w:rPr>
            </w:pPr>
            <w:r>
              <w:rPr>
                <w:rFonts w:hint="eastAsia"/>
                <w:spacing w:val="-2"/>
                <w:sz w:val="22"/>
                <w:szCs w:val="22"/>
                <w:lang w:eastAsia="zh-CN"/>
              </w:rPr>
              <w:t>数量</w:t>
            </w:r>
          </w:p>
        </w:tc>
      </w:tr>
      <w:tr w14:paraId="52222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503" w:type="dxa"/>
            <w:vAlign w:val="center"/>
          </w:tcPr>
          <w:p w14:paraId="5ECF1B60">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pacing w:val="-2"/>
                <w:sz w:val="22"/>
                <w:szCs w:val="22"/>
              </w:rPr>
            </w:pPr>
            <w:r>
              <w:rPr>
                <w:rFonts w:hint="eastAsia"/>
                <w:sz w:val="22"/>
                <w:szCs w:val="22"/>
              </w:rPr>
              <w:t>1</w:t>
            </w:r>
          </w:p>
        </w:tc>
        <w:tc>
          <w:tcPr>
            <w:tcW w:w="729" w:type="dxa"/>
            <w:textDirection w:val="tbRlV"/>
            <w:vAlign w:val="center"/>
          </w:tcPr>
          <w:p w14:paraId="1D4BDE18">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rPr>
            </w:pPr>
            <w:r>
              <w:rPr>
                <w:rFonts w:hint="eastAsia"/>
                <w:spacing w:val="1"/>
                <w:sz w:val="22"/>
                <w:szCs w:val="22"/>
              </w:rPr>
              <w:t>地市级入侵防御系统</w:t>
            </w:r>
          </w:p>
        </w:tc>
        <w:tc>
          <w:tcPr>
            <w:tcW w:w="6214" w:type="dxa"/>
            <w:vAlign w:val="center"/>
          </w:tcPr>
          <w:p w14:paraId="4D64F5B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z w:val="22"/>
                <w:szCs w:val="22"/>
              </w:rPr>
            </w:pPr>
            <w:r>
              <w:rPr>
                <w:rFonts w:hint="eastAsia"/>
                <w:spacing w:val="1"/>
                <w:sz w:val="22"/>
                <w:szCs w:val="22"/>
              </w:rPr>
              <w:t>1)网络层吞吐量≥10</w:t>
            </w:r>
            <w:r>
              <w:rPr>
                <w:rFonts w:hint="eastAsia"/>
                <w:sz w:val="22"/>
                <w:szCs w:val="22"/>
              </w:rPr>
              <w:t>Gbps</w:t>
            </w:r>
            <w:r>
              <w:rPr>
                <w:rFonts w:hint="eastAsia"/>
                <w:spacing w:val="1"/>
                <w:sz w:val="22"/>
                <w:szCs w:val="22"/>
              </w:rPr>
              <w:t>，</w:t>
            </w:r>
            <w:r>
              <w:rPr>
                <w:rFonts w:hint="eastAsia"/>
                <w:sz w:val="22"/>
                <w:szCs w:val="22"/>
              </w:rPr>
              <w:t>IPS</w:t>
            </w:r>
            <w:r>
              <w:rPr>
                <w:rFonts w:hint="eastAsia"/>
                <w:spacing w:val="1"/>
                <w:sz w:val="22"/>
                <w:szCs w:val="22"/>
              </w:rPr>
              <w:t>吞吐量≥6</w:t>
            </w:r>
            <w:r>
              <w:rPr>
                <w:rFonts w:hint="eastAsia"/>
                <w:sz w:val="22"/>
                <w:szCs w:val="22"/>
              </w:rPr>
              <w:t>Gbps</w:t>
            </w:r>
            <w:r>
              <w:rPr>
                <w:rFonts w:hint="eastAsia"/>
                <w:spacing w:val="1"/>
                <w:sz w:val="22"/>
                <w:szCs w:val="22"/>
              </w:rPr>
              <w:t>，适应带宽≥5</w:t>
            </w:r>
            <w:r>
              <w:rPr>
                <w:rFonts w:hint="eastAsia"/>
                <w:sz w:val="22"/>
                <w:szCs w:val="22"/>
              </w:rPr>
              <w:t>Gbps</w:t>
            </w:r>
            <w:r>
              <w:rPr>
                <w:rFonts w:hint="eastAsia"/>
                <w:spacing w:val="1"/>
                <w:sz w:val="22"/>
                <w:szCs w:val="22"/>
              </w:rPr>
              <w:t>，最大并</w:t>
            </w:r>
            <w:r>
              <w:rPr>
                <w:rFonts w:hint="eastAsia"/>
                <w:sz w:val="22"/>
                <w:szCs w:val="22"/>
              </w:rPr>
              <w:t>发连接数≥200万，每秒新建连接数≥10万/</w:t>
            </w:r>
            <w:r>
              <w:rPr>
                <w:rFonts w:hint="eastAsia"/>
                <w:spacing w:val="-1"/>
                <w:sz w:val="22"/>
                <w:szCs w:val="22"/>
              </w:rPr>
              <w:t>秒。标准2U机箱，支持液晶面板，</w:t>
            </w:r>
          </w:p>
          <w:p w14:paraId="7CDC2DF6">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z w:val="22"/>
                <w:szCs w:val="22"/>
              </w:rPr>
            </w:pPr>
            <w:r>
              <w:rPr>
                <w:rFonts w:hint="eastAsia"/>
                <w:spacing w:val="1"/>
                <w:sz w:val="22"/>
                <w:szCs w:val="22"/>
              </w:rPr>
              <w:t>内置≥1</w:t>
            </w:r>
            <w:r>
              <w:rPr>
                <w:rFonts w:hint="eastAsia"/>
                <w:sz w:val="22"/>
                <w:szCs w:val="22"/>
              </w:rPr>
              <w:t>TB</w:t>
            </w:r>
            <w:r>
              <w:rPr>
                <w:rFonts w:hint="eastAsia"/>
                <w:spacing w:val="1"/>
                <w:sz w:val="22"/>
                <w:szCs w:val="22"/>
              </w:rPr>
              <w:t>硬盘，冗余电源，具备1个</w:t>
            </w:r>
            <w:r>
              <w:rPr>
                <w:rFonts w:hint="eastAsia"/>
                <w:sz w:val="22"/>
                <w:szCs w:val="22"/>
              </w:rPr>
              <w:t>HA</w:t>
            </w:r>
            <w:r>
              <w:rPr>
                <w:rFonts w:hint="eastAsia"/>
                <w:spacing w:val="1"/>
                <w:sz w:val="22"/>
                <w:szCs w:val="22"/>
              </w:rPr>
              <w:t>口和1个管理口，≥8</w:t>
            </w:r>
            <w:r>
              <w:rPr>
                <w:rFonts w:hint="eastAsia"/>
                <w:sz w:val="22"/>
                <w:szCs w:val="22"/>
              </w:rPr>
              <w:t>个千兆电口扩展</w:t>
            </w:r>
            <w:r>
              <w:rPr>
                <w:rFonts w:hint="eastAsia"/>
                <w:spacing w:val="3"/>
                <w:sz w:val="22"/>
                <w:szCs w:val="22"/>
              </w:rPr>
              <w:t>板卡（4组</w:t>
            </w:r>
            <w:r>
              <w:rPr>
                <w:rFonts w:hint="eastAsia"/>
                <w:sz w:val="22"/>
                <w:szCs w:val="22"/>
              </w:rPr>
              <w:t>bypass</w:t>
            </w:r>
            <w:r>
              <w:rPr>
                <w:rFonts w:hint="eastAsia"/>
                <w:spacing w:val="3"/>
                <w:sz w:val="22"/>
                <w:szCs w:val="22"/>
              </w:rPr>
              <w:t>功能</w:t>
            </w:r>
            <w:r>
              <w:rPr>
                <w:rFonts w:hint="eastAsia"/>
                <w:spacing w:val="2"/>
                <w:sz w:val="22"/>
                <w:szCs w:val="22"/>
              </w:rPr>
              <w:t>），</w:t>
            </w:r>
            <w:r>
              <w:rPr>
                <w:rFonts w:hint="eastAsia"/>
                <w:spacing w:val="3"/>
                <w:sz w:val="22"/>
                <w:szCs w:val="22"/>
              </w:rPr>
              <w:t>≥2个万兆</w:t>
            </w:r>
            <w:r>
              <w:rPr>
                <w:rFonts w:hint="eastAsia"/>
                <w:sz w:val="22"/>
                <w:szCs w:val="22"/>
              </w:rPr>
              <w:t>SFP</w:t>
            </w:r>
            <w:r>
              <w:rPr>
                <w:rFonts w:hint="eastAsia"/>
                <w:spacing w:val="3"/>
                <w:sz w:val="22"/>
                <w:szCs w:val="22"/>
              </w:rPr>
              <w:t>+插槽扩展板卡（不含光模块</w:t>
            </w:r>
            <w:r>
              <w:rPr>
                <w:rFonts w:hint="eastAsia"/>
                <w:spacing w:val="2"/>
                <w:sz w:val="22"/>
                <w:szCs w:val="22"/>
              </w:rPr>
              <w:t>），</w:t>
            </w:r>
            <w:r>
              <w:rPr>
                <w:rFonts w:hint="eastAsia"/>
                <w:spacing w:val="3"/>
                <w:sz w:val="22"/>
                <w:szCs w:val="22"/>
              </w:rPr>
              <w:t>≥2</w:t>
            </w:r>
            <w:r>
              <w:rPr>
                <w:rFonts w:hint="eastAsia"/>
                <w:spacing w:val="4"/>
                <w:sz w:val="22"/>
                <w:szCs w:val="22"/>
              </w:rPr>
              <w:t>个扩展插槽，1个</w:t>
            </w:r>
            <w:r>
              <w:rPr>
                <w:rFonts w:hint="eastAsia"/>
                <w:sz w:val="22"/>
                <w:szCs w:val="22"/>
              </w:rPr>
              <w:t>Console</w:t>
            </w:r>
            <w:r>
              <w:rPr>
                <w:rFonts w:hint="eastAsia"/>
                <w:spacing w:val="4"/>
                <w:sz w:val="22"/>
                <w:szCs w:val="22"/>
              </w:rPr>
              <w:t>口，2个</w:t>
            </w:r>
            <w:r>
              <w:rPr>
                <w:rFonts w:hint="eastAsia"/>
                <w:sz w:val="22"/>
                <w:szCs w:val="22"/>
              </w:rPr>
              <w:t>USB</w:t>
            </w:r>
            <w:r>
              <w:rPr>
                <w:rFonts w:hint="eastAsia"/>
                <w:spacing w:val="4"/>
                <w:sz w:val="22"/>
                <w:szCs w:val="22"/>
              </w:rPr>
              <w:t>接口；</w:t>
            </w:r>
          </w:p>
          <w:p w14:paraId="6B86253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z w:val="22"/>
                <w:szCs w:val="22"/>
              </w:rPr>
            </w:pPr>
            <w:r>
              <w:rPr>
                <w:rFonts w:hint="eastAsia"/>
                <w:spacing w:val="2"/>
                <w:sz w:val="22"/>
                <w:szCs w:val="22"/>
              </w:rPr>
              <w:t>2)支持多种部署模式，支持路由、透明接入、虚拟网线等</w:t>
            </w:r>
            <w:r>
              <w:rPr>
                <w:rFonts w:hint="eastAsia"/>
                <w:spacing w:val="1"/>
                <w:sz w:val="22"/>
                <w:szCs w:val="22"/>
              </w:rPr>
              <w:t>部署方案的工作模式</w:t>
            </w:r>
            <w:r>
              <w:rPr>
                <w:rFonts w:hint="eastAsia"/>
                <w:sz w:val="22"/>
                <w:szCs w:val="22"/>
              </w:rPr>
              <w:t>（须提供截图证明材料</w:t>
            </w:r>
            <w:r>
              <w:rPr>
                <w:rFonts w:hint="eastAsia"/>
                <w:spacing w:val="2"/>
                <w:sz w:val="22"/>
                <w:szCs w:val="22"/>
              </w:rPr>
              <w:t>）；</w:t>
            </w:r>
          </w:p>
          <w:p w14:paraId="0D6324B0">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z w:val="22"/>
                <w:szCs w:val="22"/>
              </w:rPr>
            </w:pPr>
            <w:r>
              <w:rPr>
                <w:rFonts w:hint="eastAsia"/>
                <w:spacing w:val="3"/>
                <w:sz w:val="22"/>
                <w:szCs w:val="22"/>
              </w:rPr>
              <w:t>3)支持负载均衡功能，提供基于服务器、</w:t>
            </w:r>
            <w:r>
              <w:rPr>
                <w:rFonts w:hint="eastAsia"/>
                <w:sz w:val="22"/>
                <w:szCs w:val="22"/>
              </w:rPr>
              <w:t>Inbound</w:t>
            </w:r>
            <w:r>
              <w:rPr>
                <w:rFonts w:hint="eastAsia"/>
                <w:spacing w:val="3"/>
                <w:sz w:val="22"/>
                <w:szCs w:val="22"/>
              </w:rPr>
              <w:t>链</w:t>
            </w:r>
            <w:r>
              <w:rPr>
                <w:rFonts w:hint="eastAsia"/>
                <w:spacing w:val="2"/>
                <w:sz w:val="22"/>
                <w:szCs w:val="22"/>
              </w:rPr>
              <w:t>路、</w:t>
            </w:r>
            <w:r>
              <w:rPr>
                <w:rFonts w:hint="eastAsia"/>
                <w:sz w:val="22"/>
                <w:szCs w:val="22"/>
              </w:rPr>
              <w:t>outbound</w:t>
            </w:r>
            <w:r>
              <w:rPr>
                <w:rFonts w:hint="eastAsia"/>
                <w:spacing w:val="2"/>
                <w:sz w:val="22"/>
                <w:szCs w:val="22"/>
              </w:rPr>
              <w:t>链路的负</w:t>
            </w:r>
            <w:r>
              <w:rPr>
                <w:rFonts w:hint="eastAsia"/>
                <w:spacing w:val="4"/>
                <w:sz w:val="22"/>
                <w:szCs w:val="22"/>
              </w:rPr>
              <w:t>载均衡功能，支持监控探测功能，提供基于</w:t>
            </w:r>
            <w:r>
              <w:rPr>
                <w:rFonts w:hint="eastAsia"/>
                <w:sz w:val="22"/>
                <w:szCs w:val="22"/>
              </w:rPr>
              <w:t>TCP</w:t>
            </w:r>
            <w:r>
              <w:rPr>
                <w:rFonts w:hint="eastAsia"/>
                <w:spacing w:val="4"/>
                <w:sz w:val="22"/>
                <w:szCs w:val="22"/>
              </w:rPr>
              <w:t>、</w:t>
            </w:r>
            <w:r>
              <w:rPr>
                <w:rFonts w:hint="eastAsia"/>
                <w:sz w:val="22"/>
                <w:szCs w:val="22"/>
              </w:rPr>
              <w:t>ICMP</w:t>
            </w:r>
            <w:r>
              <w:rPr>
                <w:rFonts w:hint="eastAsia"/>
                <w:spacing w:val="4"/>
                <w:sz w:val="22"/>
                <w:szCs w:val="22"/>
              </w:rPr>
              <w:t>、</w:t>
            </w:r>
            <w:r>
              <w:rPr>
                <w:rFonts w:hint="eastAsia"/>
                <w:sz w:val="22"/>
                <w:szCs w:val="22"/>
              </w:rPr>
              <w:t>SMTP</w:t>
            </w:r>
            <w:r>
              <w:rPr>
                <w:rFonts w:hint="eastAsia"/>
                <w:spacing w:val="4"/>
                <w:sz w:val="22"/>
                <w:szCs w:val="22"/>
              </w:rPr>
              <w:t>、</w:t>
            </w:r>
            <w:r>
              <w:rPr>
                <w:rFonts w:hint="eastAsia"/>
                <w:sz w:val="22"/>
                <w:szCs w:val="22"/>
              </w:rPr>
              <w:t>SSL</w:t>
            </w:r>
            <w:r>
              <w:rPr>
                <w:rFonts w:hint="eastAsia"/>
                <w:spacing w:val="4"/>
                <w:sz w:val="22"/>
                <w:szCs w:val="22"/>
              </w:rPr>
              <w:t>、</w:t>
            </w:r>
            <w:r>
              <w:rPr>
                <w:sz w:val="22"/>
                <w:szCs w:val="22"/>
              </w:rPr>
              <w:fldChar w:fldCharType="begin"/>
            </w:r>
            <w:r>
              <w:rPr>
                <w:sz w:val="22"/>
                <w:szCs w:val="22"/>
              </w:rPr>
              <w:instrText xml:space="preserve"> HYPERLINK "HTTP" </w:instrText>
            </w:r>
            <w:r>
              <w:rPr>
                <w:sz w:val="22"/>
                <w:szCs w:val="22"/>
              </w:rPr>
              <w:fldChar w:fldCharType="separate"/>
            </w:r>
            <w:r>
              <w:rPr>
                <w:rFonts w:hint="eastAsia"/>
                <w:sz w:val="22"/>
                <w:szCs w:val="22"/>
              </w:rPr>
              <w:t>HTTP</w:t>
            </w:r>
            <w:r>
              <w:rPr>
                <w:rFonts w:hint="eastAsia"/>
                <w:sz w:val="22"/>
                <w:szCs w:val="22"/>
              </w:rPr>
              <w:fldChar w:fldCharType="end"/>
            </w:r>
            <w:r>
              <w:rPr>
                <w:rFonts w:hint="eastAsia"/>
                <w:spacing w:val="2"/>
                <w:sz w:val="22"/>
                <w:szCs w:val="22"/>
              </w:rPr>
              <w:t>协议的健康探测，并支持自定义探测周期、连接次数、连</w:t>
            </w:r>
            <w:r>
              <w:rPr>
                <w:rFonts w:hint="eastAsia"/>
                <w:spacing w:val="1"/>
                <w:sz w:val="22"/>
                <w:szCs w:val="22"/>
              </w:rPr>
              <w:t>接超时时间、连接周</w:t>
            </w:r>
            <w:r>
              <w:rPr>
                <w:rFonts w:hint="eastAsia"/>
                <w:spacing w:val="3"/>
                <w:sz w:val="22"/>
                <w:szCs w:val="22"/>
              </w:rPr>
              <w:t>期、</w:t>
            </w:r>
            <w:r>
              <w:rPr>
                <w:rFonts w:hint="eastAsia"/>
                <w:sz w:val="22"/>
                <w:szCs w:val="22"/>
              </w:rPr>
              <w:t>URL</w:t>
            </w:r>
            <w:r>
              <w:rPr>
                <w:rFonts w:hint="eastAsia"/>
                <w:spacing w:val="3"/>
                <w:sz w:val="22"/>
                <w:szCs w:val="22"/>
              </w:rPr>
              <w:t>资源路径、状态码等信息；</w:t>
            </w:r>
          </w:p>
          <w:p w14:paraId="15738B8C">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z w:val="22"/>
                <w:szCs w:val="22"/>
              </w:rPr>
            </w:pPr>
            <w:r>
              <w:rPr>
                <w:rFonts w:hint="eastAsia"/>
                <w:spacing w:val="3"/>
                <w:sz w:val="22"/>
                <w:szCs w:val="22"/>
              </w:rPr>
              <w:t>4)支持应用识别特征库，提供P2P下载</w:t>
            </w:r>
            <w:r>
              <w:rPr>
                <w:rFonts w:hint="eastAsia"/>
                <w:spacing w:val="2"/>
                <w:sz w:val="22"/>
                <w:szCs w:val="22"/>
              </w:rPr>
              <w:t>、网络电视、即时通讯、股票软件、流媒体、网络电话、手机应用等多种应用识别</w:t>
            </w:r>
            <w:r>
              <w:rPr>
                <w:rFonts w:hint="eastAsia"/>
                <w:spacing w:val="1"/>
                <w:sz w:val="22"/>
                <w:szCs w:val="22"/>
              </w:rPr>
              <w:t>类型，特征库数量不少于3000（须</w:t>
            </w:r>
            <w:r>
              <w:rPr>
                <w:rFonts w:hint="eastAsia"/>
                <w:sz w:val="22"/>
                <w:szCs w:val="22"/>
              </w:rPr>
              <w:t>提供截图证明材料</w:t>
            </w:r>
            <w:r>
              <w:rPr>
                <w:rFonts w:hint="eastAsia"/>
                <w:spacing w:val="3"/>
                <w:sz w:val="22"/>
                <w:szCs w:val="22"/>
              </w:rPr>
              <w:t>）；</w:t>
            </w:r>
          </w:p>
          <w:p w14:paraId="2B18E962">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z w:val="22"/>
                <w:szCs w:val="22"/>
              </w:rPr>
            </w:pPr>
            <w:r>
              <w:rPr>
                <w:rFonts w:hint="eastAsia"/>
                <w:spacing w:val="2"/>
                <w:sz w:val="22"/>
                <w:szCs w:val="22"/>
              </w:rPr>
              <w:t>5)支持一体化安全策略模板功能，通过单条策略既可完</w:t>
            </w:r>
            <w:r>
              <w:rPr>
                <w:rFonts w:hint="eastAsia"/>
                <w:spacing w:val="1"/>
                <w:sz w:val="22"/>
                <w:szCs w:val="22"/>
              </w:rPr>
              <w:t>成多项策略设置，可以配置源目的地址、国家地区、源目的域、源目的</w:t>
            </w:r>
            <w:r>
              <w:rPr>
                <w:rFonts w:hint="eastAsia"/>
                <w:sz w:val="22"/>
                <w:szCs w:val="22"/>
              </w:rPr>
              <w:t>MAC</w:t>
            </w:r>
            <w:r>
              <w:rPr>
                <w:rFonts w:hint="eastAsia"/>
                <w:spacing w:val="1"/>
                <w:sz w:val="22"/>
                <w:szCs w:val="22"/>
              </w:rPr>
              <w:t>、时间对象、用户、虚拟</w:t>
            </w:r>
            <w:r>
              <w:rPr>
                <w:rFonts w:hint="eastAsia"/>
                <w:spacing w:val="3"/>
                <w:sz w:val="22"/>
                <w:szCs w:val="22"/>
              </w:rPr>
              <w:t>身份、服务对象、</w:t>
            </w:r>
            <w:r>
              <w:rPr>
                <w:rFonts w:hint="eastAsia"/>
                <w:sz w:val="22"/>
                <w:szCs w:val="22"/>
              </w:rPr>
              <w:t>URL</w:t>
            </w:r>
            <w:r>
              <w:rPr>
                <w:rFonts w:hint="eastAsia"/>
                <w:spacing w:val="3"/>
                <w:sz w:val="22"/>
                <w:szCs w:val="22"/>
              </w:rPr>
              <w:t>分类等对象，同时可在同一策略</w:t>
            </w:r>
            <w:r>
              <w:rPr>
                <w:rFonts w:hint="eastAsia"/>
                <w:spacing w:val="2"/>
                <w:sz w:val="22"/>
                <w:szCs w:val="22"/>
              </w:rPr>
              <w:t>下，调用入侵防护、一</w:t>
            </w:r>
            <w:r>
              <w:rPr>
                <w:rFonts w:hint="eastAsia"/>
                <w:spacing w:val="1"/>
                <w:sz w:val="22"/>
                <w:szCs w:val="22"/>
              </w:rPr>
              <w:t>体化防病毒、文件控制、</w:t>
            </w:r>
            <w:r>
              <w:rPr>
                <w:rFonts w:hint="eastAsia"/>
                <w:sz w:val="22"/>
                <w:szCs w:val="22"/>
              </w:rPr>
              <w:t>URL</w:t>
            </w:r>
            <w:r>
              <w:rPr>
                <w:rFonts w:hint="eastAsia"/>
                <w:spacing w:val="1"/>
                <w:sz w:val="22"/>
                <w:szCs w:val="22"/>
              </w:rPr>
              <w:t>过滤、数据过滤防护、威胁情报、口令检测、挂</w:t>
            </w:r>
            <w:r>
              <w:rPr>
                <w:rFonts w:hint="eastAsia"/>
                <w:spacing w:val="2"/>
                <w:sz w:val="22"/>
                <w:szCs w:val="22"/>
              </w:rPr>
              <w:t>马防护、僵尸网络等应用安全策略进行安全防护（</w:t>
            </w:r>
            <w:r>
              <w:rPr>
                <w:rFonts w:hint="eastAsia"/>
                <w:spacing w:val="1"/>
                <w:sz w:val="22"/>
                <w:szCs w:val="22"/>
              </w:rPr>
              <w:t>须提供截图证明材料</w:t>
            </w:r>
            <w:r>
              <w:rPr>
                <w:rFonts w:hint="eastAsia"/>
                <w:sz w:val="22"/>
                <w:szCs w:val="22"/>
              </w:rPr>
              <w:t>）；</w:t>
            </w:r>
          </w:p>
          <w:p w14:paraId="6FA25B65">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z w:val="22"/>
                <w:szCs w:val="22"/>
              </w:rPr>
            </w:pPr>
            <w:r>
              <w:rPr>
                <w:rFonts w:hint="eastAsia"/>
                <w:spacing w:val="1"/>
                <w:sz w:val="22"/>
                <w:szCs w:val="22"/>
              </w:rPr>
              <w:t>6)支持入侵防御特征库，特征数不少于10000条，并提供基于正则表达式匹配方式的自定义特征策略功能（须提供截图证明材料</w:t>
            </w:r>
            <w:r>
              <w:rPr>
                <w:rFonts w:hint="eastAsia"/>
                <w:spacing w:val="6"/>
                <w:sz w:val="22"/>
                <w:szCs w:val="22"/>
              </w:rPr>
              <w:t>）；</w:t>
            </w:r>
          </w:p>
          <w:p w14:paraId="5EDC35E9">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z w:val="22"/>
                <w:szCs w:val="22"/>
              </w:rPr>
            </w:pPr>
            <w:r>
              <w:rPr>
                <w:rFonts w:hint="eastAsia"/>
                <w:spacing w:val="-1"/>
                <w:sz w:val="22"/>
                <w:szCs w:val="22"/>
              </w:rPr>
              <w:t>7)支持暴力破解防御功能，提供基于SMTP/IMAP/POP3/TELNET/FTP/RLOGIN</w:t>
            </w:r>
            <w:r>
              <w:rPr>
                <w:rFonts w:hint="eastAsia"/>
                <w:spacing w:val="-3"/>
                <w:sz w:val="22"/>
                <w:szCs w:val="22"/>
              </w:rPr>
              <w:t>/NNTP/TDS-MS-SQL等协议类型的频率检测机制；</w:t>
            </w:r>
          </w:p>
          <w:p w14:paraId="19A62041">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z w:val="22"/>
                <w:szCs w:val="22"/>
              </w:rPr>
            </w:pPr>
            <w:r>
              <w:rPr>
                <w:rFonts w:hint="eastAsia"/>
                <w:spacing w:val="1"/>
                <w:sz w:val="22"/>
                <w:szCs w:val="22"/>
              </w:rPr>
              <w:t>8)支持弱口令检测功能，提供基于</w:t>
            </w:r>
            <w:r>
              <w:rPr>
                <w:rFonts w:hint="eastAsia"/>
                <w:sz w:val="22"/>
                <w:szCs w:val="22"/>
              </w:rPr>
              <w:t>POP</w:t>
            </w:r>
            <w:r>
              <w:rPr>
                <w:rFonts w:hint="eastAsia"/>
                <w:spacing w:val="1"/>
                <w:sz w:val="22"/>
                <w:szCs w:val="22"/>
              </w:rPr>
              <w:t>3/</w:t>
            </w:r>
            <w:r>
              <w:rPr>
                <w:rFonts w:hint="eastAsia"/>
                <w:sz w:val="22"/>
                <w:szCs w:val="22"/>
              </w:rPr>
              <w:t>FTP</w:t>
            </w:r>
            <w:r>
              <w:rPr>
                <w:rFonts w:hint="eastAsia"/>
                <w:spacing w:val="1"/>
                <w:sz w:val="22"/>
                <w:szCs w:val="22"/>
              </w:rPr>
              <w:t>/</w:t>
            </w:r>
            <w:r>
              <w:rPr>
                <w:rFonts w:hint="eastAsia"/>
                <w:sz w:val="22"/>
                <w:szCs w:val="22"/>
              </w:rPr>
              <w:t>TELNET</w:t>
            </w:r>
            <w:r>
              <w:rPr>
                <w:rFonts w:hint="eastAsia"/>
                <w:spacing w:val="1"/>
                <w:sz w:val="22"/>
                <w:szCs w:val="22"/>
              </w:rPr>
              <w:t>协议的口令长度及口令复</w:t>
            </w:r>
            <w:r>
              <w:rPr>
                <w:rFonts w:hint="eastAsia"/>
                <w:sz w:val="22"/>
                <w:szCs w:val="22"/>
              </w:rPr>
              <w:t>杂度等元素的检测；</w:t>
            </w:r>
          </w:p>
          <w:p w14:paraId="24ABF143">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z w:val="22"/>
                <w:szCs w:val="22"/>
              </w:rPr>
            </w:pPr>
            <w:r>
              <w:rPr>
                <w:rFonts w:hint="eastAsia"/>
                <w:spacing w:val="2"/>
                <w:sz w:val="22"/>
                <w:szCs w:val="22"/>
              </w:rPr>
              <w:t>9)支持扫描与欺骗防御功能，提供基于</w:t>
            </w:r>
            <w:r>
              <w:rPr>
                <w:rFonts w:hint="eastAsia"/>
                <w:sz w:val="22"/>
                <w:szCs w:val="22"/>
              </w:rPr>
              <w:t>LAND</w:t>
            </w:r>
            <w:r>
              <w:rPr>
                <w:rFonts w:hint="eastAsia"/>
                <w:spacing w:val="2"/>
                <w:sz w:val="22"/>
                <w:szCs w:val="22"/>
              </w:rPr>
              <w:t>攻击、</w:t>
            </w:r>
            <w:r>
              <w:rPr>
                <w:rFonts w:hint="eastAsia"/>
                <w:sz w:val="22"/>
                <w:szCs w:val="22"/>
              </w:rPr>
              <w:t>TCP</w:t>
            </w:r>
            <w:r>
              <w:rPr>
                <w:rFonts w:hint="eastAsia"/>
                <w:spacing w:val="2"/>
                <w:sz w:val="22"/>
                <w:szCs w:val="22"/>
              </w:rPr>
              <w:t>无标记攻击、不带</w:t>
            </w:r>
            <w:r>
              <w:rPr>
                <w:rFonts w:hint="eastAsia"/>
                <w:sz w:val="22"/>
                <w:szCs w:val="22"/>
              </w:rPr>
              <w:t>ACK的FIN标记攻击、Ping-of-death攻击、Winnuke攻击、SYN/FIN标</w:t>
            </w:r>
            <w:r>
              <w:rPr>
                <w:rFonts w:hint="eastAsia"/>
                <w:spacing w:val="-1"/>
                <w:sz w:val="22"/>
                <w:szCs w:val="22"/>
              </w:rPr>
              <w:t>记攻击、圣</w:t>
            </w:r>
            <w:r>
              <w:rPr>
                <w:rFonts w:hint="eastAsia"/>
                <w:spacing w:val="4"/>
                <w:sz w:val="22"/>
                <w:szCs w:val="22"/>
              </w:rPr>
              <w:t>诞树攻击、</w:t>
            </w:r>
            <w:r>
              <w:rPr>
                <w:rFonts w:hint="eastAsia"/>
                <w:sz w:val="22"/>
                <w:szCs w:val="22"/>
              </w:rPr>
              <w:t>Smurf</w:t>
            </w:r>
            <w:r>
              <w:rPr>
                <w:rFonts w:hint="eastAsia"/>
                <w:spacing w:val="4"/>
                <w:sz w:val="22"/>
                <w:szCs w:val="22"/>
              </w:rPr>
              <w:t>攻击、</w:t>
            </w:r>
            <w:r>
              <w:rPr>
                <w:rFonts w:hint="eastAsia"/>
                <w:sz w:val="22"/>
                <w:szCs w:val="22"/>
              </w:rPr>
              <w:t>Fraggle</w:t>
            </w:r>
            <w:r>
              <w:rPr>
                <w:rFonts w:hint="eastAsia"/>
                <w:spacing w:val="4"/>
                <w:sz w:val="22"/>
                <w:szCs w:val="22"/>
              </w:rPr>
              <w:t>攻击、</w:t>
            </w:r>
            <w:r>
              <w:rPr>
                <w:rFonts w:hint="eastAsia"/>
                <w:sz w:val="22"/>
                <w:szCs w:val="22"/>
              </w:rPr>
              <w:t>Trinoo</w:t>
            </w:r>
            <w:r>
              <w:rPr>
                <w:rFonts w:hint="eastAsia"/>
                <w:spacing w:val="4"/>
                <w:sz w:val="22"/>
                <w:szCs w:val="22"/>
              </w:rPr>
              <w:t>扫描、</w:t>
            </w:r>
            <w:r>
              <w:rPr>
                <w:rFonts w:hint="eastAsia"/>
                <w:sz w:val="22"/>
                <w:szCs w:val="22"/>
              </w:rPr>
              <w:t>TFN</w:t>
            </w:r>
            <w:r>
              <w:rPr>
                <w:rFonts w:hint="eastAsia"/>
                <w:spacing w:val="4"/>
                <w:sz w:val="22"/>
                <w:szCs w:val="22"/>
              </w:rPr>
              <w:t>扫描、</w:t>
            </w:r>
            <w:r>
              <w:rPr>
                <w:rFonts w:hint="eastAsia"/>
                <w:sz w:val="22"/>
                <w:szCs w:val="22"/>
              </w:rPr>
              <w:t>stacheldraht</w:t>
            </w:r>
            <w:r>
              <w:rPr>
                <w:rFonts w:hint="eastAsia"/>
                <w:spacing w:val="3"/>
                <w:sz w:val="22"/>
                <w:szCs w:val="22"/>
              </w:rPr>
              <w:t>扫描、</w:t>
            </w:r>
            <w:r>
              <w:rPr>
                <w:rFonts w:hint="eastAsia"/>
                <w:sz w:val="22"/>
                <w:szCs w:val="22"/>
              </w:rPr>
              <w:t>tfn</w:t>
            </w:r>
            <w:r>
              <w:rPr>
                <w:rFonts w:hint="eastAsia"/>
                <w:spacing w:val="3"/>
                <w:sz w:val="22"/>
                <w:szCs w:val="22"/>
              </w:rPr>
              <w:t>2k扫描、</w:t>
            </w:r>
            <w:r>
              <w:rPr>
                <w:rFonts w:hint="eastAsia"/>
                <w:sz w:val="22"/>
                <w:szCs w:val="22"/>
              </w:rPr>
              <w:t>IP</w:t>
            </w:r>
            <w:r>
              <w:rPr>
                <w:rFonts w:hint="eastAsia"/>
                <w:spacing w:val="3"/>
                <w:sz w:val="22"/>
                <w:szCs w:val="22"/>
              </w:rPr>
              <w:t>报文洪水、超长报文、</w:t>
            </w:r>
            <w:r>
              <w:rPr>
                <w:rFonts w:hint="eastAsia"/>
                <w:sz w:val="22"/>
                <w:szCs w:val="22"/>
              </w:rPr>
              <w:t>ARP</w:t>
            </w:r>
            <w:r>
              <w:rPr>
                <w:rFonts w:hint="eastAsia"/>
                <w:spacing w:val="3"/>
                <w:sz w:val="22"/>
                <w:szCs w:val="22"/>
              </w:rPr>
              <w:t>欺骗、地址欺骗、源路由欺骗</w:t>
            </w:r>
            <w:r>
              <w:rPr>
                <w:rFonts w:hint="eastAsia"/>
                <w:sz w:val="22"/>
                <w:szCs w:val="22"/>
              </w:rPr>
              <w:t>的类型防御；</w:t>
            </w:r>
          </w:p>
          <w:p w14:paraId="33E79819">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rPr>
            </w:pPr>
            <w:r>
              <w:rPr>
                <w:rFonts w:hint="eastAsia"/>
                <w:spacing w:val="1"/>
                <w:sz w:val="22"/>
                <w:szCs w:val="22"/>
              </w:rPr>
              <w:t>10)具备中国信息安全测评中心颁发的国家信息安全测评信息技术产品安全测评</w:t>
            </w:r>
            <w:r>
              <w:rPr>
                <w:rFonts w:hint="eastAsia"/>
                <w:spacing w:val="4"/>
                <w:sz w:val="22"/>
                <w:szCs w:val="22"/>
              </w:rPr>
              <w:t>证书</w:t>
            </w:r>
            <w:r>
              <w:rPr>
                <w:rFonts w:hint="eastAsia"/>
                <w:sz w:val="22"/>
                <w:szCs w:val="22"/>
              </w:rPr>
              <w:t>EAL</w:t>
            </w:r>
            <w:r>
              <w:rPr>
                <w:rFonts w:hint="eastAsia"/>
                <w:spacing w:val="4"/>
                <w:sz w:val="22"/>
                <w:szCs w:val="22"/>
              </w:rPr>
              <w:t>3+级。</w:t>
            </w:r>
          </w:p>
        </w:tc>
        <w:tc>
          <w:tcPr>
            <w:tcW w:w="495" w:type="dxa"/>
            <w:vAlign w:val="center"/>
          </w:tcPr>
          <w:p w14:paraId="1EA94C46">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lang w:eastAsia="zh-CN"/>
              </w:rPr>
            </w:pPr>
            <w:r>
              <w:rPr>
                <w:rFonts w:hint="eastAsia"/>
                <w:spacing w:val="-2"/>
                <w:sz w:val="22"/>
                <w:szCs w:val="22"/>
                <w:lang w:eastAsia="zh-CN"/>
              </w:rPr>
              <w:t>台</w:t>
            </w:r>
          </w:p>
        </w:tc>
        <w:tc>
          <w:tcPr>
            <w:tcW w:w="495" w:type="dxa"/>
            <w:vAlign w:val="center"/>
          </w:tcPr>
          <w:p w14:paraId="45B29F3D">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lang w:eastAsia="zh-CN"/>
              </w:rPr>
            </w:pPr>
            <w:r>
              <w:rPr>
                <w:rFonts w:hint="eastAsia"/>
                <w:spacing w:val="-2"/>
                <w:sz w:val="22"/>
                <w:szCs w:val="22"/>
                <w:lang w:eastAsia="zh-CN"/>
              </w:rPr>
              <w:t>2</w:t>
            </w:r>
          </w:p>
        </w:tc>
      </w:tr>
      <w:tr w14:paraId="584A1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503" w:type="dxa"/>
            <w:vAlign w:val="center"/>
          </w:tcPr>
          <w:p w14:paraId="0A57733C">
            <w:pPr>
              <w:pStyle w:val="18"/>
              <w:keepNext w:val="0"/>
              <w:keepLines w:val="0"/>
              <w:pageBreakBefore w:val="0"/>
              <w:widowControl/>
              <w:kinsoku/>
              <w:wordWrap/>
              <w:overflowPunct/>
              <w:topLinePunct w:val="0"/>
              <w:autoSpaceDE/>
              <w:autoSpaceDN/>
              <w:bidi w:val="0"/>
              <w:adjustRightInd/>
              <w:snapToGrid/>
              <w:spacing w:before="127" w:line="420" w:lineRule="exact"/>
              <w:ind w:left="113"/>
              <w:jc w:val="both"/>
              <w:textAlignment w:val="auto"/>
              <w:rPr>
                <w:rFonts w:hint="eastAsia"/>
                <w:sz w:val="22"/>
                <w:szCs w:val="22"/>
                <w:highlight w:val="none"/>
                <w:lang w:eastAsia="zh-CN"/>
              </w:rPr>
            </w:pPr>
            <w:r>
              <w:rPr>
                <w:rFonts w:hint="eastAsia"/>
                <w:sz w:val="22"/>
                <w:szCs w:val="22"/>
                <w:highlight w:val="none"/>
                <w:lang w:eastAsia="zh-CN"/>
              </w:rPr>
              <w:t>2</w:t>
            </w:r>
          </w:p>
        </w:tc>
        <w:tc>
          <w:tcPr>
            <w:tcW w:w="729" w:type="dxa"/>
            <w:textDirection w:val="tbRlV"/>
            <w:vAlign w:val="center"/>
          </w:tcPr>
          <w:p w14:paraId="5EB201C7">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highlight w:val="none"/>
                <w:lang w:eastAsia="zh-CN"/>
              </w:rPr>
            </w:pPr>
            <w:r>
              <w:rPr>
                <w:spacing w:val="1"/>
                <w:sz w:val="22"/>
                <w:szCs w:val="22"/>
                <w:highlight w:val="none"/>
                <w:lang w:eastAsia="zh-CN"/>
              </w:rPr>
              <w:t>网管计算机</w:t>
            </w:r>
          </w:p>
        </w:tc>
        <w:tc>
          <w:tcPr>
            <w:tcW w:w="6214" w:type="dxa"/>
            <w:vAlign w:val="center"/>
          </w:tcPr>
          <w:p w14:paraId="52E276D2">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1"/>
                <w:sz w:val="22"/>
                <w:szCs w:val="22"/>
                <w:highlight w:val="none"/>
                <w:lang w:eastAsia="zh-CN"/>
              </w:rPr>
            </w:pPr>
            <w:r>
              <w:rPr>
                <w:rFonts w:hint="eastAsia"/>
                <w:b w:val="0"/>
                <w:bCs w:val="0"/>
                <w:color w:val="000000"/>
                <w:spacing w:val="0"/>
                <w:sz w:val="22"/>
                <w:szCs w:val="22"/>
                <w:highlight w:val="none"/>
                <w:lang w:eastAsia="en-US"/>
              </w:rPr>
              <w:t>台式电脑 (i7-14700 RTX50</w:t>
            </w:r>
            <w:r>
              <w:rPr>
                <w:rFonts w:hint="eastAsia"/>
                <w:b w:val="0"/>
                <w:bCs w:val="0"/>
                <w:color w:val="000000"/>
                <w:spacing w:val="0"/>
                <w:sz w:val="22"/>
                <w:szCs w:val="22"/>
                <w:highlight w:val="none"/>
                <w:lang w:val="en-US" w:eastAsia="zh-CN"/>
              </w:rPr>
              <w:t>70</w:t>
            </w:r>
            <w:r>
              <w:rPr>
                <w:rFonts w:hint="eastAsia"/>
                <w:b w:val="0"/>
                <w:bCs w:val="0"/>
                <w:color w:val="000000"/>
                <w:spacing w:val="0"/>
                <w:sz w:val="22"/>
                <w:szCs w:val="22"/>
                <w:highlight w:val="none"/>
                <w:lang w:eastAsia="en-US"/>
              </w:rPr>
              <w:t xml:space="preserve"> 16G显卡 32G DDR5 1T)27英寸</w:t>
            </w:r>
            <w:r>
              <w:rPr>
                <w:rFonts w:hint="eastAsia"/>
                <w:sz w:val="22"/>
                <w:szCs w:val="22"/>
                <w:highlight w:val="none"/>
                <w:lang w:eastAsia="zh-CN"/>
              </w:rPr>
              <w:t>显示器</w:t>
            </w:r>
          </w:p>
        </w:tc>
        <w:tc>
          <w:tcPr>
            <w:tcW w:w="495" w:type="dxa"/>
            <w:vAlign w:val="center"/>
          </w:tcPr>
          <w:p w14:paraId="49005A6C">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lang w:eastAsia="zh-CN"/>
              </w:rPr>
            </w:pPr>
            <w:r>
              <w:rPr>
                <w:rFonts w:hint="eastAsia"/>
                <w:spacing w:val="-2"/>
                <w:sz w:val="22"/>
                <w:szCs w:val="22"/>
                <w:lang w:eastAsia="zh-CN"/>
              </w:rPr>
              <w:t>台</w:t>
            </w:r>
          </w:p>
        </w:tc>
        <w:tc>
          <w:tcPr>
            <w:tcW w:w="495" w:type="dxa"/>
            <w:vAlign w:val="center"/>
          </w:tcPr>
          <w:p w14:paraId="1C99245C">
            <w:pPr>
              <w:pStyle w:val="18"/>
              <w:keepNext w:val="0"/>
              <w:keepLines w:val="0"/>
              <w:pageBreakBefore w:val="0"/>
              <w:widowControl/>
              <w:kinsoku/>
              <w:wordWrap/>
              <w:overflowPunct/>
              <w:topLinePunct w:val="0"/>
              <w:autoSpaceDE/>
              <w:autoSpaceDN/>
              <w:bidi w:val="0"/>
              <w:adjustRightInd/>
              <w:snapToGrid/>
              <w:spacing w:before="127" w:line="420" w:lineRule="exact"/>
              <w:jc w:val="both"/>
              <w:textAlignment w:val="auto"/>
              <w:rPr>
                <w:rFonts w:hint="eastAsia"/>
                <w:spacing w:val="-2"/>
                <w:sz w:val="22"/>
                <w:szCs w:val="22"/>
                <w:lang w:eastAsia="zh-CN"/>
              </w:rPr>
            </w:pPr>
            <w:r>
              <w:rPr>
                <w:rFonts w:hint="eastAsia"/>
                <w:spacing w:val="-2"/>
                <w:sz w:val="22"/>
                <w:szCs w:val="22"/>
                <w:lang w:eastAsia="zh-CN"/>
              </w:rPr>
              <w:t>1</w:t>
            </w:r>
          </w:p>
        </w:tc>
      </w:tr>
    </w:tbl>
    <w:p w14:paraId="023E60D4">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2"/>
          <w:sz w:val="22"/>
          <w:szCs w:val="22"/>
        </w:rPr>
        <w:t>本次新增2台市级入侵防御系统部署于</w:t>
      </w:r>
      <w:r>
        <w:rPr>
          <w:rFonts w:hint="eastAsia"/>
          <w:spacing w:val="2"/>
          <w:sz w:val="22"/>
          <w:szCs w:val="22"/>
          <w:lang w:eastAsia="zh-CN"/>
        </w:rPr>
        <w:t>汉中、安康</w:t>
      </w:r>
      <w:r>
        <w:rPr>
          <w:rFonts w:hint="eastAsia"/>
          <w:spacing w:val="2"/>
          <w:sz w:val="22"/>
          <w:szCs w:val="22"/>
        </w:rPr>
        <w:t>市级汇聚节点，用于专网纵向防护。</w:t>
      </w:r>
    </w:p>
    <w:p w14:paraId="685B1926">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z w:val="22"/>
          <w:szCs w:val="22"/>
        </w:rPr>
        <w:t>4.网络安全设备服务要求</w:t>
      </w:r>
    </w:p>
    <w:p w14:paraId="6B540932">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2"/>
          <w:sz w:val="22"/>
          <w:szCs w:val="22"/>
        </w:rPr>
        <w:t>对省汇聚中心和市汇聚中心的防火墙的网络安全相关规</w:t>
      </w:r>
      <w:r>
        <w:rPr>
          <w:rFonts w:hint="eastAsia"/>
          <w:spacing w:val="1"/>
          <w:sz w:val="22"/>
          <w:szCs w:val="22"/>
        </w:rPr>
        <w:t>则库进行升级，期限1年。</w:t>
      </w:r>
    </w:p>
    <w:p w14:paraId="041C54EA">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4"/>
          <w:sz w:val="22"/>
          <w:szCs w:val="22"/>
        </w:rPr>
        <w:t>5.电子政务网对接</w:t>
      </w:r>
    </w:p>
    <w:p w14:paraId="4268058C">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z w:val="22"/>
          <w:szCs w:val="22"/>
        </w:rPr>
      </w:pPr>
      <w:r>
        <w:rPr>
          <w:rFonts w:hint="eastAsia"/>
          <w:spacing w:val="1"/>
          <w:sz w:val="22"/>
          <w:szCs w:val="22"/>
        </w:rPr>
        <w:t>要求与电子政务网进行对接，具体对接方式由各投标单位自行制定。</w:t>
      </w:r>
    </w:p>
    <w:p w14:paraId="7FAD0E59">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1"/>
          <w:sz w:val="22"/>
          <w:szCs w:val="22"/>
        </w:rPr>
      </w:pPr>
      <w:r>
        <w:rPr>
          <w:rFonts w:hint="eastAsia"/>
          <w:spacing w:val="-1"/>
          <w:sz w:val="22"/>
          <w:szCs w:val="22"/>
        </w:rPr>
        <w:t>6、其他要求</w:t>
      </w:r>
    </w:p>
    <w:p w14:paraId="7952DA80">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3"/>
          <w:sz w:val="22"/>
          <w:szCs w:val="22"/>
        </w:rPr>
        <w:t>1、专项服务</w:t>
      </w:r>
    </w:p>
    <w:p w14:paraId="1CB25532">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供应商应按照采购人要求，为采购人配置安装专用传输设备和专线，负责将传输专线最终引入采购人各接入机房指定位置，并保证通信专线的质量符合国家规定标准。供应商应满足采购人所有宽带要求。另提供1年网络入侵防御服务（2个地市互联网出口的清洗能力（省级15G；西安、宝鸡、各5G；提供基于LAND攻击、TCP无标记攻击、不带ACK的FIN标记攻击、Ping-of-death攻击、Winnuke攻击、SYN/FIN标记攻击、圣诞树攻击、Smurf攻击、Fraggle攻击、Trinoo扫描、TFN扫描、stacheldraht扫描、tfn2k扫描、IP报文洪水、超长报文、ARP欺骗、地址欺骗、源路由欺骗的类型防御）。供应商应按照采购人要求的日期开通和拆除专线。</w:t>
      </w:r>
    </w:p>
    <w:p w14:paraId="74EBDE08">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供应商应成立交通厅通信专线保障小组或团队，提供人员名单、联系方式及故障受理电话，供应商应负责协调和监督所属分支机构履行本合同项下的义务。</w:t>
      </w:r>
    </w:p>
    <w:p w14:paraId="58F358A9">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供应商负责对所提供的专线进行日常维护，实行7*24小时网络监控，随时向用户通报网络故障，对采购人的故障申报及时应答并做出处理。采购人在使用时如发现故障（非用户终端设备故障）应及时以电话等方式向供应商当地网管中心申告。</w:t>
      </w:r>
    </w:p>
    <w:p w14:paraId="73BD2BAF">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供应商故障响应时间为30分钟,线路故障恢复时间为四小时。</w:t>
      </w:r>
    </w:p>
    <w:p w14:paraId="451CFFE2">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当有重大故障发生或故障在半小时内未能及时恢复或当采购人认为有必要时，采购人可直接向供应商总部网管中心投诉，供应商总部网管中心将协调供应商内部人员统一进行故障定位和处理并对故障处理过程进行全程跟踪，确保采购人因租用专线故障所造成的损失降到最小程度。</w:t>
      </w:r>
    </w:p>
    <w:p w14:paraId="203EEA8A">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对主要设备板卡在省级提供备品备件，核心汇聚层设备故障恢复时间小于24小时。分支结构路由设备故障恢复时间必须小于48小时。</w:t>
      </w:r>
    </w:p>
    <w:p w14:paraId="0918E092">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供应商继续提供陕西省交通厅省级节点及各地市节点的季度巡检服务、设备运行服务及本次新建的5台入侵防御系统的正常运行。</w:t>
      </w:r>
    </w:p>
    <w:p w14:paraId="1F587E2E">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每月提供设备监控分析报告、线路运行月报、流量监控分析报告、QoS流量监控分析报告等报告。</w:t>
      </w:r>
    </w:p>
    <w:p w14:paraId="0C2DF447">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2、派驻服务省级汇聚节点</w:t>
      </w:r>
    </w:p>
    <w:p w14:paraId="6834C97B">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供应商在合同签订后需派驻专业工程师一名，对本项目进行驻场服务。具体服务措施由供应商自行拟定。</w:t>
      </w:r>
    </w:p>
    <w:p w14:paraId="2392F568">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地市级汇聚节点</w:t>
      </w:r>
    </w:p>
    <w:p w14:paraId="787A8C00">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供应商在合同签订后需委派专业工程师一人，针对每个地市级汇聚节点进行专人维护。具体服务措施由各供应商自行拟定。</w:t>
      </w:r>
    </w:p>
    <w:p w14:paraId="0C7DC348">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3、知识产权</w:t>
      </w:r>
    </w:p>
    <w:p w14:paraId="164AD202">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成交供应商应保证所提供的的产品及服务不会出现因第三方提出侵犯其专利权、商标权或其它知识产权而引发法律或经济纠纷，否则由成交供应商承担全部责任。任何被成交供应商用于未经授权的商业目的行为所造成的违约或侵权责任由成交供应商</w:t>
      </w:r>
      <w:r>
        <w:rPr>
          <w:rFonts w:hint="eastAsia"/>
          <w:spacing w:val="-2"/>
          <w:sz w:val="22"/>
          <w:szCs w:val="22"/>
          <w:lang w:eastAsia="zh-CN"/>
        </w:rPr>
        <w:t>承担</w:t>
      </w:r>
      <w:r>
        <w:rPr>
          <w:rFonts w:hint="eastAsia"/>
          <w:spacing w:val="-2"/>
          <w:sz w:val="22"/>
          <w:szCs w:val="22"/>
        </w:rPr>
        <w:t>。</w:t>
      </w:r>
    </w:p>
    <w:p w14:paraId="3FD0B00A">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4、安全保密</w:t>
      </w:r>
    </w:p>
    <w:p w14:paraId="3CC22BB0">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签订《交通行业专网网络服务保密协议》，确保信息安全。</w:t>
      </w:r>
    </w:p>
    <w:p w14:paraId="66CE4B12">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5、质量标准</w:t>
      </w:r>
    </w:p>
    <w:p w14:paraId="4D0B482C">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符合国家及行业质量验收合格标准。</w:t>
      </w:r>
    </w:p>
    <w:p w14:paraId="22ED7529">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6、验收</w:t>
      </w:r>
      <w:bookmarkStart w:id="3" w:name="_GoBack"/>
      <w:bookmarkEnd w:id="3"/>
    </w:p>
    <w:p w14:paraId="508246DA">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项目必须通过采购人验收。</w:t>
      </w:r>
    </w:p>
    <w:p w14:paraId="4BA8D84E">
      <w:pPr>
        <w:pStyle w:val="18"/>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spacing w:val="-2"/>
          <w:sz w:val="22"/>
          <w:szCs w:val="22"/>
        </w:rPr>
      </w:pPr>
      <w:r>
        <w:rPr>
          <w:rFonts w:hint="eastAsia"/>
          <w:spacing w:val="-2"/>
          <w:sz w:val="22"/>
          <w:szCs w:val="22"/>
        </w:rPr>
        <w:t>7、重点链路双路由保护。</w:t>
      </w:r>
    </w:p>
    <w:p w14:paraId="75AD740C">
      <w:pPr>
        <w:keepNext w:val="0"/>
        <w:keepLines w:val="0"/>
        <w:pageBreakBefore w:val="0"/>
        <w:overflowPunct/>
        <w:topLinePunct w:val="0"/>
        <w:bidi w:val="0"/>
        <w:adjustRightInd/>
        <w:spacing w:line="420" w:lineRule="exact"/>
        <w:textAlignment w:val="auto"/>
        <w:rPr>
          <w:rFonts w:hint="eastAsia" w:ascii="仿宋" w:hAnsi="仿宋" w:eastAsia="仿宋" w:cs="仿宋"/>
          <w:b/>
          <w:sz w:val="22"/>
          <w:szCs w:val="22"/>
        </w:rPr>
      </w:pPr>
      <w:r>
        <w:rPr>
          <w:rFonts w:hint="eastAsia" w:ascii="仿宋" w:hAnsi="仿宋" w:eastAsia="仿宋" w:cs="仿宋"/>
          <w:b/>
          <w:sz w:val="22"/>
          <w:szCs w:val="22"/>
        </w:rPr>
        <w:t>七、项目实施地点</w:t>
      </w:r>
    </w:p>
    <w:p w14:paraId="4D067B04">
      <w:pPr>
        <w:keepNext w:val="0"/>
        <w:keepLines w:val="0"/>
        <w:pageBreakBefore w:val="0"/>
        <w:tabs>
          <w:tab w:val="left" w:pos="840"/>
        </w:tabs>
        <w:overflowPunct/>
        <w:topLinePunct w:val="0"/>
        <w:bidi w:val="0"/>
        <w:adjustRightInd/>
        <w:spacing w:line="420" w:lineRule="exact"/>
        <w:ind w:firstLine="440" w:firstLineChars="200"/>
        <w:textAlignment w:val="auto"/>
        <w:rPr>
          <w:rFonts w:hint="eastAsia" w:ascii="仿宋" w:hAnsi="仿宋" w:eastAsia="仿宋" w:cs="仿宋"/>
          <w:b/>
          <w:sz w:val="22"/>
          <w:szCs w:val="22"/>
        </w:rPr>
      </w:pPr>
      <w:r>
        <w:rPr>
          <w:rFonts w:hint="eastAsia" w:ascii="仿宋" w:hAnsi="仿宋" w:eastAsia="仿宋" w:cs="仿宋"/>
          <w:sz w:val="22"/>
          <w:szCs w:val="22"/>
        </w:rPr>
        <w:t>甲方指定位置</w:t>
      </w:r>
      <w:bookmarkStart w:id="0" w:name="_Toc25637"/>
      <w:bookmarkEnd w:id="0"/>
      <w:bookmarkStart w:id="1" w:name="_Toc3186"/>
      <w:bookmarkEnd w:id="1"/>
      <w:bookmarkStart w:id="2" w:name="_Toc32413"/>
      <w:bookmarkEnd w:id="2"/>
    </w:p>
    <w:p w14:paraId="12ED98B9">
      <w:pPr>
        <w:keepNext w:val="0"/>
        <w:keepLines w:val="0"/>
        <w:pageBreakBefore w:val="0"/>
        <w:overflowPunct/>
        <w:topLinePunct w:val="0"/>
        <w:bidi w:val="0"/>
        <w:adjustRightInd/>
        <w:spacing w:line="420" w:lineRule="exact"/>
        <w:textAlignment w:val="auto"/>
        <w:rPr>
          <w:rFonts w:hint="eastAsia" w:ascii="仿宋" w:hAnsi="仿宋" w:eastAsia="仿宋" w:cs="仿宋"/>
          <w:b/>
          <w:sz w:val="22"/>
          <w:szCs w:val="22"/>
        </w:rPr>
      </w:pPr>
      <w:r>
        <w:rPr>
          <w:rFonts w:hint="eastAsia" w:ascii="仿宋" w:hAnsi="仿宋" w:eastAsia="仿宋" w:cs="仿宋"/>
          <w:b/>
          <w:sz w:val="22"/>
          <w:szCs w:val="22"/>
        </w:rPr>
        <w:t>八、双方的责任义务</w:t>
      </w:r>
    </w:p>
    <w:p w14:paraId="79FD19FF">
      <w:pPr>
        <w:keepNext w:val="0"/>
        <w:keepLines w:val="0"/>
        <w:pageBreakBefore w:val="0"/>
        <w:overflowPunct/>
        <w:topLinePunct w:val="0"/>
        <w:bidi w:val="0"/>
        <w:adjustRightInd/>
        <w:spacing w:line="42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1.乙方服务内容应与政府采购招投标文件及本合同所指明的服务内容相一致，确保本项目正常交付使用，并负责后期服务。</w:t>
      </w:r>
    </w:p>
    <w:p w14:paraId="4427995F">
      <w:pPr>
        <w:keepNext w:val="0"/>
        <w:keepLines w:val="0"/>
        <w:pageBreakBefore w:val="0"/>
        <w:overflowPunct/>
        <w:topLinePunct w:val="0"/>
        <w:bidi w:val="0"/>
        <w:adjustRightInd/>
        <w:spacing w:line="42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2.甲方应按合同约定的付款方式向乙方支付相关费用。</w:t>
      </w:r>
    </w:p>
    <w:p w14:paraId="03A3B44C">
      <w:pPr>
        <w:keepNext w:val="0"/>
        <w:keepLines w:val="0"/>
        <w:pageBreakBefore w:val="0"/>
        <w:overflowPunct/>
        <w:topLinePunct w:val="0"/>
        <w:bidi w:val="0"/>
        <w:adjustRightInd/>
        <w:spacing w:line="420" w:lineRule="exact"/>
        <w:ind w:firstLine="440" w:firstLineChars="200"/>
        <w:jc w:val="left"/>
        <w:textAlignment w:val="auto"/>
        <w:rPr>
          <w:rFonts w:hint="eastAsia" w:ascii="仿宋" w:hAnsi="仿宋" w:eastAsia="仿宋" w:cs="仿宋"/>
          <w:kern w:val="0"/>
          <w:sz w:val="22"/>
          <w:szCs w:val="22"/>
        </w:rPr>
      </w:pPr>
      <w:r>
        <w:rPr>
          <w:rFonts w:hint="eastAsia" w:ascii="仿宋" w:hAnsi="仿宋" w:eastAsia="仿宋" w:cs="仿宋"/>
          <w:kern w:val="0"/>
          <w:sz w:val="22"/>
          <w:szCs w:val="22"/>
        </w:rPr>
        <w:t>3.如需乙方提供现场支持服务的，甲方应当尽合理努力为乙方提供办公场所、网络等便利条件。</w:t>
      </w:r>
    </w:p>
    <w:p w14:paraId="5BF7F0FE">
      <w:pPr>
        <w:keepNext w:val="0"/>
        <w:keepLines w:val="0"/>
        <w:pageBreakBefore w:val="0"/>
        <w:overflowPunct/>
        <w:topLinePunct w:val="0"/>
        <w:bidi w:val="0"/>
        <w:adjustRightInd/>
        <w:spacing w:line="420" w:lineRule="exact"/>
        <w:ind w:firstLine="440" w:firstLineChars="200"/>
        <w:jc w:val="left"/>
        <w:textAlignment w:val="auto"/>
        <w:rPr>
          <w:rFonts w:hint="eastAsia" w:ascii="仿宋" w:hAnsi="仿宋" w:eastAsia="仿宋" w:cs="仿宋"/>
          <w:kern w:val="0"/>
          <w:sz w:val="22"/>
          <w:szCs w:val="22"/>
        </w:rPr>
      </w:pPr>
      <w:r>
        <w:rPr>
          <w:rFonts w:hint="eastAsia" w:ascii="仿宋" w:hAnsi="仿宋" w:eastAsia="仿宋" w:cs="仿宋"/>
          <w:kern w:val="0"/>
          <w:sz w:val="22"/>
          <w:szCs w:val="22"/>
        </w:rPr>
        <w:t>4.乙方确认，甲乙双方不建立劳务派遣关系或类似关系，乙方应向其员工承担用人单位的全部责任。乙方应与其员工签署劳动合同，依法缴纳社会保险，对员工承担用人单位的全部法定责任。</w:t>
      </w:r>
    </w:p>
    <w:p w14:paraId="3E2870AD">
      <w:pPr>
        <w:keepNext w:val="0"/>
        <w:keepLines w:val="0"/>
        <w:pageBreakBefore w:val="0"/>
        <w:overflowPunct/>
        <w:topLinePunct w:val="0"/>
        <w:bidi w:val="0"/>
        <w:adjustRightInd/>
        <w:spacing w:line="420" w:lineRule="exact"/>
        <w:ind w:firstLine="440" w:firstLineChars="200"/>
        <w:jc w:val="left"/>
        <w:textAlignment w:val="auto"/>
        <w:rPr>
          <w:rFonts w:hint="eastAsia" w:ascii="仿宋" w:hAnsi="仿宋" w:eastAsia="仿宋" w:cs="仿宋"/>
          <w:kern w:val="0"/>
          <w:sz w:val="22"/>
          <w:szCs w:val="22"/>
        </w:rPr>
      </w:pPr>
      <w:r>
        <w:rPr>
          <w:rFonts w:hint="eastAsia" w:ascii="仿宋" w:hAnsi="仿宋" w:eastAsia="仿宋" w:cs="仿宋"/>
          <w:kern w:val="0"/>
          <w:sz w:val="22"/>
          <w:szCs w:val="22"/>
        </w:rPr>
        <w:t>乙方员工工作期间受到伤害或发生安全责任事故的，由乙方负责处理，并由乙方承担全部法律责任。</w:t>
      </w:r>
    </w:p>
    <w:p w14:paraId="02440FF0">
      <w:pPr>
        <w:keepNext w:val="0"/>
        <w:keepLines w:val="0"/>
        <w:pageBreakBefore w:val="0"/>
        <w:overflowPunct/>
        <w:topLinePunct w:val="0"/>
        <w:bidi w:val="0"/>
        <w:adjustRightInd/>
        <w:spacing w:line="420" w:lineRule="exact"/>
        <w:ind w:firstLine="440" w:firstLineChars="200"/>
        <w:jc w:val="left"/>
        <w:textAlignment w:val="auto"/>
        <w:rPr>
          <w:rFonts w:hint="eastAsia" w:ascii="仿宋" w:hAnsi="仿宋" w:eastAsia="仿宋" w:cs="仿宋"/>
          <w:kern w:val="0"/>
          <w:sz w:val="22"/>
          <w:szCs w:val="22"/>
        </w:rPr>
      </w:pPr>
      <w:r>
        <w:rPr>
          <w:rFonts w:hint="eastAsia" w:ascii="仿宋" w:hAnsi="仿宋" w:eastAsia="仿宋" w:cs="仿宋"/>
          <w:kern w:val="0"/>
          <w:sz w:val="22"/>
          <w:szCs w:val="22"/>
        </w:rPr>
        <w:t>5.甲方不对乙方员工承担任何用人单位或劳务派遣用工单位的责任。无论因任何原因导致甲方向乙方员工或雇员承担任何责任的，甲方有权向乙方追偿。</w:t>
      </w:r>
    </w:p>
    <w:p w14:paraId="044BE8D8">
      <w:pPr>
        <w:keepNext w:val="0"/>
        <w:keepLines w:val="0"/>
        <w:pageBreakBefore w:val="0"/>
        <w:overflowPunct/>
        <w:topLinePunct w:val="0"/>
        <w:bidi w:val="0"/>
        <w:adjustRightInd/>
        <w:spacing w:line="420" w:lineRule="exact"/>
        <w:ind w:firstLine="440" w:firstLineChars="200"/>
        <w:jc w:val="left"/>
        <w:textAlignment w:val="auto"/>
        <w:rPr>
          <w:rFonts w:hint="eastAsia" w:ascii="仿宋" w:hAnsi="仿宋" w:eastAsia="仿宋" w:cs="仿宋"/>
          <w:kern w:val="0"/>
          <w:sz w:val="22"/>
          <w:szCs w:val="22"/>
        </w:rPr>
      </w:pPr>
      <w:r>
        <w:rPr>
          <w:rFonts w:hint="eastAsia" w:ascii="仿宋" w:hAnsi="仿宋" w:eastAsia="仿宋" w:cs="仿宋"/>
          <w:kern w:val="0"/>
          <w:sz w:val="22"/>
          <w:szCs w:val="22"/>
        </w:rPr>
        <w:t>6.甲乙双方不构成代理关系，乙方不得以甲方名义对外签署或发布任何文件、制度等。</w:t>
      </w:r>
    </w:p>
    <w:p w14:paraId="2E82244F">
      <w:pPr>
        <w:keepNext w:val="0"/>
        <w:keepLines w:val="0"/>
        <w:pageBreakBefore w:val="0"/>
        <w:overflowPunct/>
        <w:topLinePunct w:val="0"/>
        <w:bidi w:val="0"/>
        <w:adjustRightInd/>
        <w:spacing w:line="420" w:lineRule="exact"/>
        <w:ind w:firstLine="440" w:firstLineChars="200"/>
        <w:jc w:val="left"/>
        <w:textAlignment w:val="auto"/>
        <w:rPr>
          <w:rFonts w:hint="eastAsia" w:ascii="仿宋" w:hAnsi="仿宋" w:eastAsia="仿宋" w:cs="仿宋"/>
          <w:kern w:val="0"/>
          <w:sz w:val="22"/>
          <w:szCs w:val="22"/>
        </w:rPr>
      </w:pPr>
      <w:r>
        <w:rPr>
          <w:rFonts w:hint="eastAsia" w:ascii="仿宋" w:hAnsi="仿宋" w:eastAsia="仿宋" w:cs="仿宋"/>
          <w:kern w:val="0"/>
          <w:sz w:val="22"/>
          <w:szCs w:val="22"/>
        </w:rPr>
        <w:t>7、乙方应勤勉敬业履行自身义务，及时、有预判性的处理好项目中的工作，不得因自身工作不到位影响设备正常运行，进而影响到甲方工作。如遇到需要紧急处理事宜，乙方应无条件配合甲方予以处理。</w:t>
      </w:r>
    </w:p>
    <w:p w14:paraId="0272168F">
      <w:pPr>
        <w:keepNext w:val="0"/>
        <w:keepLines w:val="0"/>
        <w:pageBreakBefore w:val="0"/>
        <w:overflowPunct/>
        <w:topLinePunct w:val="0"/>
        <w:bidi w:val="0"/>
        <w:adjustRightInd/>
        <w:spacing w:line="420" w:lineRule="exact"/>
        <w:textAlignment w:val="auto"/>
        <w:rPr>
          <w:rFonts w:hint="eastAsia" w:ascii="仿宋" w:hAnsi="仿宋" w:eastAsia="仿宋" w:cs="仿宋"/>
          <w:b/>
          <w:sz w:val="22"/>
          <w:szCs w:val="22"/>
        </w:rPr>
      </w:pPr>
      <w:r>
        <w:rPr>
          <w:rFonts w:hint="eastAsia" w:ascii="仿宋" w:hAnsi="仿宋" w:eastAsia="仿宋" w:cs="仿宋"/>
          <w:b/>
          <w:sz w:val="22"/>
          <w:szCs w:val="22"/>
        </w:rPr>
        <w:t>九、验收</w:t>
      </w:r>
    </w:p>
    <w:p w14:paraId="70107863">
      <w:pPr>
        <w:keepNext w:val="0"/>
        <w:keepLines w:val="0"/>
        <w:pageBreakBefore w:val="0"/>
        <w:tabs>
          <w:tab w:val="left" w:pos="1080"/>
        </w:tabs>
        <w:overflowPunct/>
        <w:topLinePunct w:val="0"/>
        <w:bidi w:val="0"/>
        <w:adjustRightInd/>
        <w:spacing w:line="420" w:lineRule="exact"/>
        <w:ind w:firstLine="330" w:firstLineChars="150"/>
        <w:textAlignment w:val="auto"/>
        <w:rPr>
          <w:rFonts w:hint="eastAsia" w:ascii="仿宋" w:hAnsi="仿宋" w:eastAsia="仿宋" w:cs="仿宋"/>
          <w:sz w:val="22"/>
          <w:szCs w:val="22"/>
        </w:rPr>
      </w:pPr>
      <w:r>
        <w:rPr>
          <w:rFonts w:hint="eastAsia" w:ascii="仿宋" w:hAnsi="仿宋" w:eastAsia="仿宋" w:cs="仿宋"/>
          <w:sz w:val="22"/>
          <w:szCs w:val="22"/>
          <w:lang w:eastAsia="zh-CN"/>
        </w:rPr>
        <w:t>服务期满，经甲方验收合格后，确定项目完成</w:t>
      </w:r>
      <w:r>
        <w:rPr>
          <w:rFonts w:hint="eastAsia" w:ascii="仿宋" w:hAnsi="仿宋" w:eastAsia="仿宋" w:cs="仿宋"/>
          <w:sz w:val="22"/>
          <w:szCs w:val="22"/>
        </w:rPr>
        <w:t>。</w:t>
      </w:r>
    </w:p>
    <w:p w14:paraId="594E5FA1">
      <w:pPr>
        <w:keepNext w:val="0"/>
        <w:keepLines w:val="0"/>
        <w:pageBreakBefore w:val="0"/>
        <w:overflowPunct/>
        <w:topLinePunct w:val="0"/>
        <w:bidi w:val="0"/>
        <w:adjustRightInd/>
        <w:spacing w:line="420" w:lineRule="exact"/>
        <w:textAlignment w:val="auto"/>
        <w:rPr>
          <w:rFonts w:hint="eastAsia" w:ascii="仿宋" w:hAnsi="仿宋" w:eastAsia="仿宋" w:cs="仿宋"/>
          <w:b/>
          <w:sz w:val="22"/>
          <w:szCs w:val="22"/>
        </w:rPr>
      </w:pPr>
      <w:r>
        <w:rPr>
          <w:rFonts w:hint="eastAsia" w:ascii="仿宋" w:hAnsi="仿宋" w:eastAsia="仿宋" w:cs="仿宋"/>
          <w:b/>
          <w:sz w:val="22"/>
          <w:szCs w:val="22"/>
        </w:rPr>
        <w:t>十、保密</w:t>
      </w:r>
    </w:p>
    <w:p w14:paraId="6E43559A">
      <w:pPr>
        <w:keepNext w:val="0"/>
        <w:keepLines w:val="0"/>
        <w:pageBreakBefore w:val="0"/>
        <w:tabs>
          <w:tab w:val="left" w:pos="1080"/>
        </w:tabs>
        <w:overflowPunct/>
        <w:topLinePunct w:val="0"/>
        <w:bidi w:val="0"/>
        <w:adjustRightInd/>
        <w:spacing w:line="420" w:lineRule="exact"/>
        <w:ind w:firstLine="330" w:firstLineChars="150"/>
        <w:textAlignment w:val="auto"/>
        <w:rPr>
          <w:rFonts w:hint="eastAsia" w:ascii="仿宋" w:hAnsi="仿宋" w:eastAsia="仿宋" w:cs="仿宋"/>
          <w:sz w:val="22"/>
          <w:szCs w:val="22"/>
        </w:rPr>
      </w:pPr>
      <w:r>
        <w:rPr>
          <w:rFonts w:hint="eastAsia" w:ascii="仿宋" w:hAnsi="仿宋" w:eastAsia="仿宋" w:cs="仿宋"/>
          <w:sz w:val="22"/>
          <w:szCs w:val="22"/>
        </w:rPr>
        <w:t>对工作中了解到的甲方的技术、机密等进行严格保密，不得向他人</w:t>
      </w:r>
      <w:r>
        <w:rPr>
          <w:rFonts w:hint="eastAsia" w:ascii="仿宋" w:hAnsi="仿宋" w:eastAsia="仿宋" w:cs="仿宋"/>
          <w:sz w:val="22"/>
          <w:szCs w:val="22"/>
          <w:lang w:eastAsia="zh-CN"/>
        </w:rPr>
        <w:t>泄露</w:t>
      </w:r>
      <w:r>
        <w:rPr>
          <w:rFonts w:hint="eastAsia" w:ascii="仿宋" w:hAnsi="仿宋" w:eastAsia="仿宋" w:cs="仿宋"/>
          <w:sz w:val="22"/>
          <w:szCs w:val="22"/>
        </w:rPr>
        <w:t>。本合同的解除或终止不免除乙方应承担的保密义务。</w:t>
      </w:r>
    </w:p>
    <w:p w14:paraId="3E2C4751">
      <w:pPr>
        <w:keepNext w:val="0"/>
        <w:keepLines w:val="0"/>
        <w:pageBreakBefore w:val="0"/>
        <w:overflowPunct/>
        <w:topLinePunct w:val="0"/>
        <w:bidi w:val="0"/>
        <w:adjustRightInd/>
        <w:spacing w:line="420" w:lineRule="exact"/>
        <w:textAlignment w:val="auto"/>
        <w:rPr>
          <w:rFonts w:hint="eastAsia" w:ascii="仿宋" w:hAnsi="仿宋" w:eastAsia="仿宋" w:cs="仿宋"/>
          <w:b/>
          <w:sz w:val="22"/>
          <w:szCs w:val="22"/>
        </w:rPr>
      </w:pPr>
      <w:r>
        <w:rPr>
          <w:rFonts w:hint="eastAsia" w:ascii="仿宋" w:hAnsi="仿宋" w:eastAsia="仿宋" w:cs="仿宋"/>
          <w:b/>
          <w:sz w:val="22"/>
          <w:szCs w:val="22"/>
        </w:rPr>
        <w:t>十一、知识产权</w:t>
      </w:r>
    </w:p>
    <w:p w14:paraId="1F9E443B">
      <w:pPr>
        <w:keepNext w:val="0"/>
        <w:keepLines w:val="0"/>
        <w:pageBreakBefore w:val="0"/>
        <w:overflowPunct/>
        <w:topLinePunct w:val="0"/>
        <w:bidi w:val="0"/>
        <w:adjustRightInd/>
        <w:spacing w:line="42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65F2145B">
      <w:pPr>
        <w:keepNext w:val="0"/>
        <w:keepLines w:val="0"/>
        <w:pageBreakBefore w:val="0"/>
        <w:overflowPunct/>
        <w:topLinePunct w:val="0"/>
        <w:bidi w:val="0"/>
        <w:adjustRightInd/>
        <w:spacing w:line="420" w:lineRule="exact"/>
        <w:ind w:firstLine="440" w:firstLineChars="200"/>
        <w:jc w:val="left"/>
        <w:textAlignment w:val="auto"/>
        <w:rPr>
          <w:rFonts w:hint="eastAsia" w:ascii="仿宋" w:hAnsi="仿宋" w:eastAsia="仿宋" w:cs="仿宋"/>
          <w:kern w:val="0"/>
          <w:sz w:val="22"/>
          <w:szCs w:val="22"/>
        </w:rPr>
      </w:pPr>
      <w:r>
        <w:rPr>
          <w:rFonts w:hint="eastAsia" w:ascii="仿宋" w:hAnsi="仿宋" w:eastAsia="仿宋" w:cs="仿宋"/>
          <w:kern w:val="0"/>
          <w:sz w:val="22"/>
          <w:szCs w:val="22"/>
        </w:rPr>
        <w:t>2.本合同履行过程中，甲方向乙方及乙方人员提供的信息、材料、技术等知识产权仍归甲方所有；本合同的签订与履行不代表甲方对乙方的知识产权转让和许可，乙方仅可出于为甲方提供服务之目的而使用。</w:t>
      </w:r>
    </w:p>
    <w:p w14:paraId="7204ADA0">
      <w:pPr>
        <w:keepNext w:val="0"/>
        <w:keepLines w:val="0"/>
        <w:pageBreakBefore w:val="0"/>
        <w:overflowPunct/>
        <w:topLinePunct w:val="0"/>
        <w:bidi w:val="0"/>
        <w:adjustRightInd/>
        <w:spacing w:line="420" w:lineRule="exact"/>
        <w:textAlignment w:val="auto"/>
        <w:rPr>
          <w:rFonts w:hint="eastAsia" w:ascii="仿宋" w:hAnsi="仿宋" w:eastAsia="仿宋" w:cs="仿宋"/>
          <w:b/>
          <w:sz w:val="22"/>
          <w:szCs w:val="22"/>
        </w:rPr>
      </w:pPr>
      <w:r>
        <w:rPr>
          <w:rFonts w:hint="eastAsia" w:ascii="仿宋" w:hAnsi="仿宋" w:eastAsia="仿宋" w:cs="仿宋"/>
          <w:b/>
          <w:sz w:val="22"/>
          <w:szCs w:val="22"/>
        </w:rPr>
        <w:t>十二、合同争议的解决</w:t>
      </w:r>
    </w:p>
    <w:p w14:paraId="27A34928">
      <w:pPr>
        <w:keepNext w:val="0"/>
        <w:keepLines w:val="0"/>
        <w:pageBreakBefore w:val="0"/>
        <w:tabs>
          <w:tab w:val="left" w:pos="498"/>
        </w:tabs>
        <w:overflowPunct/>
        <w:topLinePunct w:val="0"/>
        <w:bidi w:val="0"/>
        <w:adjustRightInd/>
        <w:spacing w:line="420" w:lineRule="exact"/>
        <w:ind w:firstLine="440" w:firstLineChars="200"/>
        <w:jc w:val="left"/>
        <w:textAlignment w:val="auto"/>
        <w:rPr>
          <w:rFonts w:hint="eastAsia" w:ascii="仿宋" w:hAnsi="仿宋" w:eastAsia="仿宋" w:cs="仿宋"/>
          <w:sz w:val="22"/>
          <w:szCs w:val="22"/>
        </w:rPr>
      </w:pPr>
      <w:r>
        <w:rPr>
          <w:rFonts w:hint="eastAsia" w:ascii="仿宋" w:hAnsi="仿宋" w:eastAsia="仿宋" w:cs="仿宋"/>
          <w:sz w:val="22"/>
          <w:szCs w:val="22"/>
        </w:rPr>
        <w:t>合同执行中发生争议的，当事人双方应协商解决，协商达不成一致时，可向甲方</w:t>
      </w:r>
      <w:r>
        <w:rPr>
          <w:rFonts w:hint="eastAsia" w:ascii="仿宋" w:hAnsi="仿宋" w:eastAsia="仿宋" w:cs="仿宋"/>
          <w:sz w:val="22"/>
          <w:szCs w:val="22"/>
          <w:lang w:eastAsia="zh-CN"/>
        </w:rPr>
        <w:t>所在地人民法院提起</w:t>
      </w:r>
      <w:r>
        <w:rPr>
          <w:rFonts w:hint="eastAsia" w:ascii="仿宋" w:hAnsi="仿宋" w:eastAsia="仿宋" w:cs="仿宋"/>
          <w:sz w:val="22"/>
          <w:szCs w:val="22"/>
        </w:rPr>
        <w:t>诉讼。</w:t>
      </w:r>
    </w:p>
    <w:p w14:paraId="46E016B2">
      <w:pPr>
        <w:keepNext w:val="0"/>
        <w:keepLines w:val="0"/>
        <w:pageBreakBefore w:val="0"/>
        <w:overflowPunct/>
        <w:topLinePunct w:val="0"/>
        <w:bidi w:val="0"/>
        <w:adjustRightInd/>
        <w:spacing w:line="420" w:lineRule="exact"/>
        <w:textAlignment w:val="auto"/>
        <w:rPr>
          <w:rFonts w:hint="eastAsia" w:ascii="仿宋" w:hAnsi="仿宋" w:eastAsia="仿宋" w:cs="仿宋"/>
          <w:b/>
          <w:sz w:val="22"/>
          <w:szCs w:val="22"/>
        </w:rPr>
      </w:pPr>
      <w:r>
        <w:rPr>
          <w:rFonts w:hint="eastAsia" w:ascii="仿宋" w:hAnsi="仿宋" w:eastAsia="仿宋" w:cs="仿宋"/>
          <w:b/>
          <w:sz w:val="22"/>
          <w:szCs w:val="22"/>
        </w:rPr>
        <w:t>十三、不可抗力情况下的免责约定</w:t>
      </w:r>
    </w:p>
    <w:p w14:paraId="766831A6">
      <w:pPr>
        <w:keepNext w:val="0"/>
        <w:keepLines w:val="0"/>
        <w:pageBreakBefore w:val="0"/>
        <w:tabs>
          <w:tab w:val="left" w:pos="498"/>
        </w:tabs>
        <w:overflowPunct/>
        <w:topLinePunct w:val="0"/>
        <w:bidi w:val="0"/>
        <w:adjustRightInd/>
        <w:spacing w:line="420" w:lineRule="exact"/>
        <w:ind w:firstLine="440" w:firstLineChars="200"/>
        <w:jc w:val="left"/>
        <w:textAlignment w:val="auto"/>
        <w:rPr>
          <w:rFonts w:hint="eastAsia" w:ascii="仿宋" w:hAnsi="仿宋" w:eastAsia="仿宋" w:cs="仿宋"/>
          <w:sz w:val="22"/>
          <w:szCs w:val="22"/>
        </w:rPr>
      </w:pPr>
      <w:r>
        <w:rPr>
          <w:rFonts w:hint="eastAsia" w:ascii="仿宋" w:hAnsi="仿宋" w:eastAsia="仿宋" w:cs="仿宋"/>
          <w:sz w:val="22"/>
          <w:szCs w:val="22"/>
        </w:rPr>
        <w:t>双方约定在以下不可抗力情况下互不承担责任，共同协商解决。双方不可预见、不可避免、不可克服的客观情况，但不包括双方的违约或疏忽，这些事件包括但不限于：战争、严重火灾、洪水、台风、地震等。</w:t>
      </w:r>
    </w:p>
    <w:p w14:paraId="044E104F">
      <w:pPr>
        <w:keepNext w:val="0"/>
        <w:keepLines w:val="0"/>
        <w:pageBreakBefore w:val="0"/>
        <w:overflowPunct/>
        <w:topLinePunct w:val="0"/>
        <w:bidi w:val="0"/>
        <w:adjustRightInd/>
        <w:spacing w:line="420" w:lineRule="exact"/>
        <w:textAlignment w:val="auto"/>
        <w:rPr>
          <w:rFonts w:hint="eastAsia" w:ascii="仿宋" w:hAnsi="仿宋" w:eastAsia="仿宋" w:cs="仿宋"/>
          <w:b/>
          <w:sz w:val="22"/>
          <w:szCs w:val="22"/>
        </w:rPr>
      </w:pPr>
      <w:r>
        <w:rPr>
          <w:rFonts w:hint="eastAsia" w:ascii="仿宋" w:hAnsi="仿宋" w:eastAsia="仿宋" w:cs="仿宋"/>
          <w:b/>
          <w:sz w:val="22"/>
          <w:szCs w:val="22"/>
        </w:rPr>
        <w:t>十四、终止合同</w:t>
      </w:r>
    </w:p>
    <w:p w14:paraId="0DFA1842">
      <w:pPr>
        <w:keepNext w:val="0"/>
        <w:keepLines w:val="0"/>
        <w:pageBreakBefore w:val="0"/>
        <w:overflowPunct/>
        <w:topLinePunct w:val="0"/>
        <w:bidi w:val="0"/>
        <w:adjustRightInd/>
        <w:spacing w:line="42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除本合同约定，合同一经签订，不得擅自变更、中止或者终止合同。对确需变更、调整或者中止、终止合同的，应按规定履行相应的手续。</w:t>
      </w:r>
    </w:p>
    <w:p w14:paraId="303F4005">
      <w:pPr>
        <w:keepNext w:val="0"/>
        <w:keepLines w:val="0"/>
        <w:pageBreakBefore w:val="0"/>
        <w:overflowPunct/>
        <w:topLinePunct w:val="0"/>
        <w:bidi w:val="0"/>
        <w:adjustRightInd/>
        <w:spacing w:line="420" w:lineRule="exact"/>
        <w:textAlignment w:val="auto"/>
        <w:rPr>
          <w:rFonts w:hint="eastAsia" w:ascii="仿宋" w:hAnsi="仿宋" w:eastAsia="仿宋" w:cs="仿宋"/>
          <w:b/>
          <w:sz w:val="22"/>
          <w:szCs w:val="22"/>
        </w:rPr>
      </w:pPr>
      <w:r>
        <w:rPr>
          <w:rFonts w:hint="eastAsia" w:ascii="仿宋" w:hAnsi="仿宋" w:eastAsia="仿宋" w:cs="仿宋"/>
          <w:b/>
          <w:sz w:val="22"/>
          <w:szCs w:val="22"/>
        </w:rPr>
        <w:t>十五、违约责任</w:t>
      </w:r>
    </w:p>
    <w:p w14:paraId="65789B51">
      <w:pPr>
        <w:keepNext w:val="0"/>
        <w:keepLines w:val="0"/>
        <w:pageBreakBefore w:val="0"/>
        <w:overflowPunct/>
        <w:topLinePunct w:val="0"/>
        <w:bidi w:val="0"/>
        <w:adjustRightInd/>
        <w:spacing w:line="42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1.按《中华人民共和国民法典》中的相关条款和本合同的约定执行。</w:t>
      </w:r>
    </w:p>
    <w:p w14:paraId="26E02A7F">
      <w:pPr>
        <w:keepNext w:val="0"/>
        <w:keepLines w:val="0"/>
        <w:pageBreakBefore w:val="0"/>
        <w:overflowPunct/>
        <w:topLinePunct w:val="0"/>
        <w:bidi w:val="0"/>
        <w:adjustRightInd/>
        <w:spacing w:line="42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58185527">
      <w:pPr>
        <w:keepNext w:val="0"/>
        <w:keepLines w:val="0"/>
        <w:pageBreakBefore w:val="0"/>
        <w:overflowPunct/>
        <w:topLinePunct w:val="0"/>
        <w:bidi w:val="0"/>
        <w:adjustRightInd/>
        <w:spacing w:line="420" w:lineRule="exact"/>
        <w:ind w:firstLine="440" w:firstLineChars="200"/>
        <w:jc w:val="left"/>
        <w:textAlignment w:val="auto"/>
        <w:rPr>
          <w:rFonts w:hint="eastAsia" w:ascii="仿宋" w:hAnsi="仿宋" w:eastAsia="仿宋" w:cs="仿宋"/>
          <w:kern w:val="0"/>
          <w:sz w:val="22"/>
          <w:szCs w:val="22"/>
        </w:rPr>
      </w:pPr>
      <w:r>
        <w:rPr>
          <w:rFonts w:hint="eastAsia" w:ascii="仿宋" w:hAnsi="仿宋" w:eastAsia="仿宋" w:cs="仿宋"/>
          <w:kern w:val="0"/>
          <w:sz w:val="22"/>
          <w:szCs w:val="22"/>
        </w:rPr>
        <w:t>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019836E2">
      <w:pPr>
        <w:keepNext w:val="0"/>
        <w:keepLines w:val="0"/>
        <w:pageBreakBefore w:val="0"/>
        <w:tabs>
          <w:tab w:val="left" w:pos="1080"/>
        </w:tabs>
        <w:overflowPunct/>
        <w:topLinePunct w:val="0"/>
        <w:bidi w:val="0"/>
        <w:adjustRightInd/>
        <w:spacing w:line="420" w:lineRule="exact"/>
        <w:ind w:firstLine="440" w:firstLineChars="200"/>
        <w:textAlignment w:val="auto"/>
        <w:outlineLvl w:val="9"/>
        <w:rPr>
          <w:rFonts w:hint="eastAsia" w:ascii="仿宋" w:hAnsi="仿宋" w:eastAsia="仿宋" w:cs="仿宋"/>
          <w:kern w:val="0"/>
          <w:sz w:val="22"/>
          <w:szCs w:val="22"/>
        </w:rPr>
      </w:pPr>
      <w:r>
        <w:rPr>
          <w:rFonts w:hint="eastAsia" w:ascii="仿宋" w:hAnsi="仿宋" w:eastAsia="仿宋" w:cs="仿宋"/>
          <w:kern w:val="0"/>
          <w:sz w:val="22"/>
          <w:szCs w:val="22"/>
        </w:rPr>
        <w:t>4.甲方的违约责任</w:t>
      </w:r>
    </w:p>
    <w:p w14:paraId="2945C3FA">
      <w:pPr>
        <w:keepNext w:val="0"/>
        <w:keepLines w:val="0"/>
        <w:pageBreakBefore w:val="0"/>
        <w:overflowPunct/>
        <w:topLinePunct w:val="0"/>
        <w:bidi w:val="0"/>
        <w:adjustRightInd/>
        <w:spacing w:line="42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甲方因自身原因不按合同约定向乙方付款，每逾期一天，须按迟延付款额的</w:t>
      </w:r>
      <w:r>
        <w:rPr>
          <w:rFonts w:hint="eastAsia" w:ascii="仿宋" w:hAnsi="仿宋" w:eastAsia="仿宋" w:cs="仿宋"/>
          <w:kern w:val="0"/>
          <w:sz w:val="22"/>
          <w:szCs w:val="22"/>
          <w:u w:val="single"/>
        </w:rPr>
        <w:t>0.01%_</w:t>
      </w:r>
      <w:r>
        <w:rPr>
          <w:rFonts w:hint="eastAsia" w:ascii="仿宋" w:hAnsi="仿宋" w:eastAsia="仿宋" w:cs="仿宋"/>
          <w:kern w:val="0"/>
          <w:sz w:val="22"/>
          <w:szCs w:val="22"/>
        </w:rPr>
        <w:t>向乙方支付延期付款的违约金。</w:t>
      </w:r>
    </w:p>
    <w:p w14:paraId="2BF3D413">
      <w:pPr>
        <w:keepNext w:val="0"/>
        <w:keepLines w:val="0"/>
        <w:pageBreakBefore w:val="0"/>
        <w:tabs>
          <w:tab w:val="left" w:pos="1080"/>
        </w:tabs>
        <w:overflowPunct/>
        <w:topLinePunct w:val="0"/>
        <w:bidi w:val="0"/>
        <w:adjustRightInd/>
        <w:spacing w:line="420" w:lineRule="exact"/>
        <w:ind w:firstLine="440" w:firstLineChars="200"/>
        <w:textAlignment w:val="auto"/>
        <w:outlineLvl w:val="9"/>
        <w:rPr>
          <w:rFonts w:hint="eastAsia" w:ascii="仿宋" w:hAnsi="仿宋" w:eastAsia="仿宋" w:cs="仿宋"/>
          <w:kern w:val="0"/>
          <w:sz w:val="22"/>
          <w:szCs w:val="22"/>
        </w:rPr>
      </w:pPr>
      <w:r>
        <w:rPr>
          <w:rFonts w:hint="eastAsia" w:ascii="仿宋" w:hAnsi="仿宋" w:eastAsia="仿宋" w:cs="仿宋"/>
          <w:kern w:val="0"/>
          <w:sz w:val="22"/>
          <w:szCs w:val="22"/>
        </w:rPr>
        <w:t>甲方不按照合同约定提供相关资料及其它协作事项的，应提前7个日历天书面通知乙方，项目完成时间予以顺延。</w:t>
      </w:r>
    </w:p>
    <w:p w14:paraId="5151991E">
      <w:pPr>
        <w:keepNext w:val="0"/>
        <w:keepLines w:val="0"/>
        <w:pageBreakBefore w:val="0"/>
        <w:tabs>
          <w:tab w:val="left" w:pos="1080"/>
        </w:tabs>
        <w:wordWrap w:val="0"/>
        <w:overflowPunct/>
        <w:topLinePunct w:val="0"/>
        <w:bidi w:val="0"/>
        <w:adjustRightInd/>
        <w:spacing w:line="420" w:lineRule="exact"/>
        <w:ind w:left="699" w:leftChars="228" w:hanging="220" w:hangingChars="100"/>
        <w:textAlignment w:val="auto"/>
        <w:outlineLvl w:val="9"/>
        <w:rPr>
          <w:rFonts w:hint="eastAsia" w:ascii="仿宋" w:hAnsi="仿宋" w:eastAsia="仿宋" w:cs="仿宋"/>
          <w:kern w:val="0"/>
          <w:sz w:val="22"/>
          <w:szCs w:val="22"/>
        </w:rPr>
      </w:pPr>
      <w:r>
        <w:rPr>
          <w:rFonts w:hint="eastAsia" w:ascii="仿宋" w:hAnsi="仿宋" w:eastAsia="仿宋" w:cs="仿宋"/>
          <w:kern w:val="0"/>
          <w:sz w:val="22"/>
          <w:szCs w:val="22"/>
        </w:rPr>
        <w:t>5.乙方的违约责任</w:t>
      </w:r>
    </w:p>
    <w:p w14:paraId="1E7DB64F">
      <w:pPr>
        <w:keepNext w:val="0"/>
        <w:keepLines w:val="0"/>
        <w:pageBreakBefore w:val="0"/>
        <w:tabs>
          <w:tab w:val="left" w:pos="1080"/>
        </w:tabs>
        <w:wordWrap w:val="0"/>
        <w:overflowPunct/>
        <w:topLinePunct w:val="0"/>
        <w:bidi w:val="0"/>
        <w:adjustRightInd/>
        <w:spacing w:line="420" w:lineRule="exact"/>
        <w:ind w:left="19" w:leftChars="9" w:firstLine="420" w:firstLineChars="191"/>
        <w:textAlignment w:val="auto"/>
        <w:outlineLvl w:val="9"/>
        <w:rPr>
          <w:rFonts w:hint="eastAsia" w:ascii="仿宋" w:hAnsi="仿宋" w:eastAsia="仿宋" w:cs="仿宋"/>
          <w:kern w:val="0"/>
          <w:sz w:val="22"/>
          <w:szCs w:val="22"/>
        </w:rPr>
      </w:pPr>
      <w:r>
        <w:rPr>
          <w:rFonts w:hint="eastAsia" w:ascii="仿宋" w:hAnsi="仿宋" w:eastAsia="仿宋" w:cs="仿宋"/>
          <w:kern w:val="0"/>
          <w:sz w:val="22"/>
          <w:szCs w:val="22"/>
        </w:rPr>
        <w:t>乙方未按照本合同约定保质保量提供产品或服务，经甲方催告后履行仍不符合合同约定的，甲方有权解除本合同，同时有权要求乙方按照合同价款的</w:t>
      </w:r>
      <w:r>
        <w:rPr>
          <w:rFonts w:hint="eastAsia" w:ascii="仿宋" w:hAnsi="仿宋" w:eastAsia="仿宋" w:cs="仿宋"/>
          <w:kern w:val="0"/>
          <w:sz w:val="22"/>
          <w:szCs w:val="22"/>
          <w:u w:val="single"/>
        </w:rPr>
        <w:t>10%</w:t>
      </w:r>
      <w:r>
        <w:rPr>
          <w:rFonts w:hint="eastAsia" w:ascii="仿宋" w:hAnsi="仿宋" w:eastAsia="仿宋" w:cs="仿宋"/>
          <w:kern w:val="0"/>
          <w:sz w:val="22"/>
          <w:szCs w:val="22"/>
        </w:rPr>
        <w:t>承担违约金。甲方维权支付的诉讼费、保全费、律师费等费用由乙方承担。</w:t>
      </w:r>
    </w:p>
    <w:p w14:paraId="7F25D5C7">
      <w:pPr>
        <w:keepNext w:val="0"/>
        <w:keepLines w:val="0"/>
        <w:pageBreakBefore w:val="0"/>
        <w:tabs>
          <w:tab w:val="left" w:pos="1080"/>
        </w:tabs>
        <w:wordWrap w:val="0"/>
        <w:overflowPunct/>
        <w:topLinePunct w:val="0"/>
        <w:bidi w:val="0"/>
        <w:adjustRightInd/>
        <w:spacing w:line="420" w:lineRule="exact"/>
        <w:ind w:left="19" w:leftChars="9" w:firstLine="420" w:firstLineChars="191"/>
        <w:textAlignment w:val="auto"/>
        <w:outlineLvl w:val="9"/>
        <w:rPr>
          <w:rFonts w:hint="eastAsia" w:ascii="仿宋" w:hAnsi="仿宋" w:eastAsia="仿宋" w:cs="仿宋"/>
          <w:kern w:val="0"/>
          <w:sz w:val="22"/>
          <w:szCs w:val="22"/>
        </w:rPr>
      </w:pPr>
      <w:r>
        <w:rPr>
          <w:rFonts w:hint="eastAsia" w:ascii="仿宋" w:hAnsi="仿宋" w:eastAsia="仿宋" w:cs="仿宋"/>
          <w:kern w:val="0"/>
          <w:sz w:val="22"/>
          <w:szCs w:val="22"/>
        </w:rPr>
        <w:t>合同履行期限结束，乙方未能按期完成服务期限的内容，乙方应继续履行自身义务直至符合合同约定。同时从合同履行期限届满之日开始起算，每逾期一天按合同总金额的</w:t>
      </w:r>
      <w:r>
        <w:rPr>
          <w:rFonts w:hint="eastAsia" w:ascii="仿宋" w:hAnsi="仿宋" w:eastAsia="仿宋" w:cs="仿宋"/>
          <w:kern w:val="0"/>
          <w:sz w:val="22"/>
          <w:szCs w:val="22"/>
          <w:u w:val="single"/>
        </w:rPr>
        <w:t xml:space="preserve"> 0.03% </w:t>
      </w:r>
      <w:r>
        <w:rPr>
          <w:rFonts w:hint="eastAsia" w:ascii="仿宋" w:hAnsi="仿宋" w:eastAsia="仿宋" w:cs="仿宋"/>
          <w:kern w:val="0"/>
          <w:sz w:val="22"/>
          <w:szCs w:val="22"/>
        </w:rPr>
        <w:t>向甲方支付违约金。</w:t>
      </w:r>
    </w:p>
    <w:p w14:paraId="32F3DF53">
      <w:pPr>
        <w:keepNext w:val="0"/>
        <w:keepLines w:val="0"/>
        <w:pageBreakBefore w:val="0"/>
        <w:tabs>
          <w:tab w:val="left" w:pos="1080"/>
        </w:tabs>
        <w:overflowPunct/>
        <w:topLinePunct w:val="0"/>
        <w:bidi w:val="0"/>
        <w:adjustRightInd/>
        <w:spacing w:line="420" w:lineRule="exact"/>
        <w:ind w:firstLine="440" w:firstLineChars="200"/>
        <w:textAlignment w:val="auto"/>
        <w:outlineLvl w:val="9"/>
        <w:rPr>
          <w:rFonts w:hint="eastAsia" w:ascii="仿宋" w:hAnsi="仿宋" w:eastAsia="仿宋" w:cs="仿宋"/>
          <w:kern w:val="0"/>
          <w:sz w:val="22"/>
          <w:szCs w:val="22"/>
        </w:rPr>
      </w:pPr>
      <w:r>
        <w:rPr>
          <w:rFonts w:hint="eastAsia" w:ascii="仿宋" w:hAnsi="仿宋" w:eastAsia="仿宋" w:cs="仿宋"/>
          <w:kern w:val="0"/>
          <w:sz w:val="22"/>
          <w:szCs w:val="22"/>
        </w:rPr>
        <w:t>若本项目经甲方验收不合格，甲方有权要求乙方在10日历天内整改完善，乙方必须予以整改完善。因此导致成果逾期提交的，履行期限不予顺延，每逾期一天，应按合同总金额的</w:t>
      </w:r>
      <w:r>
        <w:rPr>
          <w:rFonts w:hint="eastAsia" w:ascii="仿宋" w:hAnsi="仿宋" w:eastAsia="仿宋" w:cs="仿宋"/>
          <w:kern w:val="0"/>
          <w:sz w:val="22"/>
          <w:szCs w:val="22"/>
          <w:u w:val="single"/>
        </w:rPr>
        <w:t>0.03%</w:t>
      </w:r>
      <w:r>
        <w:rPr>
          <w:rFonts w:hint="eastAsia" w:ascii="仿宋" w:hAnsi="仿宋" w:eastAsia="仿宋" w:cs="仿宋"/>
          <w:kern w:val="0"/>
          <w:sz w:val="22"/>
          <w:szCs w:val="22"/>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仿宋" w:hAnsi="仿宋" w:eastAsia="仿宋" w:cs="仿宋"/>
          <w:kern w:val="0"/>
          <w:sz w:val="22"/>
          <w:szCs w:val="22"/>
          <w:u w:val="single"/>
        </w:rPr>
        <w:t>30%</w:t>
      </w:r>
      <w:r>
        <w:rPr>
          <w:rFonts w:hint="eastAsia" w:ascii="仿宋" w:hAnsi="仿宋" w:eastAsia="仿宋" w:cs="仿宋"/>
          <w:kern w:val="0"/>
          <w:sz w:val="22"/>
          <w:szCs w:val="22"/>
        </w:rPr>
        <w:t>，但甲方的实际损失超过合同总金额</w:t>
      </w:r>
      <w:r>
        <w:rPr>
          <w:rFonts w:hint="eastAsia" w:ascii="仿宋" w:hAnsi="仿宋" w:eastAsia="仿宋" w:cs="仿宋"/>
          <w:kern w:val="0"/>
          <w:sz w:val="22"/>
          <w:szCs w:val="22"/>
          <w:u w:val="single"/>
        </w:rPr>
        <w:t>30%</w:t>
      </w:r>
      <w:r>
        <w:rPr>
          <w:rFonts w:hint="eastAsia" w:ascii="仿宋" w:hAnsi="仿宋" w:eastAsia="仿宋" w:cs="仿宋"/>
          <w:kern w:val="0"/>
          <w:sz w:val="22"/>
          <w:szCs w:val="22"/>
        </w:rPr>
        <w:t>的，乙方应当承担补足责任。</w:t>
      </w:r>
    </w:p>
    <w:p w14:paraId="14646561">
      <w:pPr>
        <w:keepNext w:val="0"/>
        <w:keepLines w:val="0"/>
        <w:pageBreakBefore w:val="0"/>
        <w:tabs>
          <w:tab w:val="left" w:pos="1080"/>
        </w:tabs>
        <w:overflowPunct/>
        <w:topLinePunct w:val="0"/>
        <w:bidi w:val="0"/>
        <w:adjustRightInd/>
        <w:spacing w:line="420" w:lineRule="exact"/>
        <w:ind w:firstLine="440" w:firstLineChars="200"/>
        <w:textAlignment w:val="auto"/>
        <w:outlineLvl w:val="9"/>
        <w:rPr>
          <w:rFonts w:hint="eastAsia" w:ascii="仿宋" w:hAnsi="仿宋" w:eastAsia="仿宋" w:cs="仿宋"/>
          <w:kern w:val="0"/>
          <w:sz w:val="22"/>
          <w:szCs w:val="22"/>
        </w:rPr>
      </w:pPr>
      <w:r>
        <w:rPr>
          <w:rFonts w:hint="eastAsia" w:ascii="仿宋" w:hAnsi="仿宋" w:eastAsia="仿宋" w:cs="仿宋"/>
          <w:kern w:val="0"/>
          <w:sz w:val="22"/>
          <w:szCs w:val="22"/>
        </w:rPr>
        <w:t>甲乙双方任何一方违反保密义务的，违约方应向对方支付合同总金额</w:t>
      </w:r>
      <w:r>
        <w:rPr>
          <w:rFonts w:hint="eastAsia" w:ascii="仿宋" w:hAnsi="仿宋" w:eastAsia="仿宋" w:cs="仿宋"/>
          <w:kern w:val="0"/>
          <w:sz w:val="22"/>
          <w:szCs w:val="22"/>
          <w:u w:val="single"/>
        </w:rPr>
        <w:t>10%</w:t>
      </w:r>
      <w:r>
        <w:rPr>
          <w:rFonts w:hint="eastAsia" w:ascii="仿宋" w:hAnsi="仿宋" w:eastAsia="仿宋" w:cs="仿宋"/>
          <w:kern w:val="0"/>
          <w:sz w:val="22"/>
          <w:szCs w:val="22"/>
        </w:rPr>
        <w:t>的违约金，违约金不足以弥补对方损失的还应当承担补足责任。</w:t>
      </w:r>
    </w:p>
    <w:p w14:paraId="25F4B18C">
      <w:pPr>
        <w:keepNext w:val="0"/>
        <w:keepLines w:val="0"/>
        <w:pageBreakBefore w:val="0"/>
        <w:tabs>
          <w:tab w:val="left" w:pos="1080"/>
        </w:tabs>
        <w:overflowPunct/>
        <w:topLinePunct w:val="0"/>
        <w:bidi w:val="0"/>
        <w:adjustRightInd/>
        <w:spacing w:line="420" w:lineRule="exact"/>
        <w:ind w:firstLine="440" w:firstLineChars="200"/>
        <w:textAlignment w:val="auto"/>
        <w:outlineLvl w:val="9"/>
        <w:rPr>
          <w:rFonts w:hint="eastAsia" w:ascii="仿宋" w:hAnsi="仿宋" w:eastAsia="仿宋" w:cs="仿宋"/>
          <w:kern w:val="0"/>
          <w:sz w:val="22"/>
          <w:szCs w:val="22"/>
        </w:rPr>
      </w:pPr>
      <w:r>
        <w:rPr>
          <w:rFonts w:hint="eastAsia" w:ascii="仿宋" w:hAnsi="仿宋" w:eastAsia="仿宋" w:cs="仿宋"/>
          <w:kern w:val="0"/>
          <w:sz w:val="22"/>
          <w:szCs w:val="22"/>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仿宋" w:hAnsi="仿宋" w:eastAsia="仿宋" w:cs="仿宋"/>
          <w:kern w:val="0"/>
          <w:sz w:val="22"/>
          <w:szCs w:val="22"/>
          <w:u w:val="single"/>
        </w:rPr>
        <w:t>10%</w:t>
      </w:r>
      <w:r>
        <w:rPr>
          <w:rFonts w:hint="eastAsia" w:ascii="仿宋" w:hAnsi="仿宋" w:eastAsia="仿宋" w:cs="仿宋"/>
          <w:kern w:val="0"/>
          <w:sz w:val="22"/>
          <w:szCs w:val="22"/>
        </w:rPr>
        <w:t>支付违约金。若甲方全部终止合同的，乙方应按合同总金额</w:t>
      </w:r>
      <w:r>
        <w:rPr>
          <w:rFonts w:hint="eastAsia" w:ascii="仿宋" w:hAnsi="仿宋" w:eastAsia="仿宋" w:cs="仿宋"/>
          <w:kern w:val="0"/>
          <w:sz w:val="22"/>
          <w:szCs w:val="22"/>
          <w:u w:val="single"/>
        </w:rPr>
        <w:t>30%</w:t>
      </w:r>
      <w:r>
        <w:rPr>
          <w:rFonts w:hint="eastAsia" w:ascii="仿宋" w:hAnsi="仿宋" w:eastAsia="仿宋" w:cs="仿宋"/>
          <w:kern w:val="0"/>
          <w:sz w:val="22"/>
          <w:szCs w:val="22"/>
        </w:rPr>
        <w:t>的支付违约金。同时甲方的实际损失超过合同总金额</w:t>
      </w:r>
      <w:r>
        <w:rPr>
          <w:rFonts w:hint="eastAsia" w:ascii="仿宋" w:hAnsi="仿宋" w:eastAsia="仿宋" w:cs="仿宋"/>
          <w:kern w:val="0"/>
          <w:sz w:val="22"/>
          <w:szCs w:val="22"/>
          <w:u w:val="single"/>
        </w:rPr>
        <w:t>30%</w:t>
      </w:r>
      <w:r>
        <w:rPr>
          <w:rFonts w:hint="eastAsia" w:ascii="仿宋" w:hAnsi="仿宋" w:eastAsia="仿宋" w:cs="仿宋"/>
          <w:kern w:val="0"/>
          <w:sz w:val="22"/>
          <w:szCs w:val="22"/>
        </w:rPr>
        <w:t>的，乙方应当承担补足责任。</w:t>
      </w:r>
    </w:p>
    <w:p w14:paraId="7F65C902">
      <w:pPr>
        <w:keepNext w:val="0"/>
        <w:keepLines w:val="0"/>
        <w:pageBreakBefore w:val="0"/>
        <w:tabs>
          <w:tab w:val="left" w:pos="1080"/>
        </w:tabs>
        <w:overflowPunct/>
        <w:topLinePunct w:val="0"/>
        <w:bidi w:val="0"/>
        <w:adjustRightInd/>
        <w:spacing w:line="420" w:lineRule="exact"/>
        <w:ind w:firstLine="440" w:firstLineChars="200"/>
        <w:textAlignment w:val="auto"/>
        <w:outlineLvl w:val="9"/>
        <w:rPr>
          <w:rFonts w:hint="eastAsia" w:ascii="仿宋" w:hAnsi="仿宋" w:eastAsia="仿宋" w:cs="仿宋"/>
          <w:kern w:val="0"/>
          <w:sz w:val="22"/>
          <w:szCs w:val="22"/>
        </w:rPr>
      </w:pPr>
      <w:r>
        <w:rPr>
          <w:rFonts w:hint="eastAsia" w:ascii="仿宋" w:hAnsi="仿宋" w:eastAsia="仿宋" w:cs="仿宋"/>
          <w:kern w:val="0"/>
          <w:sz w:val="22"/>
          <w:szCs w:val="22"/>
        </w:rPr>
        <w:t>乙方违反合同约定的其它责任、义务视为违约，需向甲方支付合同总价款的</w:t>
      </w:r>
      <w:r>
        <w:rPr>
          <w:rFonts w:hint="eastAsia" w:ascii="仿宋" w:hAnsi="仿宋" w:eastAsia="仿宋" w:cs="仿宋"/>
          <w:kern w:val="0"/>
          <w:sz w:val="22"/>
          <w:szCs w:val="22"/>
          <w:u w:val="single"/>
        </w:rPr>
        <w:t>30%</w:t>
      </w:r>
      <w:r>
        <w:rPr>
          <w:rFonts w:hint="eastAsia" w:ascii="仿宋" w:hAnsi="仿宋" w:eastAsia="仿宋" w:cs="仿宋"/>
          <w:kern w:val="0"/>
          <w:sz w:val="22"/>
          <w:szCs w:val="22"/>
        </w:rPr>
        <w:t>违约金。同时甲方的实际损失超过合同总金额</w:t>
      </w:r>
      <w:r>
        <w:rPr>
          <w:rFonts w:hint="eastAsia" w:ascii="仿宋" w:hAnsi="仿宋" w:eastAsia="仿宋" w:cs="仿宋"/>
          <w:kern w:val="0"/>
          <w:sz w:val="22"/>
          <w:szCs w:val="22"/>
          <w:u w:val="single"/>
        </w:rPr>
        <w:t>30%</w:t>
      </w:r>
      <w:r>
        <w:rPr>
          <w:rFonts w:hint="eastAsia" w:ascii="仿宋" w:hAnsi="仿宋" w:eastAsia="仿宋" w:cs="仿宋"/>
          <w:kern w:val="0"/>
          <w:sz w:val="22"/>
          <w:szCs w:val="22"/>
        </w:rPr>
        <w:t>的，乙方应当承担补足责任。</w:t>
      </w:r>
    </w:p>
    <w:p w14:paraId="72A8D5A2">
      <w:pPr>
        <w:keepNext w:val="0"/>
        <w:keepLines w:val="0"/>
        <w:pageBreakBefore w:val="0"/>
        <w:overflowPunct/>
        <w:topLinePunct w:val="0"/>
        <w:bidi w:val="0"/>
        <w:adjustRightInd/>
        <w:spacing w:line="420" w:lineRule="exact"/>
        <w:textAlignment w:val="auto"/>
        <w:outlineLvl w:val="9"/>
        <w:rPr>
          <w:rFonts w:hint="eastAsia" w:ascii="仿宋" w:hAnsi="仿宋" w:eastAsia="仿宋" w:cs="仿宋"/>
          <w:b/>
          <w:sz w:val="22"/>
          <w:szCs w:val="22"/>
        </w:rPr>
      </w:pPr>
      <w:r>
        <w:rPr>
          <w:rFonts w:hint="eastAsia" w:ascii="仿宋" w:hAnsi="仿宋" w:eastAsia="仿宋" w:cs="仿宋"/>
          <w:b/>
          <w:sz w:val="22"/>
          <w:szCs w:val="22"/>
        </w:rPr>
        <w:t>十六、反商业贿赂</w:t>
      </w:r>
    </w:p>
    <w:p w14:paraId="34CDEF23">
      <w:pPr>
        <w:keepNext w:val="0"/>
        <w:keepLines w:val="0"/>
        <w:pageBreakBefore w:val="0"/>
        <w:overflowPunct/>
        <w:topLinePunct w:val="0"/>
        <w:bidi w:val="0"/>
        <w:adjustRightInd/>
        <w:spacing w:line="420" w:lineRule="exact"/>
        <w:ind w:firstLine="440" w:firstLineChars="200"/>
        <w:jc w:val="left"/>
        <w:textAlignment w:val="auto"/>
        <w:outlineLvl w:val="9"/>
        <w:rPr>
          <w:rFonts w:hint="eastAsia" w:ascii="仿宋" w:hAnsi="仿宋" w:eastAsia="仿宋" w:cs="仿宋"/>
          <w:kern w:val="0"/>
          <w:sz w:val="22"/>
          <w:szCs w:val="22"/>
        </w:rPr>
      </w:pPr>
      <w:r>
        <w:rPr>
          <w:rFonts w:hint="eastAsia" w:ascii="仿宋" w:hAnsi="仿宋" w:eastAsia="仿宋" w:cs="仿宋"/>
          <w:kern w:val="0"/>
          <w:sz w:val="22"/>
          <w:szCs w:val="22"/>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688C43AE">
      <w:pPr>
        <w:keepNext w:val="0"/>
        <w:keepLines w:val="0"/>
        <w:pageBreakBefore w:val="0"/>
        <w:overflowPunct/>
        <w:topLinePunct w:val="0"/>
        <w:bidi w:val="0"/>
        <w:adjustRightInd/>
        <w:spacing w:line="420" w:lineRule="exact"/>
        <w:textAlignment w:val="auto"/>
        <w:outlineLvl w:val="9"/>
        <w:rPr>
          <w:rFonts w:hint="eastAsia" w:ascii="仿宋" w:hAnsi="仿宋" w:eastAsia="仿宋" w:cs="仿宋"/>
          <w:b/>
          <w:sz w:val="22"/>
          <w:szCs w:val="22"/>
        </w:rPr>
      </w:pPr>
      <w:r>
        <w:rPr>
          <w:rFonts w:hint="eastAsia" w:ascii="仿宋" w:hAnsi="仿宋" w:eastAsia="仿宋" w:cs="仿宋"/>
          <w:b/>
          <w:sz w:val="22"/>
          <w:szCs w:val="22"/>
        </w:rPr>
        <w:t>十七、其他</w:t>
      </w:r>
    </w:p>
    <w:p w14:paraId="3FFB7A69">
      <w:pPr>
        <w:keepNext w:val="0"/>
        <w:keepLines w:val="0"/>
        <w:pageBreakBefore w:val="0"/>
        <w:tabs>
          <w:tab w:val="left" w:pos="980"/>
        </w:tabs>
        <w:kinsoku w:val="0"/>
        <w:overflowPunct/>
        <w:topLinePunct w:val="0"/>
        <w:bidi w:val="0"/>
        <w:adjustRightInd/>
        <w:spacing w:line="420" w:lineRule="exact"/>
        <w:ind w:firstLine="440" w:firstLineChars="200"/>
        <w:textAlignment w:val="auto"/>
        <w:outlineLvl w:val="9"/>
        <w:rPr>
          <w:rFonts w:hint="eastAsia" w:ascii="仿宋" w:hAnsi="仿宋" w:eastAsia="仿宋" w:cs="仿宋"/>
          <w:sz w:val="22"/>
          <w:szCs w:val="22"/>
        </w:rPr>
      </w:pPr>
      <w:r>
        <w:rPr>
          <w:rFonts w:hint="eastAsia" w:ascii="仿宋" w:hAnsi="仿宋" w:eastAsia="仿宋" w:cs="仿宋"/>
          <w:sz w:val="22"/>
          <w:szCs w:val="22"/>
        </w:rPr>
        <w:t>1.本合同签订时同步签订保密协议,详见附件。附件是本合同的一部分，具有与本合同同等的法律效力。</w:t>
      </w:r>
    </w:p>
    <w:p w14:paraId="0F4997E2">
      <w:pPr>
        <w:keepNext w:val="0"/>
        <w:keepLines w:val="0"/>
        <w:pageBreakBefore w:val="0"/>
        <w:tabs>
          <w:tab w:val="left" w:pos="980"/>
        </w:tabs>
        <w:kinsoku w:val="0"/>
        <w:overflowPunct/>
        <w:topLinePunct w:val="0"/>
        <w:bidi w:val="0"/>
        <w:adjustRightInd/>
        <w:spacing w:line="420" w:lineRule="exact"/>
        <w:ind w:firstLine="440" w:firstLineChars="200"/>
        <w:textAlignment w:val="auto"/>
        <w:outlineLvl w:val="9"/>
        <w:rPr>
          <w:rFonts w:hint="eastAsia" w:ascii="仿宋" w:hAnsi="仿宋" w:eastAsia="仿宋" w:cs="仿宋"/>
          <w:sz w:val="22"/>
          <w:szCs w:val="22"/>
        </w:rPr>
      </w:pPr>
      <w:r>
        <w:rPr>
          <w:rFonts w:hint="eastAsia" w:ascii="仿宋" w:hAnsi="仿宋" w:eastAsia="仿宋" w:cs="仿宋"/>
          <w:sz w:val="22"/>
          <w:szCs w:val="22"/>
        </w:rPr>
        <w:t>2.本合同一式四份，具有同等法律效力，双方各执一份，监管部门备案一份、采购代理机构存档一份。各方签字盖章后生效。</w:t>
      </w:r>
    </w:p>
    <w:p w14:paraId="5B8E50CA">
      <w:pPr>
        <w:keepNext w:val="0"/>
        <w:keepLines w:val="0"/>
        <w:pageBreakBefore w:val="0"/>
        <w:overflowPunct/>
        <w:topLinePunct w:val="0"/>
        <w:autoSpaceDE w:val="0"/>
        <w:autoSpaceDN w:val="0"/>
        <w:bidi w:val="0"/>
        <w:adjustRightInd/>
        <w:spacing w:line="420" w:lineRule="exact"/>
        <w:ind w:firstLine="440" w:firstLineChars="200"/>
        <w:textAlignment w:val="auto"/>
        <w:outlineLvl w:val="9"/>
        <w:rPr>
          <w:rFonts w:hint="eastAsia" w:ascii="仿宋" w:hAnsi="仿宋" w:eastAsia="仿宋" w:cs="仿宋"/>
          <w:sz w:val="22"/>
          <w:szCs w:val="22"/>
        </w:rPr>
      </w:pPr>
    </w:p>
    <w:p w14:paraId="324C2502">
      <w:pPr>
        <w:keepNext w:val="0"/>
        <w:keepLines w:val="0"/>
        <w:pageBreakBefore w:val="0"/>
        <w:overflowPunct/>
        <w:topLinePunct w:val="0"/>
        <w:bidi w:val="0"/>
        <w:adjustRightInd/>
        <w:spacing w:line="420" w:lineRule="exact"/>
        <w:textAlignment w:val="auto"/>
        <w:outlineLvl w:val="9"/>
        <w:rPr>
          <w:rFonts w:hint="eastAsia" w:ascii="仿宋" w:hAnsi="仿宋" w:eastAsia="仿宋" w:cs="仿宋"/>
          <w:sz w:val="22"/>
          <w:szCs w:val="22"/>
        </w:rPr>
      </w:pPr>
    </w:p>
    <w:p w14:paraId="76A95864">
      <w:pPr>
        <w:keepNext w:val="0"/>
        <w:keepLines w:val="0"/>
        <w:pageBreakBefore w:val="0"/>
        <w:overflowPunct/>
        <w:topLinePunct w:val="0"/>
        <w:bidi w:val="0"/>
        <w:adjustRightInd/>
        <w:snapToGrid w:val="0"/>
        <w:spacing w:line="420" w:lineRule="exact"/>
        <w:textAlignment w:val="auto"/>
        <w:outlineLvl w:val="9"/>
        <w:rPr>
          <w:rFonts w:hint="eastAsia" w:ascii="仿宋" w:hAnsi="仿宋" w:eastAsia="仿宋" w:cs="仿宋"/>
          <w:sz w:val="22"/>
          <w:szCs w:val="22"/>
          <w:u w:val="single"/>
        </w:rPr>
      </w:pPr>
      <w:r>
        <w:rPr>
          <w:rFonts w:hint="eastAsia" w:ascii="仿宋" w:hAnsi="仿宋" w:eastAsia="仿宋" w:cs="仿宋"/>
          <w:sz w:val="22"/>
          <w:szCs w:val="22"/>
        </w:rPr>
        <w:t>采购人（甲方）：</w:t>
      </w:r>
      <w:r>
        <w:rPr>
          <w:rFonts w:hint="eastAsia" w:ascii="仿宋" w:hAnsi="仿宋" w:eastAsia="仿宋" w:cs="仿宋"/>
          <w:sz w:val="22"/>
          <w:szCs w:val="22"/>
          <w:u w:val="single"/>
        </w:rPr>
        <w:t xml:space="preserve">   （盖章）       </w:t>
      </w:r>
      <w:r>
        <w:rPr>
          <w:rFonts w:hint="eastAsia" w:ascii="仿宋" w:hAnsi="仿宋" w:eastAsia="仿宋" w:cs="仿宋"/>
          <w:sz w:val="22"/>
          <w:szCs w:val="22"/>
        </w:rPr>
        <w:t>供应商（乙方）：</w:t>
      </w:r>
      <w:r>
        <w:rPr>
          <w:rFonts w:hint="eastAsia" w:ascii="仿宋" w:hAnsi="仿宋" w:eastAsia="仿宋" w:cs="仿宋"/>
          <w:sz w:val="22"/>
          <w:szCs w:val="22"/>
          <w:u w:val="single"/>
        </w:rPr>
        <w:t xml:space="preserve">   （盖章）         </w:t>
      </w:r>
    </w:p>
    <w:p w14:paraId="30F4E176">
      <w:pPr>
        <w:keepNext w:val="0"/>
        <w:keepLines w:val="0"/>
        <w:pageBreakBefore w:val="0"/>
        <w:overflowPunct/>
        <w:topLinePunct w:val="0"/>
        <w:bidi w:val="0"/>
        <w:adjustRightInd/>
        <w:spacing w:line="420" w:lineRule="exact"/>
        <w:textAlignment w:val="auto"/>
        <w:rPr>
          <w:rFonts w:hint="eastAsia" w:ascii="仿宋" w:hAnsi="仿宋" w:eastAsia="仿宋" w:cs="仿宋"/>
          <w:sz w:val="22"/>
          <w:szCs w:val="22"/>
        </w:rPr>
      </w:pPr>
      <w:r>
        <w:rPr>
          <w:rFonts w:hint="eastAsia" w:ascii="仿宋" w:hAnsi="仿宋" w:eastAsia="仿宋" w:cs="仿宋"/>
          <w:sz w:val="22"/>
          <w:szCs w:val="22"/>
        </w:rPr>
        <w:t>地址：                           地址：</w:t>
      </w:r>
    </w:p>
    <w:p w14:paraId="4A96BCDB">
      <w:pPr>
        <w:keepNext w:val="0"/>
        <w:keepLines w:val="0"/>
        <w:pageBreakBefore w:val="0"/>
        <w:overflowPunct/>
        <w:topLinePunct w:val="0"/>
        <w:bidi w:val="0"/>
        <w:adjustRightInd/>
        <w:snapToGrid w:val="0"/>
        <w:spacing w:line="420" w:lineRule="exact"/>
        <w:textAlignment w:val="auto"/>
        <w:rPr>
          <w:rFonts w:hint="eastAsia" w:ascii="仿宋" w:hAnsi="仿宋" w:eastAsia="仿宋" w:cs="仿宋"/>
          <w:b/>
          <w:bCs/>
          <w:sz w:val="22"/>
          <w:szCs w:val="22"/>
        </w:rPr>
      </w:pPr>
      <w:r>
        <w:rPr>
          <w:rFonts w:hint="eastAsia" w:ascii="仿宋" w:hAnsi="仿宋" w:eastAsia="仿宋" w:cs="仿宋"/>
          <w:sz w:val="22"/>
          <w:szCs w:val="22"/>
        </w:rPr>
        <w:t>法定代表人或                     法定代表人或</w:t>
      </w:r>
    </w:p>
    <w:p w14:paraId="361CD8F9">
      <w:pPr>
        <w:keepNext w:val="0"/>
        <w:keepLines w:val="0"/>
        <w:pageBreakBefore w:val="0"/>
        <w:overflowPunct/>
        <w:topLinePunct w:val="0"/>
        <w:bidi w:val="0"/>
        <w:adjustRightInd/>
        <w:snapToGrid w:val="0"/>
        <w:spacing w:line="420" w:lineRule="exact"/>
        <w:textAlignment w:val="auto"/>
        <w:rPr>
          <w:rFonts w:hint="eastAsia" w:ascii="仿宋" w:hAnsi="仿宋" w:eastAsia="仿宋" w:cs="仿宋"/>
          <w:sz w:val="22"/>
          <w:szCs w:val="22"/>
        </w:rPr>
      </w:pPr>
      <w:r>
        <w:rPr>
          <w:rFonts w:hint="eastAsia" w:ascii="仿宋" w:hAnsi="仿宋" w:eastAsia="仿宋" w:cs="仿宋"/>
          <w:sz w:val="22"/>
          <w:szCs w:val="22"/>
        </w:rPr>
        <w:t>其授权的代理人                   其授权的代理人</w:t>
      </w:r>
    </w:p>
    <w:p w14:paraId="754AED6C">
      <w:pPr>
        <w:keepNext w:val="0"/>
        <w:keepLines w:val="0"/>
        <w:pageBreakBefore w:val="0"/>
        <w:overflowPunct/>
        <w:topLinePunct w:val="0"/>
        <w:bidi w:val="0"/>
        <w:adjustRightInd/>
        <w:snapToGrid w:val="0"/>
        <w:spacing w:line="420" w:lineRule="exact"/>
        <w:textAlignment w:val="auto"/>
        <w:rPr>
          <w:rFonts w:hint="eastAsia" w:ascii="仿宋" w:hAnsi="仿宋" w:eastAsia="仿宋" w:cs="仿宋"/>
          <w:sz w:val="22"/>
          <w:szCs w:val="22"/>
        </w:rPr>
      </w:pPr>
      <w:r>
        <w:rPr>
          <w:rFonts w:hint="eastAsia" w:ascii="仿宋" w:hAnsi="仿宋" w:eastAsia="仿宋" w:cs="仿宋"/>
          <w:sz w:val="22"/>
          <w:szCs w:val="22"/>
        </w:rPr>
        <w:t>（签字或盖章）：                 （签字或盖章）：</w:t>
      </w:r>
    </w:p>
    <w:p w14:paraId="5774A3F8">
      <w:pPr>
        <w:keepNext w:val="0"/>
        <w:keepLines w:val="0"/>
        <w:pageBreakBefore w:val="0"/>
        <w:overflowPunct/>
        <w:topLinePunct w:val="0"/>
        <w:bidi w:val="0"/>
        <w:adjustRightInd/>
        <w:spacing w:line="420" w:lineRule="exact"/>
        <w:textAlignment w:val="auto"/>
        <w:rPr>
          <w:rFonts w:hint="eastAsia" w:ascii="仿宋" w:hAnsi="仿宋" w:eastAsia="仿宋" w:cs="仿宋"/>
          <w:sz w:val="22"/>
          <w:szCs w:val="22"/>
          <w:lang w:eastAsia="zh-Hans"/>
        </w:rPr>
      </w:pPr>
      <w:r>
        <w:rPr>
          <w:rFonts w:hint="eastAsia" w:ascii="仿宋" w:hAnsi="仿宋" w:eastAsia="仿宋" w:cs="仿宋"/>
          <w:sz w:val="22"/>
          <w:szCs w:val="22"/>
          <w:lang w:eastAsia="zh-Hans"/>
        </w:rPr>
        <w:t xml:space="preserve">订立时间： 年月日       </w:t>
      </w:r>
      <w:r>
        <w:rPr>
          <w:rFonts w:hint="eastAsia" w:ascii="仿宋" w:hAnsi="仿宋" w:eastAsia="仿宋" w:cs="仿宋"/>
          <w:sz w:val="22"/>
          <w:szCs w:val="22"/>
        </w:rPr>
        <w:t xml:space="preserve">   </w:t>
      </w:r>
      <w:r>
        <w:rPr>
          <w:rFonts w:hint="eastAsia" w:ascii="仿宋" w:hAnsi="仿宋" w:eastAsia="仿宋" w:cs="仿宋"/>
          <w:sz w:val="22"/>
          <w:szCs w:val="22"/>
          <w:lang w:eastAsia="zh-Hans"/>
        </w:rPr>
        <w:t xml:space="preserve">      订立时间：年月日 </w:t>
      </w:r>
    </w:p>
    <w:p w14:paraId="08ADB6A9">
      <w:pPr>
        <w:keepNext w:val="0"/>
        <w:keepLines w:val="0"/>
        <w:pageBreakBefore w:val="0"/>
        <w:overflowPunct/>
        <w:topLinePunct w:val="0"/>
        <w:bidi w:val="0"/>
        <w:adjustRightInd/>
        <w:spacing w:line="420" w:lineRule="exact"/>
        <w:textAlignment w:val="auto"/>
        <w:rPr>
          <w:rFonts w:hint="eastAsia" w:ascii="仿宋" w:hAnsi="仿宋" w:eastAsia="仿宋" w:cs="仿宋"/>
          <w:sz w:val="28"/>
          <w:szCs w:val="28"/>
        </w:rPr>
      </w:pPr>
      <w:r>
        <w:rPr>
          <w:rFonts w:hint="eastAsia" w:ascii="仿宋" w:hAnsi="仿宋" w:eastAsia="仿宋" w:cs="仿宋"/>
          <w:sz w:val="28"/>
          <w:szCs w:val="28"/>
        </w:rPr>
        <w:br w:type="page"/>
      </w:r>
    </w:p>
    <w:p w14:paraId="67A676FC">
      <w:pPr>
        <w:adjustRightInd/>
        <w:spacing w:line="240" w:lineRule="auto"/>
        <w:jc w:val="left"/>
        <w:rPr>
          <w:rFonts w:hint="eastAsia" w:ascii="仿宋" w:hAnsi="仿宋" w:eastAsia="仿宋" w:cs="仿宋"/>
          <w:sz w:val="28"/>
          <w:szCs w:val="28"/>
        </w:rPr>
      </w:pPr>
      <w:r>
        <w:rPr>
          <w:rFonts w:hint="eastAsia" w:ascii="仿宋" w:hAnsi="仿宋" w:eastAsia="仿宋" w:cs="仿宋"/>
          <w:sz w:val="28"/>
          <w:szCs w:val="28"/>
        </w:rPr>
        <w:t>附件：</w:t>
      </w:r>
    </w:p>
    <w:p w14:paraId="7D75A09D">
      <w:pPr>
        <w:adjustRightInd/>
        <w:spacing w:before="3120" w:beforeLines="1000" w:after="5616" w:afterLines="1800" w:line="24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u w:val="single"/>
          <w:lang w:eastAsia="zh-CN"/>
        </w:rPr>
        <w:t>交通行业专网网络服务</w:t>
      </w:r>
      <w:r>
        <w:rPr>
          <w:rFonts w:hint="eastAsia" w:ascii="仿宋" w:hAnsi="仿宋" w:eastAsia="仿宋" w:cs="仿宋"/>
          <w:b/>
          <w:sz w:val="28"/>
          <w:szCs w:val="28"/>
          <w:highlight w:val="none"/>
        </w:rPr>
        <w:t>项目保密协议</w:t>
      </w:r>
    </w:p>
    <w:p w14:paraId="6642C01D">
      <w:pPr>
        <w:adjustRightInd/>
        <w:spacing w:line="240" w:lineRule="auto"/>
        <w:ind w:firstLine="6"/>
        <w:jc w:val="center"/>
        <w:rPr>
          <w:rFonts w:hint="eastAsia" w:ascii="仿宋" w:hAnsi="仿宋" w:eastAsia="仿宋" w:cs="仿宋"/>
          <w:sz w:val="28"/>
          <w:szCs w:val="28"/>
        </w:rPr>
      </w:pPr>
      <w:r>
        <w:rPr>
          <w:rFonts w:hint="eastAsia" w:ascii="仿宋" w:hAnsi="仿宋" w:eastAsia="仿宋" w:cs="仿宋"/>
          <w:sz w:val="28"/>
          <w:szCs w:val="28"/>
        </w:rPr>
        <w:t xml:space="preserve">   甲  方：</w:t>
      </w:r>
      <w:r>
        <w:rPr>
          <w:rFonts w:hint="eastAsia" w:ascii="仿宋" w:hAnsi="仿宋" w:eastAsia="仿宋" w:cs="仿宋"/>
          <w:sz w:val="28"/>
          <w:szCs w:val="28"/>
          <w:u w:val="single"/>
        </w:rPr>
        <w:t>陕西省交通运行监测中心</w:t>
      </w:r>
    </w:p>
    <w:p w14:paraId="554317BE">
      <w:pPr>
        <w:adjustRightInd/>
        <w:spacing w:line="360" w:lineRule="auto"/>
        <w:ind w:firstLine="2240" w:firstLineChars="800"/>
        <w:rPr>
          <w:rFonts w:hint="eastAsia" w:ascii="仿宋" w:hAnsi="仿宋" w:eastAsia="仿宋" w:cs="仿宋"/>
          <w:sz w:val="22"/>
          <w:szCs w:val="22"/>
        </w:rPr>
      </w:pPr>
      <w:r>
        <w:rPr>
          <w:rFonts w:hint="eastAsia" w:ascii="仿宋" w:hAnsi="仿宋" w:eastAsia="仿宋" w:cs="仿宋"/>
          <w:sz w:val="28"/>
          <w:szCs w:val="28"/>
        </w:rPr>
        <w:t>乙  方：</w:t>
      </w:r>
      <w:r>
        <w:rPr>
          <w:rFonts w:hint="eastAsia" w:ascii="仿宋" w:hAnsi="仿宋" w:eastAsia="仿宋" w:cs="仿宋"/>
          <w:b/>
          <w:sz w:val="28"/>
          <w:szCs w:val="28"/>
        </w:rPr>
        <w:br w:type="page"/>
      </w:r>
      <w:r>
        <w:rPr>
          <w:rFonts w:hint="eastAsia" w:ascii="仿宋" w:hAnsi="仿宋" w:eastAsia="仿宋" w:cs="仿宋"/>
          <w:b/>
          <w:sz w:val="28"/>
          <w:szCs w:val="28"/>
        </w:rPr>
        <w:t xml:space="preserve">   </w:t>
      </w:r>
      <w:r>
        <w:rPr>
          <w:rFonts w:hint="eastAsia" w:ascii="仿宋" w:hAnsi="仿宋" w:eastAsia="仿宋" w:cs="仿宋"/>
          <w:b/>
          <w:sz w:val="22"/>
          <w:szCs w:val="22"/>
        </w:rPr>
        <w:t xml:space="preserve"> </w:t>
      </w:r>
      <w:r>
        <w:rPr>
          <w:rFonts w:hint="eastAsia" w:ascii="仿宋" w:hAnsi="仿宋" w:eastAsia="仿宋" w:cs="仿宋"/>
          <w:sz w:val="22"/>
          <w:szCs w:val="22"/>
        </w:rPr>
        <w:t>甲方：</w:t>
      </w:r>
      <w:r>
        <w:rPr>
          <w:rFonts w:hint="eastAsia" w:ascii="仿宋" w:hAnsi="仿宋" w:eastAsia="仿宋" w:cs="仿宋"/>
          <w:b/>
          <w:sz w:val="22"/>
          <w:szCs w:val="22"/>
        </w:rPr>
        <w:t>陕西省交通运行监测中心</w:t>
      </w:r>
    </w:p>
    <w:p w14:paraId="5B5D167F">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地址：西安市唐延路6号</w:t>
      </w:r>
      <w:r>
        <w:rPr>
          <w:rFonts w:hint="eastAsia" w:ascii="仿宋" w:hAnsi="仿宋" w:eastAsia="仿宋" w:cs="仿宋"/>
          <w:sz w:val="22"/>
          <w:szCs w:val="22"/>
        </w:rPr>
        <w:tab/>
      </w:r>
      <w:r>
        <w:rPr>
          <w:rFonts w:hint="eastAsia" w:ascii="仿宋" w:hAnsi="仿宋" w:eastAsia="仿宋" w:cs="仿宋"/>
          <w:sz w:val="22"/>
          <w:szCs w:val="22"/>
        </w:rPr>
        <w:tab/>
      </w:r>
    </w:p>
    <w:p w14:paraId="16199D82">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邮编：710075</w:t>
      </w:r>
      <w:r>
        <w:rPr>
          <w:rFonts w:hint="eastAsia" w:ascii="仿宋" w:hAnsi="仿宋" w:eastAsia="仿宋" w:cs="仿宋"/>
          <w:sz w:val="22"/>
          <w:szCs w:val="22"/>
        </w:rPr>
        <w:tab/>
      </w:r>
    </w:p>
    <w:p w14:paraId="137B909A">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p w14:paraId="4BCA7F68">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乙方：</w:t>
      </w:r>
    </w:p>
    <w:p w14:paraId="36712E54">
      <w:pPr>
        <w:adjustRightInd/>
        <w:spacing w:line="360" w:lineRule="auto"/>
        <w:ind w:firstLine="440" w:firstLineChars="200"/>
        <w:rPr>
          <w:rFonts w:hint="eastAsia" w:ascii="仿宋" w:hAnsi="仿宋" w:eastAsia="仿宋" w:cs="仿宋"/>
          <w:bCs/>
          <w:sz w:val="22"/>
          <w:szCs w:val="22"/>
        </w:rPr>
      </w:pPr>
      <w:r>
        <w:rPr>
          <w:rFonts w:hint="eastAsia" w:ascii="仿宋" w:hAnsi="仿宋" w:eastAsia="仿宋" w:cs="仿宋"/>
          <w:sz w:val="22"/>
          <w:szCs w:val="22"/>
        </w:rPr>
        <w:t>地址：</w:t>
      </w:r>
    </w:p>
    <w:p w14:paraId="0906671A">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邮编：           </w:t>
      </w:r>
    </w:p>
    <w:p w14:paraId="1C6E961C">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p w14:paraId="38406463">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依据《中华人民共和国民法典》的规定，就乙方履行合同《</w:t>
      </w:r>
      <w:r>
        <w:rPr>
          <w:rFonts w:hint="eastAsia" w:ascii="仿宋" w:hAnsi="仿宋" w:eastAsia="仿宋" w:cs="仿宋"/>
          <w:sz w:val="22"/>
          <w:szCs w:val="22"/>
          <w:lang w:eastAsia="zh-CN"/>
        </w:rPr>
        <w:t>交通行业专网网络服务</w:t>
      </w:r>
      <w:r>
        <w:rPr>
          <w:rFonts w:hint="eastAsia" w:ascii="仿宋" w:hAnsi="仿宋" w:eastAsia="仿宋" w:cs="仿宋"/>
          <w:sz w:val="22"/>
          <w:szCs w:val="22"/>
        </w:rPr>
        <w:t>》期间，乙方所接触到的甲方各种技术内容、会议信息和其他秘密的保守事项，经协商一致，签订本协议。</w:t>
      </w:r>
    </w:p>
    <w:p w14:paraId="799B932B">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一、保密范围和秘密定义</w:t>
      </w:r>
    </w:p>
    <w:p w14:paraId="1206C6E9">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1.本协议提及的技术秘密，包括但不限于：技术方案、设备配置、技术指标、技术报告、检测报告、试验结果、操作手册、技术文档、相关的函电，等等。</w:t>
      </w:r>
    </w:p>
    <w:p w14:paraId="63ECB95D">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7859EDA0">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3.保密期限：自合同签订之日起至乙方技术服务结束之日起五年。</w:t>
      </w:r>
    </w:p>
    <w:p w14:paraId="5C5F70B8">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二、甲方的权利和义务</w:t>
      </w:r>
    </w:p>
    <w:p w14:paraId="431A0D78">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甲方应指定专人定期督导和检查乙方关于秘密保守的执行情况。</w:t>
      </w:r>
    </w:p>
    <w:p w14:paraId="4D3AD0AB">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三、乙方的权利和义务</w:t>
      </w:r>
    </w:p>
    <w:p w14:paraId="5C9D6B9F">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1.乙方在甲方单位服务期间，必须遵守甲方规定的任何成文或不成文的保密规章、制度，履行与其工作相应的保密职责。</w:t>
      </w:r>
    </w:p>
    <w:p w14:paraId="3B12FD66">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2.乙方承诺，甲方的保密规章、制度没有规定或者规定不明确之处，乙方亦应本着谨慎、诚实的态度，维护其于服务期间知悉的技术秘密或其他秘密信息，以保持其机密性。</w:t>
      </w:r>
    </w:p>
    <w:p w14:paraId="34C0DBC6">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3.除了履行服务职责的需要之外，乙方承诺，未经甲方同意，不得以任何方式向甲方指定人员以外的其他任何人或单位传递属于甲方的秘密。</w:t>
      </w:r>
    </w:p>
    <w:p w14:paraId="54DA129C">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4.乙方服务结束之后仍对其在甲方服务期间接触、知悉的属于甲方的技术秘密和其他秘密信息，承担如同服务期间一样的保密义务，而无论乙方因何种原因结束技术服务。</w:t>
      </w:r>
    </w:p>
    <w:p w14:paraId="510DA971">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5.乙方承诺，在为甲方履行技术服务时，不得擅自使用任何属于他人的技术秘密或其他秘密信息。</w:t>
      </w:r>
    </w:p>
    <w:p w14:paraId="359CF65C">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6.乙方因工作上的需要所持有或保管的一切记录着甲方秘密信息的文件、资料、图表、笔记、报告、信件、磁带、磁盘、仪器以及其他任何形式的载体，均归甲方所有。</w:t>
      </w:r>
    </w:p>
    <w:p w14:paraId="51889C13">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7.乙方应当于技术服务结束时，或者于甲方提出请求时，返还全部记载着甲方秘密信息的一切载体。</w:t>
      </w:r>
    </w:p>
    <w:p w14:paraId="5119FC37">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四、违约责任</w:t>
      </w:r>
    </w:p>
    <w:p w14:paraId="747CB260">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1.双方因履行本协议而引起的争议或与本协议有关的争议，双方通过友好协商解决。如果无法达成一致意见，任何一方均有权限据本协议向甲方所在地</w:t>
      </w:r>
      <w:r>
        <w:rPr>
          <w:rFonts w:hint="eastAsia" w:ascii="仿宋" w:hAnsi="仿宋" w:eastAsia="仿宋" w:cs="仿宋"/>
          <w:sz w:val="22"/>
          <w:szCs w:val="22"/>
          <w:lang w:eastAsia="zh-CN"/>
        </w:rPr>
        <w:t>人民法院提起诉讼</w:t>
      </w:r>
      <w:r>
        <w:rPr>
          <w:rFonts w:hint="eastAsia" w:ascii="仿宋" w:hAnsi="仿宋" w:eastAsia="仿宋" w:cs="仿宋"/>
          <w:sz w:val="22"/>
          <w:szCs w:val="22"/>
        </w:rPr>
        <w:t>。</w:t>
      </w:r>
    </w:p>
    <w:p w14:paraId="3BD5C352">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2.一方违反本协议时，另一方有权终止本协议，并有权向违约方主张合同总金额20%的违约金。</w:t>
      </w:r>
    </w:p>
    <w:p w14:paraId="3C0361BD">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五、协议的变更和解除</w:t>
      </w:r>
    </w:p>
    <w:p w14:paraId="1FF32098">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1.在协议履行期内，甲乙双方均不得擅自变更或解除本协议。但经双方友好协商可对本协议条款进行变更或解除本协议。在技术服务合同期限内，甲乙双方不得终止本协议。</w:t>
      </w:r>
    </w:p>
    <w:p w14:paraId="4FF798F8">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2.因客观原因，一方要求变更本协议时，须提前7天通知另一方，并征得的另一方的同意。</w:t>
      </w:r>
    </w:p>
    <w:p w14:paraId="793CEC7B">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3.因一方严重违约使本协议不能履行，另一方可单方面解除本协议，同时由违约方应承担违约责任，并对因违约所造成的损失予以赔偿。</w:t>
      </w:r>
    </w:p>
    <w:p w14:paraId="275BE09F">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4.本协议未尽事宜由甲乙双方协商解决，并以书面备忘录形式加以补充规定，备忘录与本协议具有同等的法律效力。</w:t>
      </w:r>
    </w:p>
    <w:p w14:paraId="32AC66FB">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六、其它</w:t>
      </w:r>
    </w:p>
    <w:p w14:paraId="20A3D03F">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1.未尽事宜，双方本着友好精神，另行协商。</w:t>
      </w:r>
    </w:p>
    <w:p w14:paraId="0DC739A4">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2.本协议一式肆份，甲方贰份，乙方贰份，具有同等效力。</w:t>
      </w:r>
    </w:p>
    <w:p w14:paraId="75001A1C">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3.本协议中所称的技术服务履约期间，以甲方和乙方签订的技术服务合同书为标志。本协议中所称的结束技术服务，以双方所签订的技术服务合同书相关条款所规定的解除合作关系的时间为准。</w:t>
      </w:r>
    </w:p>
    <w:p w14:paraId="623CA79E">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4.本协议自双方签字、盖章完成之日起生效。</w:t>
      </w:r>
    </w:p>
    <w:p w14:paraId="01E83CBA">
      <w:pPr>
        <w:adjustRightInd/>
        <w:spacing w:line="360" w:lineRule="auto"/>
        <w:ind w:left="426"/>
        <w:rPr>
          <w:rFonts w:hint="eastAsia" w:ascii="仿宋" w:hAnsi="仿宋" w:eastAsia="仿宋" w:cs="仿宋"/>
          <w:sz w:val="22"/>
          <w:szCs w:val="22"/>
        </w:rPr>
      </w:pPr>
    </w:p>
    <w:p w14:paraId="6F95DEE1">
      <w:pPr>
        <w:adjustRightInd/>
        <w:spacing w:line="360" w:lineRule="auto"/>
        <w:jc w:val="left"/>
        <w:rPr>
          <w:rFonts w:hint="eastAsia" w:ascii="仿宋" w:hAnsi="仿宋" w:eastAsia="仿宋" w:cs="仿宋"/>
          <w:sz w:val="22"/>
          <w:szCs w:val="22"/>
        </w:rPr>
      </w:pPr>
    </w:p>
    <w:tbl>
      <w:tblPr>
        <w:tblStyle w:val="11"/>
        <w:tblW w:w="9066" w:type="dxa"/>
        <w:jc w:val="center"/>
        <w:tblLayout w:type="fixed"/>
        <w:tblCellMar>
          <w:top w:w="0" w:type="dxa"/>
          <w:left w:w="284" w:type="dxa"/>
          <w:bottom w:w="0" w:type="dxa"/>
          <w:right w:w="0" w:type="dxa"/>
        </w:tblCellMar>
      </w:tblPr>
      <w:tblGrid>
        <w:gridCol w:w="4533"/>
        <w:gridCol w:w="4533"/>
      </w:tblGrid>
      <w:tr w14:paraId="373C7C4F">
        <w:tblPrEx>
          <w:tblCellMar>
            <w:top w:w="0" w:type="dxa"/>
            <w:left w:w="284" w:type="dxa"/>
            <w:bottom w:w="0" w:type="dxa"/>
            <w:right w:w="0" w:type="dxa"/>
          </w:tblCellMar>
        </w:tblPrEx>
        <w:trPr>
          <w:trHeight w:val="1265" w:hRule="atLeast"/>
          <w:jc w:val="center"/>
        </w:trPr>
        <w:tc>
          <w:tcPr>
            <w:tcW w:w="4533" w:type="dxa"/>
          </w:tcPr>
          <w:p w14:paraId="639BA34E">
            <w:pPr>
              <w:widowControl/>
              <w:adjustRightInd/>
              <w:spacing w:line="360" w:lineRule="auto"/>
              <w:ind w:right="-31"/>
              <w:jc w:val="left"/>
              <w:rPr>
                <w:rFonts w:hint="eastAsia" w:ascii="仿宋" w:hAnsi="仿宋" w:eastAsia="仿宋" w:cs="仿宋"/>
                <w:sz w:val="22"/>
                <w:szCs w:val="22"/>
              </w:rPr>
            </w:pPr>
            <w:r>
              <w:rPr>
                <w:rFonts w:hint="eastAsia" w:ascii="仿宋" w:hAnsi="仿宋" w:eastAsia="仿宋" w:cs="仿宋"/>
                <w:sz w:val="22"/>
                <w:szCs w:val="22"/>
              </w:rPr>
              <w:t>甲方：陕西省交通运行监测中心（公章）</w:t>
            </w:r>
          </w:p>
        </w:tc>
        <w:tc>
          <w:tcPr>
            <w:tcW w:w="4533" w:type="dxa"/>
          </w:tcPr>
          <w:p w14:paraId="7D808535">
            <w:pPr>
              <w:widowControl/>
              <w:adjustRightInd/>
              <w:spacing w:line="360" w:lineRule="auto"/>
              <w:ind w:left="700" w:right="102" w:hanging="550" w:hangingChars="250"/>
              <w:jc w:val="left"/>
              <w:rPr>
                <w:rFonts w:hint="eastAsia" w:ascii="仿宋" w:hAnsi="仿宋" w:eastAsia="仿宋" w:cs="仿宋"/>
                <w:sz w:val="22"/>
                <w:szCs w:val="22"/>
              </w:rPr>
            </w:pPr>
            <w:r>
              <w:rPr>
                <w:rFonts w:hint="eastAsia" w:ascii="仿宋" w:hAnsi="仿宋" w:eastAsia="仿宋" w:cs="仿宋"/>
                <w:sz w:val="22"/>
                <w:szCs w:val="22"/>
              </w:rPr>
              <w:t>乙方： （公章）</w:t>
            </w:r>
          </w:p>
        </w:tc>
      </w:tr>
      <w:tr w14:paraId="12F5BB9E">
        <w:tblPrEx>
          <w:tblCellMar>
            <w:top w:w="0" w:type="dxa"/>
            <w:left w:w="284" w:type="dxa"/>
            <w:bottom w:w="0" w:type="dxa"/>
            <w:right w:w="0" w:type="dxa"/>
          </w:tblCellMar>
        </w:tblPrEx>
        <w:trPr>
          <w:trHeight w:val="2684" w:hRule="atLeast"/>
          <w:jc w:val="center"/>
        </w:trPr>
        <w:tc>
          <w:tcPr>
            <w:tcW w:w="4533" w:type="dxa"/>
          </w:tcPr>
          <w:p w14:paraId="381CBD19">
            <w:pPr>
              <w:widowControl/>
              <w:adjustRightInd/>
              <w:spacing w:line="360" w:lineRule="auto"/>
              <w:ind w:left="100"/>
              <w:rPr>
                <w:rFonts w:hint="eastAsia" w:ascii="仿宋" w:hAnsi="仿宋" w:eastAsia="仿宋" w:cs="仿宋"/>
                <w:sz w:val="22"/>
                <w:szCs w:val="22"/>
              </w:rPr>
            </w:pPr>
            <w:r>
              <w:rPr>
                <w:rFonts w:hint="eastAsia" w:ascii="仿宋" w:hAnsi="仿宋" w:eastAsia="仿宋" w:cs="仿宋"/>
                <w:sz w:val="22"/>
                <w:szCs w:val="22"/>
              </w:rPr>
              <w:t>法定代表人</w:t>
            </w:r>
          </w:p>
          <w:p w14:paraId="2F39461B">
            <w:pPr>
              <w:widowControl/>
              <w:adjustRightInd/>
              <w:spacing w:line="360" w:lineRule="auto"/>
              <w:ind w:left="100"/>
              <w:rPr>
                <w:rFonts w:hint="eastAsia" w:ascii="仿宋" w:hAnsi="仿宋" w:eastAsia="仿宋" w:cs="仿宋"/>
                <w:sz w:val="22"/>
                <w:szCs w:val="22"/>
              </w:rPr>
            </w:pPr>
            <w:r>
              <w:rPr>
                <w:rFonts w:hint="eastAsia" w:ascii="仿宋" w:hAnsi="仿宋" w:eastAsia="仿宋" w:cs="仿宋"/>
                <w:sz w:val="22"/>
                <w:szCs w:val="22"/>
              </w:rPr>
              <w:t>或授权代表人：</w:t>
            </w:r>
          </w:p>
          <w:p w14:paraId="3B6E4E07">
            <w:pPr>
              <w:widowControl/>
              <w:adjustRightInd/>
              <w:spacing w:line="360" w:lineRule="auto"/>
              <w:ind w:left="100" w:firstLine="220" w:firstLineChars="100"/>
              <w:rPr>
                <w:rFonts w:hint="eastAsia" w:ascii="仿宋" w:hAnsi="仿宋" w:eastAsia="仿宋" w:cs="仿宋"/>
                <w:sz w:val="22"/>
                <w:szCs w:val="22"/>
              </w:rPr>
            </w:pPr>
            <w:r>
              <w:rPr>
                <w:rFonts w:hint="eastAsia" w:ascii="仿宋" w:hAnsi="仿宋" w:eastAsia="仿宋" w:cs="仿宋"/>
                <w:sz w:val="22"/>
                <w:szCs w:val="22"/>
              </w:rPr>
              <w:t>（签章）</w:t>
            </w:r>
          </w:p>
        </w:tc>
        <w:tc>
          <w:tcPr>
            <w:tcW w:w="4533" w:type="dxa"/>
          </w:tcPr>
          <w:p w14:paraId="31380280">
            <w:pPr>
              <w:widowControl/>
              <w:adjustRightInd/>
              <w:spacing w:line="360" w:lineRule="auto"/>
              <w:ind w:left="100"/>
              <w:rPr>
                <w:rFonts w:hint="eastAsia" w:ascii="仿宋" w:hAnsi="仿宋" w:eastAsia="仿宋" w:cs="仿宋"/>
                <w:sz w:val="22"/>
                <w:szCs w:val="22"/>
              </w:rPr>
            </w:pPr>
            <w:r>
              <w:rPr>
                <w:rFonts w:hint="eastAsia" w:ascii="仿宋" w:hAnsi="仿宋" w:eastAsia="仿宋" w:cs="仿宋"/>
                <w:sz w:val="22"/>
                <w:szCs w:val="22"/>
              </w:rPr>
              <w:t>法定代表人</w:t>
            </w:r>
          </w:p>
          <w:p w14:paraId="17192E2B">
            <w:pPr>
              <w:widowControl/>
              <w:adjustRightInd/>
              <w:spacing w:line="360" w:lineRule="auto"/>
              <w:ind w:left="100"/>
              <w:rPr>
                <w:rFonts w:hint="eastAsia" w:ascii="仿宋" w:hAnsi="仿宋" w:eastAsia="仿宋" w:cs="仿宋"/>
                <w:sz w:val="22"/>
                <w:szCs w:val="22"/>
              </w:rPr>
            </w:pPr>
            <w:r>
              <w:rPr>
                <w:rFonts w:hint="eastAsia" w:ascii="仿宋" w:hAnsi="仿宋" w:eastAsia="仿宋" w:cs="仿宋"/>
                <w:sz w:val="22"/>
                <w:szCs w:val="22"/>
              </w:rPr>
              <w:t>或授权代表人：</w:t>
            </w:r>
          </w:p>
          <w:p w14:paraId="201AC0A7">
            <w:pPr>
              <w:widowControl/>
              <w:adjustRightInd/>
              <w:spacing w:line="360" w:lineRule="auto"/>
              <w:ind w:left="100" w:firstLine="220" w:firstLineChars="100"/>
              <w:rPr>
                <w:rFonts w:hint="eastAsia" w:ascii="仿宋" w:hAnsi="仿宋" w:eastAsia="仿宋" w:cs="仿宋"/>
                <w:sz w:val="22"/>
                <w:szCs w:val="22"/>
              </w:rPr>
            </w:pPr>
            <w:r>
              <w:rPr>
                <w:rFonts w:hint="eastAsia" w:ascii="仿宋" w:hAnsi="仿宋" w:eastAsia="仿宋" w:cs="仿宋"/>
                <w:sz w:val="22"/>
                <w:szCs w:val="22"/>
              </w:rPr>
              <w:t>（签章）</w:t>
            </w:r>
          </w:p>
        </w:tc>
      </w:tr>
      <w:tr w14:paraId="12F2A351">
        <w:tblPrEx>
          <w:tblCellMar>
            <w:top w:w="0" w:type="dxa"/>
            <w:left w:w="284" w:type="dxa"/>
            <w:bottom w:w="0" w:type="dxa"/>
            <w:right w:w="0" w:type="dxa"/>
          </w:tblCellMar>
        </w:tblPrEx>
        <w:trPr>
          <w:trHeight w:val="590" w:hRule="atLeast"/>
          <w:jc w:val="center"/>
        </w:trPr>
        <w:tc>
          <w:tcPr>
            <w:tcW w:w="9066" w:type="dxa"/>
            <w:gridSpan w:val="2"/>
          </w:tcPr>
          <w:p w14:paraId="367578B1">
            <w:pPr>
              <w:widowControl/>
              <w:wordWrap w:val="0"/>
              <w:adjustRightInd/>
              <w:spacing w:line="360" w:lineRule="auto"/>
              <w:jc w:val="center"/>
              <w:rPr>
                <w:rFonts w:hint="eastAsia" w:ascii="仿宋" w:hAnsi="仿宋" w:eastAsia="仿宋" w:cs="仿宋"/>
                <w:sz w:val="22"/>
                <w:szCs w:val="22"/>
              </w:rPr>
            </w:pPr>
            <w:r>
              <w:rPr>
                <w:rFonts w:hint="eastAsia" w:ascii="仿宋" w:hAnsi="仿宋" w:eastAsia="仿宋" w:cs="仿宋"/>
                <w:sz w:val="22"/>
                <w:szCs w:val="22"/>
              </w:rPr>
              <w:t xml:space="preserve">订立时间：        年      月      日          </w:t>
            </w:r>
          </w:p>
        </w:tc>
      </w:tr>
    </w:tbl>
    <w:p w14:paraId="6C3A7CB7">
      <w:pPr>
        <w:rPr>
          <w:rFonts w:hint="eastAsia" w:ascii="仿宋" w:hAnsi="仿宋" w:eastAsia="仿宋" w:cs="仿宋"/>
          <w:sz w:val="21"/>
          <w:szCs w:val="24"/>
          <w:lang w:val="en-US" w:eastAsia="zh-Hans" w:bidi="ar-SA"/>
        </w:rPr>
      </w:pPr>
    </w:p>
    <w:p w14:paraId="32DD97D3">
      <w:pPr>
        <w:rPr>
          <w:rFonts w:hint="eastAsia" w:ascii="仿宋" w:hAnsi="仿宋" w:eastAsia="仿宋" w:cs="仿宋"/>
          <w:sz w:val="21"/>
          <w:szCs w:val="24"/>
        </w:rPr>
      </w:pPr>
    </w:p>
    <w:p w14:paraId="6F5511EF">
      <w:pPr>
        <w:rPr>
          <w:rFonts w:hint="eastAsia" w:ascii="仿宋" w:hAnsi="仿宋" w:eastAsia="仿宋" w:cs="仿宋"/>
          <w:sz w:val="21"/>
          <w:szCs w:val="24"/>
        </w:rPr>
      </w:pPr>
    </w:p>
    <w:p w14:paraId="6195C3D3">
      <w:pPr>
        <w:adjustRightInd w:val="0"/>
        <w:snapToGrid w:val="0"/>
        <w:spacing w:line="360" w:lineRule="auto"/>
        <w:ind w:firstLine="0" w:firstLineChars="0"/>
        <w:rPr>
          <w:rFonts w:ascii="仿宋_GB2312" w:hAnsi="仿宋_GB2312" w:eastAsia="仿宋_GB2312" w:cs="仿宋_GB2312"/>
          <w:color w:val="auto"/>
          <w:sz w:val="24"/>
          <w:szCs w:val="24"/>
          <w:highlight w:val="none"/>
        </w:rPr>
      </w:pPr>
    </w:p>
    <w:p w14:paraId="614C5752">
      <w:pPr>
        <w:pStyle w:val="5"/>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C3A7">
    <w:pPr>
      <w:pStyle w:val="7"/>
      <w:jc w:val="center"/>
      <w:rPr>
        <w:rFonts w:ascii="宋体"/>
        <w:sz w:val="21"/>
        <w:szCs w:val="21"/>
      </w:rPr>
    </w:pPr>
    <w:r>
      <w:rPr>
        <w:rFonts w:hint="eastAsia" w:ascii="宋体" w:hAnsi="宋体" w:cs="宋体"/>
        <w:kern w:val="0"/>
        <w:sz w:val="21"/>
        <w:szCs w:val="21"/>
      </w:rPr>
      <w:t>第</w:t>
    </w:r>
    <w:r>
      <w:rPr>
        <w:rFonts w:ascii="宋体" w:hAnsi="宋体" w:cs="宋体"/>
        <w:kern w:val="0"/>
        <w:sz w:val="21"/>
        <w:szCs w:val="21"/>
      </w:rPr>
      <w:t xml:space="preserve"> </w:t>
    </w:r>
    <w:r>
      <w:rPr>
        <w:rFonts w:ascii="宋体" w:hAnsi="宋体" w:cs="宋体"/>
        <w:kern w:val="0"/>
        <w:sz w:val="21"/>
        <w:szCs w:val="21"/>
      </w:rPr>
      <w:fldChar w:fldCharType="begin"/>
    </w:r>
    <w:r>
      <w:rPr>
        <w:rFonts w:ascii="宋体" w:hAnsi="宋体" w:cs="宋体"/>
        <w:kern w:val="0"/>
        <w:sz w:val="21"/>
        <w:szCs w:val="21"/>
      </w:rPr>
      <w:instrText xml:space="preserve"> PAGE </w:instrText>
    </w:r>
    <w:r>
      <w:rPr>
        <w:rFonts w:ascii="宋体" w:hAnsi="宋体" w:cs="宋体"/>
        <w:kern w:val="0"/>
        <w:sz w:val="21"/>
        <w:szCs w:val="21"/>
      </w:rPr>
      <w:fldChar w:fldCharType="separate"/>
    </w:r>
    <w:r>
      <w:rPr>
        <w:rFonts w:ascii="宋体" w:hAnsi="宋体" w:cs="宋体"/>
        <w:kern w:val="0"/>
        <w:sz w:val="21"/>
        <w:szCs w:val="21"/>
      </w:rPr>
      <w:t>68</w:t>
    </w:r>
    <w:r>
      <w:rPr>
        <w:rFonts w:ascii="宋体" w:hAnsi="宋体" w:cs="宋体"/>
        <w:kern w:val="0"/>
        <w:sz w:val="21"/>
        <w:szCs w:val="21"/>
      </w:rPr>
      <w:fldChar w:fldCharType="end"/>
    </w:r>
    <w:r>
      <w:rPr>
        <w:rFonts w:ascii="宋体" w:hAnsi="宋体" w:cs="宋体"/>
        <w:kern w:val="0"/>
        <w:sz w:val="21"/>
        <w:szCs w:val="21"/>
      </w:rPr>
      <w:t xml:space="preserve"> </w:t>
    </w:r>
    <w:r>
      <w:rPr>
        <w:rFonts w:hint="eastAsia" w:ascii="宋体" w:hAnsi="宋体" w:cs="宋体"/>
        <w:kern w:val="0"/>
        <w:sz w:val="21"/>
        <w:szCs w:val="21"/>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2666E"/>
    <w:multiLevelType w:val="singleLevel"/>
    <w:tmpl w:val="A952666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BE2DF7"/>
    <w:rsid w:val="30500B8B"/>
    <w:rsid w:val="39E76805"/>
    <w:rsid w:val="4D6A06BC"/>
    <w:rsid w:val="522D0AC2"/>
    <w:rsid w:val="5626051D"/>
    <w:rsid w:val="64307297"/>
    <w:rsid w:val="64C323E4"/>
    <w:rsid w:val="77AC6789"/>
    <w:rsid w:val="7F7B0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pPr>
    <w:rPr>
      <w:sz w:val="24"/>
    </w:rPr>
  </w:style>
  <w:style w:type="paragraph" w:styleId="3">
    <w:name w:val="Normal Indent"/>
    <w:basedOn w:val="1"/>
    <w:next w:val="4"/>
    <w:qFormat/>
    <w:uiPriority w:val="99"/>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semiHidden/>
    <w:qFormat/>
    <w:uiPriority w:val="0"/>
    <w:rPr>
      <w:rFonts w:ascii="仿宋" w:hAnsi="仿宋" w:eastAsia="仿宋" w:cs="仿宋"/>
      <w:sz w:val="31"/>
      <w:szCs w:val="31"/>
      <w:lang w:eastAsia="en-US"/>
    </w:rPr>
  </w:style>
  <w:style w:type="paragraph" w:styleId="6">
    <w:name w:val="Body Text Indent"/>
    <w:basedOn w:val="1"/>
    <w:next w:val="1"/>
    <w:qFormat/>
    <w:uiPriority w:val="0"/>
    <w:pPr>
      <w:tabs>
        <w:tab w:val="left" w:pos="8640"/>
      </w:tabs>
      <w:ind w:firstLine="420"/>
    </w:pPr>
    <w:rPr>
      <w:rFonts w:ascii="楷体_GB2312" w:eastAsia="楷体_GB2312"/>
      <w:color w:val="000000"/>
      <w:sz w:val="28"/>
    </w:rPr>
  </w:style>
  <w:style w:type="paragraph" w:styleId="7">
    <w:name w:val="footer"/>
    <w:basedOn w:val="1"/>
    <w:next w:val="1"/>
    <w:qFormat/>
    <w:uiPriority w:val="99"/>
    <w:pPr>
      <w:tabs>
        <w:tab w:val="center" w:pos="4153"/>
        <w:tab w:val="right" w:pos="8306"/>
      </w:tabs>
      <w:snapToGrid w:val="0"/>
      <w:jc w:val="left"/>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styleId="9">
    <w:name w:val="Body Text First Indent"/>
    <w:basedOn w:val="5"/>
    <w:unhideWhenUsed/>
    <w:qFormat/>
    <w:uiPriority w:val="0"/>
    <w:pPr>
      <w:ind w:firstLine="420" w:firstLineChars="100"/>
    </w:pPr>
    <w:rPr>
      <w:rFonts w:ascii="Calibri" w:hAnsi="Calibri"/>
      <w:sz w:val="18"/>
      <w:szCs w:val="18"/>
    </w:rPr>
  </w:style>
  <w:style w:type="paragraph" w:styleId="10">
    <w:name w:val="Body Text First Indent 2"/>
    <w:basedOn w:val="6"/>
    <w:next w:val="1"/>
    <w:qFormat/>
    <w:uiPriority w:val="0"/>
    <w:pPr>
      <w:ind w:firstLine="20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_Style 2"/>
    <w:basedOn w:val="1"/>
    <w:qFormat/>
    <w:uiPriority w:val="99"/>
    <w:pPr>
      <w:ind w:firstLine="420" w:firstLineChars="200"/>
    </w:pPr>
    <w:rPr>
      <w:szCs w:val="24"/>
    </w:rPr>
  </w:style>
  <w:style w:type="paragraph" w:customStyle="1" w:styleId="15">
    <w:name w:val="列出段落1"/>
    <w:basedOn w:val="1"/>
    <w:qFormat/>
    <w:uiPriority w:val="34"/>
    <w:pPr>
      <w:ind w:firstLine="420" w:firstLineChars="200"/>
    </w:pPr>
  </w:style>
  <w:style w:type="paragraph" w:styleId="16">
    <w:name w:val="List Paragraph"/>
    <w:basedOn w:val="1"/>
    <w:qFormat/>
    <w:uiPriority w:val="34"/>
    <w:pPr>
      <w:ind w:firstLine="420" w:firstLineChars="200"/>
    </w:pPr>
  </w:style>
  <w:style w:type="paragraph" w:customStyle="1" w:styleId="17">
    <w:name w:val="null3"/>
    <w:qFormat/>
    <w:uiPriority w:val="0"/>
    <w:rPr>
      <w:rFonts w:hint="eastAsia" w:ascii="Calibri" w:hAnsi="Calibri" w:eastAsia="宋体" w:cs="Times New Roman"/>
      <w:lang w:val="en-US" w:eastAsia="zh-Hans" w:bidi="ar-SA"/>
    </w:rPr>
  </w:style>
  <w:style w:type="paragraph" w:customStyle="1" w:styleId="18">
    <w:name w:val="Table Text"/>
    <w:basedOn w:val="1"/>
    <w:semiHidden/>
    <w:qFormat/>
    <w:uiPriority w:val="0"/>
    <w:rPr>
      <w:rFonts w:ascii="仿宋" w:hAnsi="仿宋" w:eastAsia="仿宋" w:cs="仿宋"/>
      <w:sz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956</Words>
  <Characters>1027</Characters>
  <Lines>0</Lines>
  <Paragraphs>0</Paragraphs>
  <TotalTime>2</TotalTime>
  <ScaleCrop>false</ScaleCrop>
  <LinksUpToDate>false</LinksUpToDate>
  <CharactersWithSpaces>1136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2025-06-13T09:15:00Z</dcterms:created>
  <dc:creator>DELL</dc:creator>
  <cp:lastModifiedBy>凌空</cp:lastModifiedBy>
  <dcterms:modified xsi:type="dcterms:W3CDTF">2026-05-27T09:49:34Z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eyJoZGlkIjoiNmJkNmEwODUxZTlhY2U2ZTM0OTI0ZDY1ZmQzYTAyZjYiLCJ1c2VySWQiOiIzOTk4MjE2MDEifQ==</vt:lpwstr>
  </property>
  <property fmtid="{D5CDD505-2E9C-101B-9397-08002B2CF9AE}" pid="4" name="ICV">
    <vt:lpwstr>2A7B3C8737ED4C52AF842FA872DEABAC_12</vt:lpwstr>
  </property>
</Properties>
</file>