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版本号：ZCSP-潼关县-2026-0004820260518001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潼关县2026年中央水利发展资金农村供水工程维修养护项目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ZCSP-潼关县-2026-00048</w:t>
      </w:r>
      <w:r>
        <w:br/>
      </w:r>
      <w:r>
        <w:br/>
      </w:r>
      <w:r>
        <w:br/>
      </w:r>
    </w:p>
    <w:p>
      <w:pPr>
        <w:pStyle w:val="null3"/>
        <w:jc w:val="center"/>
        <w:outlineLvl w:val="2"/>
      </w:pPr>
      <w:r>
        <w:rPr>
          <w:rFonts w:ascii="仿宋_GB2312" w:hAnsi="仿宋_GB2312" w:cs="仿宋_GB2312" w:eastAsia="仿宋_GB2312"/>
          <w:sz w:val="28"/>
          <w:b/>
        </w:rPr>
        <w:t>潼关县水务局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潼关县水务局</w:t>
      </w:r>
      <w:r>
        <w:rPr>
          <w:rFonts w:ascii="仿宋_GB2312" w:hAnsi="仿宋_GB2312" w:cs="仿宋_GB2312" w:eastAsia="仿宋_GB2312"/>
        </w:rPr>
        <w:t>委托，拟对</w:t>
      </w:r>
      <w:r>
        <w:rPr>
          <w:rFonts w:ascii="仿宋_GB2312" w:hAnsi="仿宋_GB2312" w:cs="仿宋_GB2312" w:eastAsia="仿宋_GB2312"/>
        </w:rPr>
        <w:t>潼关县2026年中央水利发展资金农村供水工程维修养护项目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潼关县2026年中央水利发展资金农村供水工程维修养护项目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为确保农村供水工程正常安全运行，本项目拟拆除重建蓄水池，更换水泵、自动上水器、安装消毒设备、输水管网更新及入户水表改造等。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采购包1（潼关县2026年中央水利发展资金农村供水工程维修养护项目）：属于专门面向中小企业采购。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1、企业资质：供应商须具备水利水电工程施工总承包三级（含三级）及以上资质，并具有有效的安全生产许可证；</w:t>
      </w:r>
    </w:p>
    <w:p>
      <w:pPr>
        <w:pStyle w:val="null3"/>
      </w:pPr>
      <w:r>
        <w:rPr>
          <w:rFonts w:ascii="仿宋_GB2312" w:hAnsi="仿宋_GB2312" w:cs="仿宋_GB2312" w:eastAsia="仿宋_GB2312"/>
        </w:rPr>
        <w:t>2、项目经理：拟派项目经理须具有水利水电工程二级及以上注册建造师资格并具有有效的安全生产考核合格证（水安B证），且无在建工程；</w:t>
      </w:r>
    </w:p>
    <w:p>
      <w:pPr>
        <w:pStyle w:val="null3"/>
      </w:pPr>
      <w:r>
        <w:rPr>
          <w:rFonts w:ascii="仿宋_GB2312" w:hAnsi="仿宋_GB2312" w:cs="仿宋_GB2312" w:eastAsia="仿宋_GB2312"/>
        </w:rPr>
        <w:t>3、法定代表人授权书/法定代表人身份证明书：法定代表人参与磋商时需提供法定代表人身份证明书；被授权人参与磋商时需提供法定代表人身份证明书及法定代表人授权委托书；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潼关县四知学校东南50米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赵永星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0913-3825030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纪春娟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13891376371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潼关县水务局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780,347.82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潼关县2026年中央水利发展资金农村供水工程维修养护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标的名称：潼关县2026年中央水利发展资金农村供水工程维修养护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为确保农村供水工程正常安全运行，本项目拟拆除重建蓄水池，更换水泵、自动上水器、安装消毒设备、输水管网更新及入户水表改造等。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《水利水电工程施工质量检验与评定规程》（SL 176-2007） 《施工现场临时用电安全技术规范》（JGJ46-88） 《建设工程施工现场供用电安全规范》（GB 50194-93） 《建设施工安全检查标准》（JGJ59-99） 《生活饮用水卫生标准》（GB5749-2006） 《村镇供水工程技术规范》（SL310-2019） 《屋面工程技术规范》（GB50345- 2012） 《室外给水设计标准》(GB50013-2018) 《水利水电工程等级划分及洪水标准》(SL252-2017) 《防洪标准》(GB50201-2014) 《环境影响评价技术导则 水利水电工程》(HJ/T88-2003) 《水工混凝土结构设计规范》(SL191-2008) 《砌体结构设计规范》(GB50003-2001) 《给水用聚乙烯PE管材》(GB136631-2000) 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工程地点：潼关县。（3）质量标准：合格。（4）质保期：自竣工验收合格之日起一年。（5）付款方式：本工程进度付款依据工程进度情况按比例将进度应付款支付给供应商。本工程竣工验收后需要进行结算审计，最终的结算审定金额为本工程的最终合同价款；最终结算审计后，进度款拨付至供应商合同总金额的90%；工程竣工验收一年内采购人付清全部合同价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拟派项目经理须具有水利水电工程二级及以上注册建造师资格并具有有效的安全生产考核合格证（水安B证），且无在建工程；</w:t>
            </w:r>
          </w:p>
        </w:tc>
        <w:tc>
          <w:tcPr>
            <w:tcW w:type="dxa" w:w="1661"/>
          </w:tcPr>
          <w:p>
            <w:pPr>
              <w:pStyle w:val="null3"/>
            </w:pPr>
            <w:r>
              <w:rPr>
                <w:rFonts w:ascii="仿宋_GB2312" w:hAnsi="仿宋_GB2312" w:cs="仿宋_GB2312" w:eastAsia="仿宋_GB2312"/>
              </w:rPr>
              <w:t>项目管理机构组成表 供应商资格证明文件.docx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政府采购供应商拒绝政府采购领域商业贿赂承诺书.docx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内容至少包括①施工准备；②施工方法及相关技术措施；③重点难点工程分析及解决措施。 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1.项目管理机构中每具有一个工程类中级职称得1分,具有高级职称得1.5分；本项最高得3分。 2.①项目管理机构人员配备7人（含7人）以上得6分； ②项目管理机构人员配备4-6人得4分； ③项目管理机构人员配备1-3人得2分。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供应商提供近三年（2023年5月至今）的类似业绩，每提供一个得1分，最多得5分，未提供得0分。（以合同签订时间为准）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满足竞争性磋商文件要求且磋商价格最低的最终磋商报价为磋商基准价，得满分30分； (3) 磋商报价得分=(磋商基准价／最终磋商报价)×30%×100。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