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E6FA09">
      <w:pPr>
        <w:pStyle w:val="9"/>
        <w:spacing w:before="44"/>
        <w:ind w:right="642"/>
        <w:rPr>
          <w:rFonts w:hint="default"/>
          <w:color w:val="auto"/>
          <w:highlight w:val="none"/>
          <w:lang w:val="en-US" w:eastAsia="zh-CN"/>
        </w:rPr>
      </w:pPr>
      <w:r>
        <w:rPr>
          <w:rFonts w:hint="eastAsia"/>
          <w:color w:val="auto"/>
          <w:highlight w:val="none"/>
          <w:lang w:val="en-US" w:eastAsia="zh-CN"/>
        </w:rPr>
        <w:t>采购需求</w:t>
      </w:r>
    </w:p>
    <w:p w14:paraId="639532A4">
      <w:pPr>
        <w:pStyle w:val="2"/>
        <w:keepNext/>
        <w:keepLines/>
        <w:pageBreakBefore w:val="0"/>
        <w:widowControl w:val="0"/>
        <w:kinsoku/>
        <w:wordWrap/>
        <w:overflowPunct/>
        <w:topLinePunct w:val="0"/>
        <w:autoSpaceDE w:val="0"/>
        <w:autoSpaceDN w:val="0"/>
        <w:bidi w:val="0"/>
        <w:adjustRightInd/>
        <w:snapToGrid/>
        <w:spacing w:before="0" w:beforeLines="100" w:after="0" w:afterLines="100" w:line="360" w:lineRule="auto"/>
        <w:ind w:firstLine="562" w:firstLineChars="200"/>
        <w:textAlignment w:val="auto"/>
        <w:rPr>
          <w:rFonts w:hint="eastAsia" w:ascii="仿宋" w:hAnsi="仿宋" w:eastAsia="仿宋" w:cs="仿宋"/>
          <w:b/>
          <w:color w:val="auto"/>
          <w:sz w:val="28"/>
          <w:szCs w:val="28"/>
          <w:highlight w:val="none"/>
          <w:lang w:val="en-US" w:eastAsia="zh-CN"/>
        </w:rPr>
      </w:pPr>
      <w:bookmarkStart w:id="0" w:name="_Toc11884"/>
      <w:r>
        <w:rPr>
          <w:rFonts w:hint="eastAsia" w:ascii="仿宋" w:hAnsi="仿宋" w:eastAsia="仿宋" w:cs="仿宋"/>
          <w:b/>
          <w:color w:val="auto"/>
          <w:sz w:val="28"/>
          <w:szCs w:val="28"/>
          <w:highlight w:val="none"/>
          <w:lang w:val="en-US" w:eastAsia="zh-CN"/>
        </w:rPr>
        <w:t>一、采购内容</w:t>
      </w:r>
      <w:bookmarkEnd w:id="0"/>
    </w:p>
    <w:p w14:paraId="7287BB3B">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rFonts w:hint="default"/>
          <w:color w:val="auto"/>
          <w:spacing w:val="-2"/>
          <w:sz w:val="24"/>
          <w:highlight w:val="none"/>
          <w:lang w:val="en-US" w:eastAsia="zh-CN"/>
        </w:rPr>
      </w:pPr>
      <w:r>
        <w:rPr>
          <w:rFonts w:hint="default"/>
          <w:color w:val="auto"/>
          <w:spacing w:val="-2"/>
          <w:sz w:val="24"/>
          <w:highlight w:val="none"/>
          <w:lang w:val="en-US" w:eastAsia="zh-CN"/>
        </w:rPr>
        <w:t>（一）采购内容</w:t>
      </w:r>
    </w:p>
    <w:p w14:paraId="23611992">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rFonts w:hint="default"/>
          <w:color w:val="auto"/>
          <w:spacing w:val="-2"/>
          <w:sz w:val="24"/>
          <w:highlight w:val="none"/>
          <w:lang w:val="en-US" w:eastAsia="zh-CN"/>
        </w:rPr>
      </w:pPr>
      <w:r>
        <w:rPr>
          <w:rFonts w:hint="eastAsia"/>
          <w:color w:val="auto"/>
          <w:spacing w:val="-2"/>
          <w:sz w:val="24"/>
          <w:highlight w:val="none"/>
          <w:lang w:val="en-US" w:eastAsia="zh-CN"/>
        </w:rPr>
        <w:t>委托保洁服务企业对新城公共公厕进行清扫保洁；</w:t>
      </w:r>
    </w:p>
    <w:p w14:paraId="11F826DC">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rFonts w:hint="default"/>
          <w:color w:val="auto"/>
          <w:spacing w:val="-2"/>
          <w:sz w:val="24"/>
          <w:highlight w:val="none"/>
          <w:lang w:val="en-US" w:eastAsia="zh-CN"/>
        </w:rPr>
      </w:pPr>
      <w:r>
        <w:rPr>
          <w:rFonts w:hint="default"/>
          <w:color w:val="auto"/>
          <w:spacing w:val="-2"/>
          <w:sz w:val="24"/>
          <w:highlight w:val="none"/>
          <w:lang w:val="en-US" w:eastAsia="zh-CN"/>
        </w:rPr>
        <w:t>（二）采购内容及说明</w:t>
      </w:r>
    </w:p>
    <w:p w14:paraId="04F77955">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rFonts w:hint="eastAsia"/>
          <w:color w:val="auto"/>
          <w:spacing w:val="-2"/>
          <w:sz w:val="24"/>
          <w:highlight w:val="none"/>
          <w:lang w:val="en-US" w:eastAsia="zh-CN"/>
        </w:rPr>
      </w:pPr>
      <w:r>
        <w:rPr>
          <w:rFonts w:hint="eastAsia"/>
          <w:color w:val="auto"/>
          <w:spacing w:val="-2"/>
          <w:sz w:val="24"/>
          <w:highlight w:val="none"/>
          <w:lang w:val="en-US" w:eastAsia="zh-CN"/>
        </w:rPr>
        <w:t>委托保洁服务企业对新城公共公厕进行清扫保洁主要功能或目标:按照市、新区公共公厕保洁作业标准，对空港新城公共公厕进行清扫保洁；需满足的要求:管护人员管理、室内外保洁（内部设施、器具清洁，便池畅通，便池无尿碱、无污垢，厕所内无蚊蝇、无异味，厕所周围30米内环境卫生整洁干净）、设施设备管护、维修及更换（除主体框架之外的所有公厕设施设备的维修更换服务）、日常消耗物品配备、公厕垃圾清运、污水处理、水电费结算等，具体内容如下：</w:t>
      </w:r>
    </w:p>
    <w:tbl>
      <w:tblPr>
        <w:tblStyle w:val="7"/>
        <w:tblW w:w="0" w:type="auto"/>
        <w:tblInd w:w="7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8"/>
        <w:gridCol w:w="1250"/>
        <w:gridCol w:w="1591"/>
        <w:gridCol w:w="1242"/>
        <w:gridCol w:w="1057"/>
        <w:gridCol w:w="1245"/>
        <w:gridCol w:w="649"/>
      </w:tblGrid>
      <w:tr w14:paraId="3D008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5" w:type="dxa"/>
            <w:gridSpan w:val="2"/>
            <w:vAlign w:val="center"/>
          </w:tcPr>
          <w:p w14:paraId="71E2BB01">
            <w:pPr>
              <w:pStyle w:val="3"/>
              <w:keepNext w:val="0"/>
              <w:keepLines w:val="0"/>
              <w:pageBreakBefore w:val="0"/>
              <w:widowControl w:val="0"/>
              <w:kinsoku/>
              <w:wordWrap/>
              <w:overflowPunct/>
              <w:topLinePunct w:val="0"/>
              <w:autoSpaceDE w:val="0"/>
              <w:autoSpaceDN w:val="0"/>
              <w:bidi w:val="0"/>
              <w:adjustRightInd/>
              <w:snapToGrid/>
              <w:spacing w:line="240" w:lineRule="auto"/>
              <w:ind w:left="0" w:right="0"/>
              <w:jc w:val="center"/>
              <w:textAlignment w:val="auto"/>
              <w:rPr>
                <w:rFonts w:hint="default"/>
                <w:b/>
                <w:bCs/>
                <w:color w:val="auto"/>
                <w:spacing w:val="-2"/>
                <w:sz w:val="21"/>
                <w:szCs w:val="21"/>
                <w:highlight w:val="none"/>
                <w:vertAlign w:val="baseline"/>
                <w:lang w:val="en-US" w:eastAsia="zh-CN"/>
              </w:rPr>
            </w:pPr>
            <w:r>
              <w:rPr>
                <w:rFonts w:hint="eastAsia"/>
                <w:b/>
                <w:bCs/>
                <w:color w:val="auto"/>
                <w:spacing w:val="-2"/>
                <w:sz w:val="21"/>
                <w:szCs w:val="21"/>
                <w:highlight w:val="none"/>
                <w:vertAlign w:val="baseline"/>
                <w:lang w:val="en-US" w:eastAsia="zh-CN"/>
              </w:rPr>
              <w:t>包号</w:t>
            </w:r>
          </w:p>
        </w:tc>
        <w:tc>
          <w:tcPr>
            <w:tcW w:w="1650" w:type="dxa"/>
            <w:vAlign w:val="center"/>
          </w:tcPr>
          <w:p w14:paraId="12E38B5A">
            <w:pPr>
              <w:pStyle w:val="3"/>
              <w:keepNext w:val="0"/>
              <w:keepLines w:val="0"/>
              <w:pageBreakBefore w:val="0"/>
              <w:widowControl w:val="0"/>
              <w:kinsoku/>
              <w:wordWrap/>
              <w:overflowPunct/>
              <w:topLinePunct w:val="0"/>
              <w:autoSpaceDE w:val="0"/>
              <w:autoSpaceDN w:val="0"/>
              <w:bidi w:val="0"/>
              <w:adjustRightInd/>
              <w:snapToGrid/>
              <w:spacing w:line="240" w:lineRule="auto"/>
              <w:ind w:left="0" w:right="0"/>
              <w:jc w:val="center"/>
              <w:textAlignment w:val="auto"/>
              <w:rPr>
                <w:rFonts w:hint="eastAsia"/>
                <w:b/>
                <w:bCs/>
                <w:color w:val="auto"/>
                <w:spacing w:val="-2"/>
                <w:sz w:val="21"/>
                <w:szCs w:val="21"/>
                <w:highlight w:val="none"/>
                <w:vertAlign w:val="baseline"/>
                <w:lang w:val="en-US" w:eastAsia="zh-CN"/>
              </w:rPr>
            </w:pPr>
            <w:r>
              <w:rPr>
                <w:rFonts w:hint="eastAsia"/>
                <w:b/>
                <w:bCs/>
                <w:color w:val="auto"/>
                <w:spacing w:val="-2"/>
                <w:sz w:val="21"/>
                <w:szCs w:val="21"/>
                <w:highlight w:val="none"/>
                <w:vertAlign w:val="baseline"/>
                <w:lang w:val="en-US" w:eastAsia="zh-CN"/>
              </w:rPr>
              <w:t>预算金额</w:t>
            </w:r>
          </w:p>
          <w:p w14:paraId="6EFFF777">
            <w:pPr>
              <w:pStyle w:val="3"/>
              <w:keepNext w:val="0"/>
              <w:keepLines w:val="0"/>
              <w:pageBreakBefore w:val="0"/>
              <w:widowControl w:val="0"/>
              <w:kinsoku/>
              <w:wordWrap/>
              <w:overflowPunct/>
              <w:topLinePunct w:val="0"/>
              <w:autoSpaceDE w:val="0"/>
              <w:autoSpaceDN w:val="0"/>
              <w:bidi w:val="0"/>
              <w:adjustRightInd/>
              <w:snapToGrid/>
              <w:spacing w:line="240" w:lineRule="auto"/>
              <w:ind w:left="0" w:right="0"/>
              <w:jc w:val="center"/>
              <w:textAlignment w:val="auto"/>
              <w:rPr>
                <w:rFonts w:hint="default"/>
                <w:b/>
                <w:bCs/>
                <w:color w:val="auto"/>
                <w:spacing w:val="-2"/>
                <w:sz w:val="21"/>
                <w:szCs w:val="21"/>
                <w:highlight w:val="none"/>
                <w:vertAlign w:val="baseline"/>
                <w:lang w:val="en-US" w:eastAsia="zh-CN"/>
              </w:rPr>
            </w:pPr>
            <w:r>
              <w:rPr>
                <w:rFonts w:hint="eastAsia"/>
                <w:b/>
                <w:bCs/>
                <w:color w:val="auto"/>
                <w:spacing w:val="-2"/>
                <w:sz w:val="21"/>
                <w:szCs w:val="21"/>
                <w:highlight w:val="none"/>
                <w:vertAlign w:val="baseline"/>
                <w:lang w:val="en-US" w:eastAsia="zh-CN"/>
              </w:rPr>
              <w:t>（元）</w:t>
            </w:r>
          </w:p>
        </w:tc>
        <w:tc>
          <w:tcPr>
            <w:tcW w:w="1588" w:type="dxa"/>
            <w:vAlign w:val="center"/>
          </w:tcPr>
          <w:p w14:paraId="14F000ED">
            <w:pPr>
              <w:pStyle w:val="3"/>
              <w:keepNext w:val="0"/>
              <w:keepLines w:val="0"/>
              <w:pageBreakBefore w:val="0"/>
              <w:widowControl w:val="0"/>
              <w:kinsoku/>
              <w:wordWrap/>
              <w:overflowPunct/>
              <w:topLinePunct w:val="0"/>
              <w:autoSpaceDE w:val="0"/>
              <w:autoSpaceDN w:val="0"/>
              <w:bidi w:val="0"/>
              <w:adjustRightInd/>
              <w:snapToGrid/>
              <w:spacing w:line="240" w:lineRule="auto"/>
              <w:ind w:left="0" w:right="0"/>
              <w:jc w:val="center"/>
              <w:textAlignment w:val="auto"/>
              <w:rPr>
                <w:rFonts w:hint="default"/>
                <w:b/>
                <w:bCs/>
                <w:color w:val="auto"/>
                <w:spacing w:val="-2"/>
                <w:sz w:val="21"/>
                <w:szCs w:val="21"/>
                <w:highlight w:val="none"/>
                <w:vertAlign w:val="baseline"/>
                <w:lang w:val="en-US" w:eastAsia="zh-CN"/>
              </w:rPr>
            </w:pPr>
            <w:r>
              <w:rPr>
                <w:rFonts w:hint="default"/>
                <w:b/>
                <w:bCs/>
                <w:color w:val="auto"/>
                <w:spacing w:val="-2"/>
                <w:sz w:val="21"/>
                <w:szCs w:val="21"/>
                <w:highlight w:val="none"/>
                <w:vertAlign w:val="baseline"/>
                <w:lang w:val="en-US" w:eastAsia="zh-CN"/>
              </w:rPr>
              <w:t>服务内容</w:t>
            </w:r>
          </w:p>
        </w:tc>
        <w:tc>
          <w:tcPr>
            <w:tcW w:w="1325" w:type="dxa"/>
            <w:vAlign w:val="center"/>
          </w:tcPr>
          <w:p w14:paraId="1FD6AA18">
            <w:pPr>
              <w:pStyle w:val="3"/>
              <w:keepNext w:val="0"/>
              <w:keepLines w:val="0"/>
              <w:pageBreakBefore w:val="0"/>
              <w:widowControl w:val="0"/>
              <w:kinsoku/>
              <w:wordWrap/>
              <w:overflowPunct/>
              <w:topLinePunct w:val="0"/>
              <w:autoSpaceDE w:val="0"/>
              <w:autoSpaceDN w:val="0"/>
              <w:bidi w:val="0"/>
              <w:adjustRightInd/>
              <w:snapToGrid/>
              <w:spacing w:line="240" w:lineRule="auto"/>
              <w:ind w:left="0" w:right="0"/>
              <w:jc w:val="center"/>
              <w:textAlignment w:val="auto"/>
              <w:rPr>
                <w:rFonts w:hint="default"/>
                <w:b/>
                <w:bCs/>
                <w:color w:val="auto"/>
                <w:spacing w:val="-2"/>
                <w:sz w:val="21"/>
                <w:szCs w:val="21"/>
                <w:highlight w:val="none"/>
                <w:vertAlign w:val="baseline"/>
                <w:lang w:val="en-US" w:eastAsia="zh-CN"/>
              </w:rPr>
            </w:pPr>
            <w:r>
              <w:rPr>
                <w:rFonts w:hint="default"/>
                <w:b/>
                <w:bCs/>
                <w:color w:val="auto"/>
                <w:spacing w:val="-2"/>
                <w:sz w:val="21"/>
                <w:szCs w:val="21"/>
                <w:highlight w:val="none"/>
                <w:vertAlign w:val="baseline"/>
                <w:lang w:val="en-US" w:eastAsia="zh-CN"/>
              </w:rPr>
              <w:t>服务</w:t>
            </w:r>
          </w:p>
          <w:p w14:paraId="2347724A">
            <w:pPr>
              <w:pStyle w:val="3"/>
              <w:keepNext w:val="0"/>
              <w:keepLines w:val="0"/>
              <w:pageBreakBefore w:val="0"/>
              <w:widowControl w:val="0"/>
              <w:kinsoku/>
              <w:wordWrap/>
              <w:overflowPunct/>
              <w:topLinePunct w:val="0"/>
              <w:autoSpaceDE w:val="0"/>
              <w:autoSpaceDN w:val="0"/>
              <w:bidi w:val="0"/>
              <w:adjustRightInd/>
              <w:snapToGrid/>
              <w:spacing w:line="240" w:lineRule="auto"/>
              <w:ind w:left="0" w:right="0"/>
              <w:jc w:val="center"/>
              <w:textAlignment w:val="auto"/>
              <w:rPr>
                <w:rFonts w:hint="default"/>
                <w:b/>
                <w:bCs/>
                <w:color w:val="auto"/>
                <w:spacing w:val="-2"/>
                <w:sz w:val="21"/>
                <w:szCs w:val="21"/>
                <w:highlight w:val="none"/>
                <w:vertAlign w:val="baseline"/>
                <w:lang w:val="en-US" w:eastAsia="zh-CN"/>
              </w:rPr>
            </w:pPr>
            <w:r>
              <w:rPr>
                <w:rFonts w:hint="default"/>
                <w:b/>
                <w:bCs/>
                <w:color w:val="auto"/>
                <w:spacing w:val="-2"/>
                <w:sz w:val="21"/>
                <w:szCs w:val="21"/>
                <w:highlight w:val="none"/>
                <w:vertAlign w:val="baseline"/>
                <w:lang w:val="en-US" w:eastAsia="zh-CN"/>
              </w:rPr>
              <w:t>地点</w:t>
            </w:r>
          </w:p>
        </w:tc>
        <w:tc>
          <w:tcPr>
            <w:tcW w:w="1375" w:type="dxa"/>
            <w:vAlign w:val="center"/>
          </w:tcPr>
          <w:p w14:paraId="7FA070C1">
            <w:pPr>
              <w:pStyle w:val="3"/>
              <w:keepNext w:val="0"/>
              <w:keepLines w:val="0"/>
              <w:pageBreakBefore w:val="0"/>
              <w:widowControl w:val="0"/>
              <w:kinsoku/>
              <w:wordWrap/>
              <w:overflowPunct/>
              <w:topLinePunct w:val="0"/>
              <w:autoSpaceDE w:val="0"/>
              <w:autoSpaceDN w:val="0"/>
              <w:bidi w:val="0"/>
              <w:adjustRightInd/>
              <w:snapToGrid/>
              <w:spacing w:line="240" w:lineRule="auto"/>
              <w:ind w:left="0" w:right="0"/>
              <w:jc w:val="center"/>
              <w:textAlignment w:val="auto"/>
              <w:rPr>
                <w:rFonts w:hint="default"/>
                <w:b/>
                <w:bCs/>
                <w:color w:val="auto"/>
                <w:spacing w:val="-2"/>
                <w:sz w:val="21"/>
                <w:szCs w:val="21"/>
                <w:highlight w:val="none"/>
                <w:vertAlign w:val="baseline"/>
                <w:lang w:val="en-US" w:eastAsia="zh-CN"/>
              </w:rPr>
            </w:pPr>
            <w:r>
              <w:rPr>
                <w:rFonts w:hint="eastAsia"/>
                <w:b/>
                <w:bCs/>
                <w:color w:val="auto"/>
                <w:spacing w:val="-2"/>
                <w:sz w:val="21"/>
                <w:szCs w:val="21"/>
                <w:highlight w:val="none"/>
                <w:vertAlign w:val="baseline"/>
                <w:lang w:val="en-US" w:eastAsia="zh-CN"/>
              </w:rPr>
              <w:t>数量</w:t>
            </w:r>
          </w:p>
        </w:tc>
        <w:tc>
          <w:tcPr>
            <w:tcW w:w="657" w:type="dxa"/>
            <w:vAlign w:val="center"/>
          </w:tcPr>
          <w:p w14:paraId="23F353ED">
            <w:pPr>
              <w:pStyle w:val="3"/>
              <w:keepNext w:val="0"/>
              <w:keepLines w:val="0"/>
              <w:pageBreakBefore w:val="0"/>
              <w:widowControl w:val="0"/>
              <w:kinsoku/>
              <w:wordWrap/>
              <w:overflowPunct/>
              <w:topLinePunct w:val="0"/>
              <w:autoSpaceDE w:val="0"/>
              <w:autoSpaceDN w:val="0"/>
              <w:bidi w:val="0"/>
              <w:adjustRightInd/>
              <w:snapToGrid/>
              <w:spacing w:line="240" w:lineRule="auto"/>
              <w:ind w:left="0" w:right="0"/>
              <w:jc w:val="center"/>
              <w:textAlignment w:val="auto"/>
              <w:rPr>
                <w:rFonts w:hint="default"/>
                <w:b/>
                <w:bCs/>
                <w:color w:val="auto"/>
                <w:spacing w:val="-2"/>
                <w:sz w:val="21"/>
                <w:szCs w:val="21"/>
                <w:highlight w:val="none"/>
                <w:vertAlign w:val="baseline"/>
                <w:lang w:val="en-US" w:eastAsia="zh-CN"/>
              </w:rPr>
            </w:pPr>
            <w:r>
              <w:rPr>
                <w:rFonts w:hint="eastAsia"/>
                <w:b/>
                <w:bCs/>
                <w:color w:val="auto"/>
                <w:spacing w:val="-2"/>
                <w:sz w:val="21"/>
                <w:szCs w:val="21"/>
                <w:highlight w:val="none"/>
                <w:vertAlign w:val="baseline"/>
                <w:lang w:val="en-US" w:eastAsia="zh-CN"/>
              </w:rPr>
              <w:t>备注</w:t>
            </w:r>
          </w:p>
        </w:tc>
      </w:tr>
      <w:tr w14:paraId="10991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rPr>
        <w:tc>
          <w:tcPr>
            <w:tcW w:w="900" w:type="dxa"/>
            <w:vMerge w:val="restart"/>
            <w:vAlign w:val="center"/>
          </w:tcPr>
          <w:p w14:paraId="74B34D1F">
            <w:pPr>
              <w:pStyle w:val="3"/>
              <w:keepNext w:val="0"/>
              <w:keepLines w:val="0"/>
              <w:pageBreakBefore w:val="0"/>
              <w:widowControl w:val="0"/>
              <w:kinsoku/>
              <w:wordWrap/>
              <w:overflowPunct/>
              <w:topLinePunct w:val="0"/>
              <w:autoSpaceDE w:val="0"/>
              <w:autoSpaceDN w:val="0"/>
              <w:bidi w:val="0"/>
              <w:adjustRightInd/>
              <w:snapToGrid/>
              <w:spacing w:line="240" w:lineRule="auto"/>
              <w:ind w:left="0" w:right="0"/>
              <w:jc w:val="center"/>
              <w:textAlignment w:val="auto"/>
              <w:rPr>
                <w:rFonts w:hint="default"/>
                <w:color w:val="auto"/>
                <w:spacing w:val="-2"/>
                <w:sz w:val="21"/>
                <w:szCs w:val="21"/>
                <w:highlight w:val="none"/>
                <w:vertAlign w:val="baseline"/>
                <w:lang w:val="en-US" w:eastAsia="zh-CN"/>
              </w:rPr>
            </w:pPr>
            <w:r>
              <w:rPr>
                <w:rFonts w:hint="eastAsia"/>
                <w:color w:val="auto"/>
                <w:spacing w:val="-2"/>
                <w:sz w:val="21"/>
                <w:szCs w:val="21"/>
                <w:highlight w:val="none"/>
                <w:vertAlign w:val="baseline"/>
                <w:lang w:val="en-US" w:eastAsia="zh-CN"/>
              </w:rPr>
              <w:t>第一包</w:t>
            </w:r>
          </w:p>
        </w:tc>
        <w:tc>
          <w:tcPr>
            <w:tcW w:w="1425" w:type="dxa"/>
            <w:vMerge w:val="restart"/>
            <w:vAlign w:val="center"/>
          </w:tcPr>
          <w:p w14:paraId="67CB8674">
            <w:pPr>
              <w:pStyle w:val="3"/>
              <w:keepNext w:val="0"/>
              <w:keepLines w:val="0"/>
              <w:pageBreakBefore w:val="0"/>
              <w:widowControl w:val="0"/>
              <w:kinsoku/>
              <w:wordWrap/>
              <w:overflowPunct/>
              <w:topLinePunct w:val="0"/>
              <w:autoSpaceDE w:val="0"/>
              <w:autoSpaceDN w:val="0"/>
              <w:bidi w:val="0"/>
              <w:adjustRightInd/>
              <w:snapToGrid/>
              <w:spacing w:line="240" w:lineRule="auto"/>
              <w:ind w:left="0" w:right="0"/>
              <w:jc w:val="center"/>
              <w:textAlignment w:val="auto"/>
              <w:rPr>
                <w:rFonts w:hint="default"/>
                <w:color w:val="auto"/>
                <w:spacing w:val="-2"/>
                <w:sz w:val="21"/>
                <w:szCs w:val="21"/>
                <w:highlight w:val="none"/>
                <w:vertAlign w:val="baseline"/>
                <w:lang w:val="en-US" w:eastAsia="zh-CN"/>
              </w:rPr>
            </w:pPr>
            <w:r>
              <w:rPr>
                <w:rFonts w:hint="eastAsia"/>
                <w:color w:val="auto"/>
                <w:spacing w:val="-2"/>
                <w:sz w:val="21"/>
                <w:szCs w:val="21"/>
                <w:highlight w:val="none"/>
                <w:vertAlign w:val="baseline"/>
                <w:lang w:val="en-US" w:eastAsia="zh-CN"/>
              </w:rPr>
              <w:t>空港新城26座市政公厕保洁服务的项目(2026年-2028年)(三次)</w:t>
            </w:r>
          </w:p>
        </w:tc>
        <w:tc>
          <w:tcPr>
            <w:tcW w:w="1650" w:type="dxa"/>
            <w:vMerge w:val="restart"/>
            <w:vAlign w:val="center"/>
          </w:tcPr>
          <w:p w14:paraId="7BE7466D">
            <w:pPr>
              <w:pStyle w:val="3"/>
              <w:keepNext w:val="0"/>
              <w:keepLines w:val="0"/>
              <w:pageBreakBefore w:val="0"/>
              <w:widowControl w:val="0"/>
              <w:kinsoku/>
              <w:wordWrap/>
              <w:overflowPunct/>
              <w:topLinePunct w:val="0"/>
              <w:autoSpaceDE w:val="0"/>
              <w:autoSpaceDN w:val="0"/>
              <w:bidi w:val="0"/>
              <w:adjustRightInd/>
              <w:snapToGrid/>
              <w:spacing w:line="240" w:lineRule="auto"/>
              <w:ind w:left="0" w:right="0"/>
              <w:jc w:val="center"/>
              <w:textAlignment w:val="auto"/>
              <w:rPr>
                <w:rFonts w:hint="default"/>
                <w:color w:val="auto"/>
                <w:spacing w:val="-2"/>
                <w:sz w:val="21"/>
                <w:szCs w:val="21"/>
                <w:highlight w:val="none"/>
                <w:vertAlign w:val="baseline"/>
                <w:lang w:val="en-US" w:eastAsia="zh-CN"/>
              </w:rPr>
            </w:pPr>
            <w:r>
              <w:rPr>
                <w:rFonts w:hint="eastAsia"/>
                <w:color w:val="auto"/>
                <w:spacing w:val="-2"/>
                <w:sz w:val="21"/>
                <w:szCs w:val="21"/>
                <w:highlight w:val="none"/>
                <w:vertAlign w:val="baseline"/>
                <w:lang w:val="en-US" w:eastAsia="zh-CN"/>
              </w:rPr>
              <w:t>￥4592000.00</w:t>
            </w:r>
          </w:p>
        </w:tc>
        <w:tc>
          <w:tcPr>
            <w:tcW w:w="1588" w:type="dxa"/>
            <w:vMerge w:val="restart"/>
            <w:vAlign w:val="center"/>
          </w:tcPr>
          <w:p w14:paraId="20F04CFC">
            <w:pPr>
              <w:pStyle w:val="3"/>
              <w:keepNext w:val="0"/>
              <w:keepLines w:val="0"/>
              <w:pageBreakBefore w:val="0"/>
              <w:widowControl w:val="0"/>
              <w:kinsoku/>
              <w:wordWrap/>
              <w:overflowPunct/>
              <w:topLinePunct w:val="0"/>
              <w:autoSpaceDE w:val="0"/>
              <w:autoSpaceDN w:val="0"/>
              <w:bidi w:val="0"/>
              <w:adjustRightInd/>
              <w:snapToGrid/>
              <w:spacing w:line="240" w:lineRule="auto"/>
              <w:ind w:left="0" w:right="0"/>
              <w:jc w:val="center"/>
              <w:textAlignment w:val="auto"/>
              <w:rPr>
                <w:rFonts w:hint="default"/>
                <w:color w:val="auto"/>
                <w:spacing w:val="-2"/>
                <w:sz w:val="21"/>
                <w:szCs w:val="21"/>
                <w:highlight w:val="none"/>
                <w:vertAlign w:val="baseline"/>
                <w:lang w:val="en-US" w:eastAsia="zh-CN"/>
              </w:rPr>
            </w:pPr>
            <w:r>
              <w:rPr>
                <w:rFonts w:hint="eastAsia"/>
                <w:color w:val="auto"/>
                <w:spacing w:val="-2"/>
                <w:sz w:val="21"/>
                <w:szCs w:val="21"/>
                <w:highlight w:val="none"/>
                <w:lang w:val="en-US" w:eastAsia="zh-CN"/>
              </w:rPr>
              <w:t>西咸新区空港新城公共公厕管理服务</w:t>
            </w:r>
          </w:p>
        </w:tc>
        <w:tc>
          <w:tcPr>
            <w:tcW w:w="1325" w:type="dxa"/>
            <w:vMerge w:val="restart"/>
            <w:vAlign w:val="center"/>
          </w:tcPr>
          <w:p w14:paraId="1B1D6A72">
            <w:pPr>
              <w:pStyle w:val="3"/>
              <w:keepNext w:val="0"/>
              <w:keepLines w:val="0"/>
              <w:pageBreakBefore w:val="0"/>
              <w:widowControl w:val="0"/>
              <w:kinsoku/>
              <w:wordWrap/>
              <w:overflowPunct/>
              <w:topLinePunct w:val="0"/>
              <w:autoSpaceDE w:val="0"/>
              <w:autoSpaceDN w:val="0"/>
              <w:bidi w:val="0"/>
              <w:adjustRightInd/>
              <w:snapToGrid/>
              <w:spacing w:line="240" w:lineRule="auto"/>
              <w:ind w:left="0" w:right="0"/>
              <w:jc w:val="center"/>
              <w:textAlignment w:val="auto"/>
              <w:rPr>
                <w:rFonts w:hint="default"/>
                <w:color w:val="auto"/>
                <w:spacing w:val="-2"/>
                <w:sz w:val="21"/>
                <w:szCs w:val="21"/>
                <w:highlight w:val="none"/>
                <w:vertAlign w:val="baseline"/>
                <w:lang w:val="en-US" w:eastAsia="zh-CN"/>
              </w:rPr>
            </w:pPr>
            <w:r>
              <w:rPr>
                <w:rFonts w:hint="eastAsia"/>
                <w:color w:val="auto"/>
                <w:spacing w:val="-2"/>
                <w:sz w:val="21"/>
                <w:szCs w:val="21"/>
                <w:highlight w:val="none"/>
                <w:vertAlign w:val="baseline"/>
                <w:lang w:val="en-US" w:eastAsia="zh-CN"/>
              </w:rPr>
              <w:t>空港新城</w:t>
            </w:r>
          </w:p>
        </w:tc>
        <w:tc>
          <w:tcPr>
            <w:tcW w:w="1375" w:type="dxa"/>
            <w:vAlign w:val="center"/>
          </w:tcPr>
          <w:p w14:paraId="5D0836C7">
            <w:pPr>
              <w:pStyle w:val="3"/>
              <w:keepNext w:val="0"/>
              <w:keepLines w:val="0"/>
              <w:pageBreakBefore w:val="0"/>
              <w:widowControl w:val="0"/>
              <w:kinsoku/>
              <w:wordWrap/>
              <w:overflowPunct/>
              <w:topLinePunct w:val="0"/>
              <w:autoSpaceDE w:val="0"/>
              <w:autoSpaceDN w:val="0"/>
              <w:bidi w:val="0"/>
              <w:adjustRightInd/>
              <w:snapToGrid/>
              <w:spacing w:line="240" w:lineRule="auto"/>
              <w:ind w:left="0" w:right="0"/>
              <w:jc w:val="center"/>
              <w:textAlignment w:val="auto"/>
              <w:rPr>
                <w:rFonts w:hint="default"/>
                <w:color w:val="auto"/>
                <w:spacing w:val="-2"/>
                <w:sz w:val="21"/>
                <w:szCs w:val="21"/>
                <w:highlight w:val="none"/>
                <w:vertAlign w:val="baseline"/>
                <w:lang w:val="en-US" w:eastAsia="zh-CN"/>
              </w:rPr>
            </w:pPr>
            <w:r>
              <w:rPr>
                <w:rFonts w:hint="eastAsia"/>
                <w:color w:val="auto"/>
                <w:spacing w:val="-2"/>
                <w:sz w:val="21"/>
                <w:szCs w:val="21"/>
                <w:highlight w:val="none"/>
                <w:vertAlign w:val="baseline"/>
                <w:lang w:val="en-US" w:eastAsia="zh-CN"/>
              </w:rPr>
              <w:t>2263.66㎡</w:t>
            </w:r>
          </w:p>
        </w:tc>
        <w:tc>
          <w:tcPr>
            <w:tcW w:w="657" w:type="dxa"/>
            <w:vMerge w:val="restart"/>
            <w:vAlign w:val="center"/>
          </w:tcPr>
          <w:p w14:paraId="47036E32">
            <w:pPr>
              <w:pStyle w:val="3"/>
              <w:keepNext w:val="0"/>
              <w:keepLines w:val="0"/>
              <w:pageBreakBefore w:val="0"/>
              <w:widowControl w:val="0"/>
              <w:kinsoku/>
              <w:wordWrap/>
              <w:overflowPunct/>
              <w:topLinePunct w:val="0"/>
              <w:autoSpaceDE w:val="0"/>
              <w:autoSpaceDN w:val="0"/>
              <w:bidi w:val="0"/>
              <w:adjustRightInd/>
              <w:snapToGrid/>
              <w:spacing w:line="240" w:lineRule="auto"/>
              <w:ind w:left="0" w:right="0"/>
              <w:jc w:val="center"/>
              <w:textAlignment w:val="auto"/>
              <w:rPr>
                <w:rFonts w:hint="default"/>
                <w:color w:val="auto"/>
                <w:spacing w:val="-2"/>
                <w:sz w:val="21"/>
                <w:szCs w:val="21"/>
                <w:highlight w:val="none"/>
                <w:vertAlign w:val="baseline"/>
                <w:lang w:val="en-US" w:eastAsia="zh-CN"/>
              </w:rPr>
            </w:pPr>
            <w:r>
              <w:rPr>
                <w:rFonts w:hint="default"/>
                <w:color w:val="auto"/>
                <w:spacing w:val="-2"/>
                <w:sz w:val="21"/>
                <w:szCs w:val="21"/>
                <w:highlight w:val="none"/>
                <w:vertAlign w:val="baseline"/>
                <w:lang w:val="en-US" w:eastAsia="zh-CN"/>
              </w:rPr>
              <w:t>共计2</w:t>
            </w:r>
            <w:r>
              <w:rPr>
                <w:rFonts w:hint="eastAsia"/>
                <w:color w:val="auto"/>
                <w:spacing w:val="-2"/>
                <w:sz w:val="21"/>
                <w:szCs w:val="21"/>
                <w:highlight w:val="none"/>
                <w:vertAlign w:val="baseline"/>
                <w:lang w:val="en-US" w:eastAsia="zh-CN"/>
              </w:rPr>
              <w:t>6</w:t>
            </w:r>
            <w:r>
              <w:rPr>
                <w:rFonts w:hint="default"/>
                <w:color w:val="auto"/>
                <w:spacing w:val="-2"/>
                <w:sz w:val="21"/>
                <w:szCs w:val="21"/>
                <w:highlight w:val="none"/>
                <w:vertAlign w:val="baseline"/>
                <w:lang w:val="en-US" w:eastAsia="zh-CN"/>
              </w:rPr>
              <w:t>座市政公厕，其中一类24座，二类</w:t>
            </w:r>
            <w:r>
              <w:rPr>
                <w:rFonts w:hint="eastAsia"/>
                <w:color w:val="auto"/>
                <w:spacing w:val="-2"/>
                <w:sz w:val="21"/>
                <w:szCs w:val="21"/>
                <w:highlight w:val="none"/>
                <w:vertAlign w:val="baseline"/>
                <w:lang w:val="en-US" w:eastAsia="zh-CN"/>
              </w:rPr>
              <w:t>2</w:t>
            </w:r>
            <w:r>
              <w:rPr>
                <w:rFonts w:hint="default"/>
                <w:color w:val="auto"/>
                <w:spacing w:val="-2"/>
                <w:sz w:val="21"/>
                <w:szCs w:val="21"/>
                <w:highlight w:val="none"/>
                <w:vertAlign w:val="baseline"/>
                <w:lang w:val="en-US" w:eastAsia="zh-CN"/>
              </w:rPr>
              <w:t>座</w:t>
            </w:r>
          </w:p>
        </w:tc>
      </w:tr>
      <w:tr w14:paraId="64505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rPr>
        <w:tc>
          <w:tcPr>
            <w:tcW w:w="900" w:type="dxa"/>
            <w:vMerge w:val="continue"/>
            <w:vAlign w:val="center"/>
          </w:tcPr>
          <w:p w14:paraId="6448D661">
            <w:pPr>
              <w:pStyle w:val="3"/>
              <w:keepNext w:val="0"/>
              <w:keepLines w:val="0"/>
              <w:pageBreakBefore w:val="0"/>
              <w:widowControl w:val="0"/>
              <w:kinsoku/>
              <w:wordWrap/>
              <w:overflowPunct/>
              <w:topLinePunct w:val="0"/>
              <w:autoSpaceDE w:val="0"/>
              <w:autoSpaceDN w:val="0"/>
              <w:bidi w:val="0"/>
              <w:adjustRightInd/>
              <w:snapToGrid/>
              <w:spacing w:line="360" w:lineRule="auto"/>
              <w:ind w:left="0" w:right="0"/>
              <w:jc w:val="center"/>
              <w:textAlignment w:val="auto"/>
              <w:rPr>
                <w:color w:val="auto"/>
                <w:highlight w:val="none"/>
              </w:rPr>
            </w:pPr>
          </w:p>
        </w:tc>
        <w:tc>
          <w:tcPr>
            <w:tcW w:w="1425" w:type="dxa"/>
            <w:vMerge w:val="continue"/>
            <w:vAlign w:val="center"/>
          </w:tcPr>
          <w:p w14:paraId="410E7295">
            <w:pPr>
              <w:pStyle w:val="3"/>
              <w:keepNext w:val="0"/>
              <w:keepLines w:val="0"/>
              <w:pageBreakBefore w:val="0"/>
              <w:widowControl w:val="0"/>
              <w:kinsoku/>
              <w:wordWrap/>
              <w:overflowPunct/>
              <w:topLinePunct w:val="0"/>
              <w:autoSpaceDE w:val="0"/>
              <w:autoSpaceDN w:val="0"/>
              <w:bidi w:val="0"/>
              <w:adjustRightInd/>
              <w:snapToGrid/>
              <w:spacing w:line="360" w:lineRule="auto"/>
              <w:ind w:left="0" w:right="0"/>
              <w:jc w:val="center"/>
              <w:textAlignment w:val="auto"/>
              <w:rPr>
                <w:color w:val="auto"/>
                <w:highlight w:val="none"/>
              </w:rPr>
            </w:pPr>
          </w:p>
        </w:tc>
        <w:tc>
          <w:tcPr>
            <w:tcW w:w="1650" w:type="dxa"/>
            <w:vMerge w:val="continue"/>
            <w:vAlign w:val="center"/>
          </w:tcPr>
          <w:p w14:paraId="0C6C9EB2">
            <w:pPr>
              <w:pStyle w:val="3"/>
              <w:keepNext w:val="0"/>
              <w:keepLines w:val="0"/>
              <w:pageBreakBefore w:val="0"/>
              <w:widowControl w:val="0"/>
              <w:kinsoku/>
              <w:wordWrap/>
              <w:overflowPunct/>
              <w:topLinePunct w:val="0"/>
              <w:autoSpaceDE w:val="0"/>
              <w:autoSpaceDN w:val="0"/>
              <w:bidi w:val="0"/>
              <w:adjustRightInd/>
              <w:snapToGrid/>
              <w:spacing w:line="360" w:lineRule="auto"/>
              <w:ind w:left="0" w:right="0"/>
              <w:jc w:val="center"/>
              <w:textAlignment w:val="auto"/>
              <w:rPr>
                <w:color w:val="auto"/>
                <w:highlight w:val="none"/>
              </w:rPr>
            </w:pPr>
          </w:p>
        </w:tc>
        <w:tc>
          <w:tcPr>
            <w:tcW w:w="1588" w:type="dxa"/>
            <w:vMerge w:val="continue"/>
            <w:vAlign w:val="center"/>
          </w:tcPr>
          <w:p w14:paraId="221C055E">
            <w:pPr>
              <w:pStyle w:val="3"/>
              <w:keepNext w:val="0"/>
              <w:keepLines w:val="0"/>
              <w:pageBreakBefore w:val="0"/>
              <w:widowControl w:val="0"/>
              <w:kinsoku/>
              <w:wordWrap/>
              <w:overflowPunct/>
              <w:topLinePunct w:val="0"/>
              <w:autoSpaceDE w:val="0"/>
              <w:autoSpaceDN w:val="0"/>
              <w:bidi w:val="0"/>
              <w:adjustRightInd/>
              <w:snapToGrid/>
              <w:spacing w:line="360" w:lineRule="auto"/>
              <w:ind w:left="0" w:right="0"/>
              <w:jc w:val="center"/>
              <w:textAlignment w:val="auto"/>
              <w:rPr>
                <w:color w:val="auto"/>
                <w:highlight w:val="none"/>
              </w:rPr>
            </w:pPr>
          </w:p>
        </w:tc>
        <w:tc>
          <w:tcPr>
            <w:tcW w:w="1325" w:type="dxa"/>
            <w:vMerge w:val="continue"/>
            <w:vAlign w:val="center"/>
          </w:tcPr>
          <w:p w14:paraId="396A9CE8">
            <w:pPr>
              <w:pStyle w:val="3"/>
              <w:keepNext w:val="0"/>
              <w:keepLines w:val="0"/>
              <w:pageBreakBefore w:val="0"/>
              <w:widowControl w:val="0"/>
              <w:kinsoku/>
              <w:wordWrap/>
              <w:overflowPunct/>
              <w:topLinePunct w:val="0"/>
              <w:autoSpaceDE w:val="0"/>
              <w:autoSpaceDN w:val="0"/>
              <w:bidi w:val="0"/>
              <w:adjustRightInd/>
              <w:snapToGrid/>
              <w:spacing w:line="360" w:lineRule="auto"/>
              <w:ind w:left="0" w:right="0"/>
              <w:jc w:val="center"/>
              <w:textAlignment w:val="auto"/>
              <w:rPr>
                <w:color w:val="auto"/>
                <w:highlight w:val="none"/>
              </w:rPr>
            </w:pPr>
          </w:p>
        </w:tc>
        <w:tc>
          <w:tcPr>
            <w:tcW w:w="1375" w:type="dxa"/>
            <w:vAlign w:val="center"/>
          </w:tcPr>
          <w:p w14:paraId="125DA390">
            <w:pPr>
              <w:pStyle w:val="3"/>
              <w:keepNext w:val="0"/>
              <w:keepLines w:val="0"/>
              <w:pageBreakBefore w:val="0"/>
              <w:widowControl w:val="0"/>
              <w:kinsoku/>
              <w:wordWrap/>
              <w:overflowPunct/>
              <w:topLinePunct w:val="0"/>
              <w:autoSpaceDE w:val="0"/>
              <w:autoSpaceDN w:val="0"/>
              <w:bidi w:val="0"/>
              <w:adjustRightInd/>
              <w:snapToGrid/>
              <w:spacing w:line="360" w:lineRule="auto"/>
              <w:ind w:left="0" w:right="0"/>
              <w:jc w:val="center"/>
              <w:textAlignment w:val="auto"/>
              <w:rPr>
                <w:rFonts w:hint="default"/>
                <w:color w:val="auto"/>
                <w:spacing w:val="-2"/>
                <w:sz w:val="24"/>
                <w:highlight w:val="none"/>
                <w:vertAlign w:val="baseline"/>
                <w:lang w:val="en-US" w:eastAsia="zh-CN"/>
              </w:rPr>
            </w:pPr>
            <w:r>
              <w:rPr>
                <w:rFonts w:hint="eastAsia"/>
                <w:color w:val="auto"/>
                <w:spacing w:val="-2"/>
                <w:sz w:val="24"/>
                <w:highlight w:val="none"/>
                <w:vertAlign w:val="baseline"/>
                <w:lang w:val="en-US" w:eastAsia="zh-CN"/>
              </w:rPr>
              <w:t>26座公厕</w:t>
            </w:r>
          </w:p>
        </w:tc>
        <w:tc>
          <w:tcPr>
            <w:tcW w:w="657" w:type="dxa"/>
            <w:vMerge w:val="continue"/>
            <w:vAlign w:val="center"/>
          </w:tcPr>
          <w:p w14:paraId="7AD97616">
            <w:pPr>
              <w:pStyle w:val="3"/>
              <w:keepNext w:val="0"/>
              <w:keepLines w:val="0"/>
              <w:pageBreakBefore w:val="0"/>
              <w:widowControl w:val="0"/>
              <w:kinsoku/>
              <w:wordWrap/>
              <w:overflowPunct/>
              <w:topLinePunct w:val="0"/>
              <w:autoSpaceDE w:val="0"/>
              <w:autoSpaceDN w:val="0"/>
              <w:bidi w:val="0"/>
              <w:adjustRightInd/>
              <w:snapToGrid/>
              <w:spacing w:line="360" w:lineRule="auto"/>
              <w:ind w:left="0" w:right="0"/>
              <w:jc w:val="center"/>
              <w:textAlignment w:val="auto"/>
              <w:rPr>
                <w:rFonts w:hint="eastAsia"/>
                <w:color w:val="auto"/>
                <w:spacing w:val="-2"/>
                <w:sz w:val="24"/>
                <w:highlight w:val="none"/>
                <w:vertAlign w:val="baseline"/>
                <w:lang w:val="en-US" w:eastAsia="zh-CN"/>
              </w:rPr>
            </w:pPr>
          </w:p>
        </w:tc>
      </w:tr>
    </w:tbl>
    <w:p w14:paraId="2A2A7A56">
      <w:pPr>
        <w:pStyle w:val="2"/>
        <w:keepNext/>
        <w:keepLines/>
        <w:pageBreakBefore w:val="0"/>
        <w:widowControl w:val="0"/>
        <w:kinsoku/>
        <w:wordWrap/>
        <w:overflowPunct/>
        <w:topLinePunct w:val="0"/>
        <w:autoSpaceDE w:val="0"/>
        <w:autoSpaceDN w:val="0"/>
        <w:bidi w:val="0"/>
        <w:adjustRightInd/>
        <w:snapToGrid/>
        <w:spacing w:before="0" w:beforeLines="100" w:after="0" w:afterLines="100" w:line="360" w:lineRule="auto"/>
        <w:ind w:firstLine="562" w:firstLineChars="200"/>
        <w:textAlignment w:val="auto"/>
        <w:rPr>
          <w:rFonts w:hint="eastAsia" w:ascii="仿宋" w:hAnsi="仿宋" w:eastAsia="仿宋" w:cs="仿宋"/>
          <w:b/>
          <w:color w:val="auto"/>
          <w:sz w:val="28"/>
          <w:szCs w:val="28"/>
          <w:highlight w:val="none"/>
          <w:lang w:val="en-US" w:eastAsia="zh-CN"/>
        </w:rPr>
      </w:pPr>
      <w:bookmarkStart w:id="1" w:name="_Toc3116"/>
      <w:r>
        <w:rPr>
          <w:rFonts w:hint="eastAsia" w:ascii="仿宋" w:hAnsi="仿宋" w:eastAsia="仿宋" w:cs="仿宋"/>
          <w:b/>
          <w:color w:val="auto"/>
          <w:sz w:val="28"/>
          <w:szCs w:val="28"/>
          <w:highlight w:val="none"/>
          <w:lang w:val="en-US" w:eastAsia="zh-CN"/>
        </w:rPr>
        <w:t>二、服务期</w:t>
      </w:r>
      <w:bookmarkEnd w:id="1"/>
    </w:p>
    <w:p w14:paraId="785AB651">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rFonts w:hint="default"/>
          <w:color w:val="auto"/>
          <w:spacing w:val="-2"/>
          <w:sz w:val="24"/>
          <w:highlight w:val="none"/>
          <w:lang w:val="en-US" w:eastAsia="zh-CN"/>
        </w:rPr>
      </w:pPr>
      <w:r>
        <w:rPr>
          <w:rFonts w:hint="default"/>
          <w:color w:val="auto"/>
          <w:spacing w:val="-2"/>
          <w:sz w:val="24"/>
          <w:highlight w:val="none"/>
          <w:lang w:val="en-US" w:eastAsia="zh-CN"/>
        </w:rPr>
        <w:t xml:space="preserve">服务期为 </w:t>
      </w:r>
      <w:r>
        <w:rPr>
          <w:rFonts w:hint="eastAsia"/>
          <w:color w:val="auto"/>
          <w:spacing w:val="-2"/>
          <w:sz w:val="24"/>
          <w:highlight w:val="none"/>
          <w:lang w:val="en-US" w:eastAsia="zh-CN"/>
        </w:rPr>
        <w:t>24</w:t>
      </w:r>
      <w:r>
        <w:rPr>
          <w:rFonts w:hint="default"/>
          <w:color w:val="auto"/>
          <w:spacing w:val="-2"/>
          <w:sz w:val="24"/>
          <w:highlight w:val="none"/>
          <w:lang w:val="en-US" w:eastAsia="zh-CN"/>
        </w:rPr>
        <w:t xml:space="preserve"> 个月。</w:t>
      </w:r>
    </w:p>
    <w:p w14:paraId="2A1F8C66">
      <w:pPr>
        <w:pStyle w:val="2"/>
        <w:keepNext/>
        <w:keepLines/>
        <w:pageBreakBefore w:val="0"/>
        <w:widowControl w:val="0"/>
        <w:kinsoku/>
        <w:wordWrap/>
        <w:overflowPunct/>
        <w:topLinePunct w:val="0"/>
        <w:autoSpaceDE w:val="0"/>
        <w:autoSpaceDN w:val="0"/>
        <w:bidi w:val="0"/>
        <w:adjustRightInd/>
        <w:snapToGrid/>
        <w:spacing w:before="0" w:beforeLines="100" w:after="0" w:afterLines="100" w:line="360" w:lineRule="auto"/>
        <w:ind w:firstLine="562" w:firstLineChars="200"/>
        <w:textAlignment w:val="auto"/>
        <w:rPr>
          <w:rFonts w:hint="eastAsia" w:ascii="仿宋" w:hAnsi="仿宋" w:eastAsia="仿宋" w:cs="仿宋"/>
          <w:b/>
          <w:color w:val="auto"/>
          <w:sz w:val="28"/>
          <w:szCs w:val="28"/>
          <w:highlight w:val="none"/>
          <w:lang w:val="en-US" w:eastAsia="zh-CN"/>
        </w:rPr>
      </w:pPr>
      <w:bookmarkStart w:id="2" w:name="_Toc12287"/>
      <w:r>
        <w:rPr>
          <w:rFonts w:hint="eastAsia" w:ascii="仿宋" w:hAnsi="仿宋" w:eastAsia="仿宋" w:cs="仿宋"/>
          <w:b/>
          <w:color w:val="auto"/>
          <w:sz w:val="28"/>
          <w:szCs w:val="28"/>
          <w:highlight w:val="none"/>
          <w:lang w:val="en-US" w:eastAsia="zh-CN"/>
        </w:rPr>
        <w:t>三</w:t>
      </w:r>
      <w:bookmarkStart w:id="3" w:name="_GoBack"/>
      <w:bookmarkEnd w:id="3"/>
      <w:r>
        <w:rPr>
          <w:rFonts w:hint="eastAsia" w:ascii="仿宋" w:hAnsi="仿宋" w:eastAsia="仿宋" w:cs="仿宋"/>
          <w:b/>
          <w:color w:val="auto"/>
          <w:sz w:val="28"/>
          <w:szCs w:val="28"/>
          <w:highlight w:val="none"/>
          <w:lang w:val="en-US" w:eastAsia="zh-CN"/>
        </w:rPr>
        <w:t>、保洁范围与内容</w:t>
      </w:r>
      <w:bookmarkEnd w:id="2"/>
    </w:p>
    <w:p w14:paraId="25112BF4">
      <w:pPr>
        <w:pStyle w:val="3"/>
        <w:spacing w:line="304" w:lineRule="exact"/>
        <w:ind w:left="1046"/>
        <w:rPr>
          <w:color w:val="auto"/>
          <w:spacing w:val="-1"/>
          <w:highlight w:val="none"/>
          <w:lang w:eastAsia="zh-CN"/>
        </w:rPr>
      </w:pPr>
      <w:r>
        <w:rPr>
          <w:color w:val="auto"/>
          <w:spacing w:val="-1"/>
          <w:highlight w:val="none"/>
          <w:lang w:eastAsia="zh-CN"/>
        </w:rPr>
        <w:t>具体作业区域详见公共厕所明细表。</w:t>
      </w:r>
    </w:p>
    <w:tbl>
      <w:tblPr>
        <w:tblStyle w:val="6"/>
        <w:tblW w:w="9105" w:type="dxa"/>
        <w:tblInd w:w="49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12"/>
        <w:gridCol w:w="582"/>
        <w:gridCol w:w="611"/>
        <w:gridCol w:w="1328"/>
        <w:gridCol w:w="514"/>
        <w:gridCol w:w="654"/>
        <w:gridCol w:w="500"/>
        <w:gridCol w:w="500"/>
        <w:gridCol w:w="500"/>
        <w:gridCol w:w="500"/>
        <w:gridCol w:w="500"/>
        <w:gridCol w:w="500"/>
        <w:gridCol w:w="500"/>
        <w:gridCol w:w="500"/>
        <w:gridCol w:w="500"/>
        <w:gridCol w:w="504"/>
      </w:tblGrid>
      <w:tr w14:paraId="3745AC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2" w:hRule="atLeast"/>
        </w:trPr>
        <w:tc>
          <w:tcPr>
            <w:tcW w:w="41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92278E">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序号</w:t>
            </w:r>
          </w:p>
        </w:tc>
        <w:tc>
          <w:tcPr>
            <w:tcW w:w="5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38BBF6">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街（镇）</w:t>
            </w: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442595">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公厕编号</w:t>
            </w:r>
          </w:p>
        </w:tc>
        <w:tc>
          <w:tcPr>
            <w:tcW w:w="13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FB452C">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具体位置</w:t>
            </w:r>
          </w:p>
        </w:tc>
        <w:tc>
          <w:tcPr>
            <w:tcW w:w="51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384C3A">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类别（一/二/三/移动）</w:t>
            </w:r>
          </w:p>
        </w:tc>
        <w:tc>
          <w:tcPr>
            <w:tcW w:w="6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3EA30C">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面积（㎡）</w:t>
            </w:r>
          </w:p>
        </w:tc>
        <w:tc>
          <w:tcPr>
            <w:tcW w:w="20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939D97B">
            <w:pPr>
              <w:keepNext w:val="0"/>
              <w:keepLines w:val="0"/>
              <w:widowControl/>
              <w:suppressLineNumbers w:val="0"/>
              <w:jc w:val="center"/>
              <w:textAlignment w:val="center"/>
              <w:rPr>
                <w:rFonts w:hint="default"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厕位数（个）</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9219D">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合计</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CF012">
            <w:pPr>
              <w:keepNext w:val="0"/>
              <w:keepLines w:val="0"/>
              <w:widowControl/>
              <w:suppressLineNumbers w:val="0"/>
              <w:jc w:val="center"/>
              <w:textAlignment w:val="center"/>
              <w:rPr>
                <w:rFonts w:hint="default"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第三卫生间</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92251">
            <w:pPr>
              <w:keepNext w:val="0"/>
              <w:keepLines w:val="0"/>
              <w:widowControl/>
              <w:suppressLineNumbers w:val="0"/>
              <w:jc w:val="center"/>
              <w:textAlignment w:val="center"/>
              <w:rPr>
                <w:rFonts w:hint="default"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无障碍通道</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A43EC">
            <w:pPr>
              <w:keepNext w:val="0"/>
              <w:keepLines w:val="0"/>
              <w:widowControl/>
              <w:suppressLineNumbers w:val="0"/>
              <w:jc w:val="center"/>
              <w:textAlignment w:val="center"/>
              <w:rPr>
                <w:rFonts w:hint="default"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厕外亮化</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9D76A">
            <w:pPr>
              <w:keepNext w:val="0"/>
              <w:keepLines w:val="0"/>
              <w:widowControl/>
              <w:suppressLineNumbers w:val="0"/>
              <w:jc w:val="center"/>
              <w:textAlignment w:val="center"/>
              <w:rPr>
                <w:rFonts w:hint="default"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智慧公测系统</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617F0">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备注</w:t>
            </w:r>
          </w:p>
        </w:tc>
      </w:tr>
      <w:tr w14:paraId="02B0E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5" w:hRule="atLeast"/>
        </w:trPr>
        <w:tc>
          <w:tcPr>
            <w:tcW w:w="4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8D4574">
            <w:pPr>
              <w:jc w:val="center"/>
              <w:rPr>
                <w:rFonts w:hint="eastAsia" w:ascii="宋体" w:hAnsi="宋体" w:eastAsia="宋体" w:cs="宋体"/>
                <w:i w:val="0"/>
                <w:iCs w:val="0"/>
                <w:color w:val="auto"/>
                <w:sz w:val="18"/>
                <w:szCs w:val="18"/>
                <w:highlight w:val="none"/>
                <w:u w:val="none"/>
              </w:rPr>
            </w:pPr>
          </w:p>
        </w:tc>
        <w:tc>
          <w:tcPr>
            <w:tcW w:w="5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337C8C">
            <w:pPr>
              <w:jc w:val="center"/>
              <w:rPr>
                <w:rFonts w:hint="eastAsia" w:ascii="宋体" w:hAnsi="宋体" w:eastAsia="宋体" w:cs="宋体"/>
                <w:i w:val="0"/>
                <w:iCs w:val="0"/>
                <w:color w:val="auto"/>
                <w:sz w:val="18"/>
                <w:szCs w:val="18"/>
                <w:highlight w:val="none"/>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92589C">
            <w:pPr>
              <w:jc w:val="center"/>
              <w:rPr>
                <w:rFonts w:hint="eastAsia" w:ascii="宋体" w:hAnsi="宋体" w:eastAsia="宋体" w:cs="宋体"/>
                <w:i w:val="0"/>
                <w:iCs w:val="0"/>
                <w:color w:val="auto"/>
                <w:sz w:val="18"/>
                <w:szCs w:val="18"/>
                <w:highlight w:val="none"/>
                <w:u w:val="none"/>
              </w:rPr>
            </w:pPr>
          </w:p>
        </w:tc>
        <w:tc>
          <w:tcPr>
            <w:tcW w:w="13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68C781">
            <w:pPr>
              <w:jc w:val="center"/>
              <w:rPr>
                <w:rFonts w:hint="eastAsia" w:ascii="宋体" w:hAnsi="宋体" w:eastAsia="宋体" w:cs="宋体"/>
                <w:i w:val="0"/>
                <w:iCs w:val="0"/>
                <w:color w:val="auto"/>
                <w:sz w:val="18"/>
                <w:szCs w:val="18"/>
                <w:highlight w:val="none"/>
                <w:u w:val="none"/>
              </w:rPr>
            </w:pPr>
          </w:p>
        </w:tc>
        <w:tc>
          <w:tcPr>
            <w:tcW w:w="5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C4B9D6">
            <w:pPr>
              <w:jc w:val="center"/>
              <w:rPr>
                <w:rFonts w:hint="eastAsia" w:ascii="宋体" w:hAnsi="宋体" w:eastAsia="宋体" w:cs="宋体"/>
                <w:i w:val="0"/>
                <w:iCs w:val="0"/>
                <w:color w:val="auto"/>
                <w:sz w:val="18"/>
                <w:szCs w:val="18"/>
                <w:highlight w:val="none"/>
                <w:u w:val="none"/>
              </w:rPr>
            </w:pPr>
          </w:p>
        </w:tc>
        <w:tc>
          <w:tcPr>
            <w:tcW w:w="6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F5F2CC">
            <w:pPr>
              <w:jc w:val="center"/>
              <w:rPr>
                <w:rFonts w:hint="eastAsia" w:ascii="宋体" w:hAnsi="宋体" w:eastAsia="宋体" w:cs="宋体"/>
                <w:i w:val="0"/>
                <w:iCs w:val="0"/>
                <w:color w:val="auto"/>
                <w:sz w:val="18"/>
                <w:szCs w:val="18"/>
                <w:highlight w:val="none"/>
                <w:u w:val="none"/>
              </w:rPr>
            </w:pP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7B3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男</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BF8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女</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727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残</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662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立</w:t>
            </w:r>
          </w:p>
        </w:tc>
        <w:tc>
          <w:tcPr>
            <w:tcW w:w="500" w:type="dxa"/>
            <w:tcBorders>
              <w:top w:val="single" w:color="000000" w:sz="4" w:space="0"/>
              <w:left w:val="single" w:color="000000" w:sz="4" w:space="0"/>
              <w:right w:val="single" w:color="000000" w:sz="4" w:space="0"/>
            </w:tcBorders>
            <w:shd w:val="clear" w:color="auto" w:fill="auto"/>
            <w:vAlign w:val="center"/>
          </w:tcPr>
          <w:p w14:paraId="1CD88F92">
            <w:pPr>
              <w:jc w:val="center"/>
              <w:rPr>
                <w:rFonts w:hint="eastAsia" w:ascii="宋体" w:hAnsi="宋体" w:eastAsia="宋体" w:cs="宋体"/>
                <w:i w:val="0"/>
                <w:iCs w:val="0"/>
                <w:color w:val="auto"/>
                <w:sz w:val="18"/>
                <w:szCs w:val="18"/>
                <w:highlight w:val="none"/>
                <w:u w:val="none"/>
              </w:rPr>
            </w:pPr>
          </w:p>
        </w:tc>
        <w:tc>
          <w:tcPr>
            <w:tcW w:w="500" w:type="dxa"/>
            <w:tcBorders>
              <w:top w:val="single" w:color="000000" w:sz="4" w:space="0"/>
              <w:left w:val="single" w:color="000000" w:sz="4" w:space="0"/>
              <w:right w:val="single" w:color="000000" w:sz="4" w:space="0"/>
            </w:tcBorders>
            <w:shd w:val="clear" w:color="auto" w:fill="auto"/>
            <w:vAlign w:val="center"/>
          </w:tcPr>
          <w:p w14:paraId="6B2374A9">
            <w:pPr>
              <w:jc w:val="center"/>
              <w:rPr>
                <w:rFonts w:hint="eastAsia" w:ascii="宋体" w:hAnsi="宋体" w:eastAsia="宋体" w:cs="宋体"/>
                <w:i w:val="0"/>
                <w:iCs w:val="0"/>
                <w:color w:val="auto"/>
                <w:sz w:val="18"/>
                <w:szCs w:val="18"/>
                <w:highlight w:val="none"/>
                <w:u w:val="none"/>
              </w:rPr>
            </w:pPr>
          </w:p>
        </w:tc>
        <w:tc>
          <w:tcPr>
            <w:tcW w:w="500" w:type="dxa"/>
            <w:tcBorders>
              <w:top w:val="single" w:color="000000" w:sz="4" w:space="0"/>
              <w:left w:val="single" w:color="000000" w:sz="4" w:space="0"/>
              <w:right w:val="single" w:color="000000" w:sz="4" w:space="0"/>
            </w:tcBorders>
            <w:shd w:val="clear" w:color="auto" w:fill="auto"/>
            <w:vAlign w:val="center"/>
          </w:tcPr>
          <w:p w14:paraId="4AABD054">
            <w:pPr>
              <w:jc w:val="center"/>
              <w:rPr>
                <w:rFonts w:hint="eastAsia" w:ascii="宋体" w:hAnsi="宋体" w:eastAsia="宋体" w:cs="宋体"/>
                <w:i w:val="0"/>
                <w:iCs w:val="0"/>
                <w:color w:val="auto"/>
                <w:sz w:val="18"/>
                <w:szCs w:val="18"/>
                <w:highlight w:val="none"/>
                <w:u w:val="none"/>
              </w:rPr>
            </w:pPr>
          </w:p>
        </w:tc>
        <w:tc>
          <w:tcPr>
            <w:tcW w:w="500" w:type="dxa"/>
            <w:tcBorders>
              <w:top w:val="single" w:color="000000" w:sz="4" w:space="0"/>
              <w:left w:val="single" w:color="000000" w:sz="4" w:space="0"/>
              <w:right w:val="single" w:color="000000" w:sz="4" w:space="0"/>
            </w:tcBorders>
            <w:shd w:val="clear" w:color="auto" w:fill="auto"/>
            <w:vAlign w:val="center"/>
          </w:tcPr>
          <w:p w14:paraId="4E9740D1">
            <w:pPr>
              <w:jc w:val="center"/>
              <w:rPr>
                <w:rFonts w:hint="eastAsia" w:ascii="宋体" w:hAnsi="宋体" w:eastAsia="宋体" w:cs="宋体"/>
                <w:i w:val="0"/>
                <w:iCs w:val="0"/>
                <w:color w:val="auto"/>
                <w:sz w:val="18"/>
                <w:szCs w:val="18"/>
                <w:highlight w:val="none"/>
                <w:u w:val="none"/>
              </w:rPr>
            </w:pPr>
          </w:p>
        </w:tc>
        <w:tc>
          <w:tcPr>
            <w:tcW w:w="500" w:type="dxa"/>
            <w:tcBorders>
              <w:top w:val="single" w:color="000000" w:sz="4" w:space="0"/>
              <w:left w:val="single" w:color="000000" w:sz="4" w:space="0"/>
              <w:right w:val="single" w:color="000000" w:sz="4" w:space="0"/>
            </w:tcBorders>
            <w:shd w:val="clear" w:color="auto" w:fill="auto"/>
            <w:vAlign w:val="center"/>
          </w:tcPr>
          <w:p w14:paraId="7B5D1313">
            <w:pPr>
              <w:jc w:val="center"/>
              <w:rPr>
                <w:rFonts w:hint="eastAsia" w:ascii="宋体" w:hAnsi="宋体" w:eastAsia="宋体" w:cs="宋体"/>
                <w:i w:val="0"/>
                <w:iCs w:val="0"/>
                <w:color w:val="auto"/>
                <w:sz w:val="18"/>
                <w:szCs w:val="18"/>
                <w:highlight w:val="none"/>
                <w:u w:val="none"/>
              </w:rPr>
            </w:pPr>
          </w:p>
        </w:tc>
        <w:tc>
          <w:tcPr>
            <w:tcW w:w="504" w:type="dxa"/>
            <w:tcBorders>
              <w:top w:val="single" w:color="000000" w:sz="4" w:space="0"/>
              <w:left w:val="single" w:color="000000" w:sz="4" w:space="0"/>
              <w:right w:val="single" w:color="000000" w:sz="4" w:space="0"/>
            </w:tcBorders>
            <w:shd w:val="clear" w:color="auto" w:fill="auto"/>
            <w:vAlign w:val="center"/>
          </w:tcPr>
          <w:p w14:paraId="0AA8E3D7">
            <w:pPr>
              <w:jc w:val="center"/>
              <w:rPr>
                <w:rFonts w:hint="eastAsia" w:ascii="宋体" w:hAnsi="宋体" w:eastAsia="宋体" w:cs="宋体"/>
                <w:i w:val="0"/>
                <w:iCs w:val="0"/>
                <w:color w:val="auto"/>
                <w:sz w:val="18"/>
                <w:szCs w:val="18"/>
                <w:highlight w:val="none"/>
                <w:u w:val="none"/>
              </w:rPr>
            </w:pPr>
          </w:p>
        </w:tc>
      </w:tr>
      <w:tr w14:paraId="40E516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5" w:hRule="atLeast"/>
        </w:trPr>
        <w:tc>
          <w:tcPr>
            <w:tcW w:w="4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841612">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w:t>
            </w:r>
          </w:p>
        </w:tc>
        <w:tc>
          <w:tcPr>
            <w:tcW w:w="5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4D19AF">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北杜</w:t>
            </w:r>
          </w:p>
        </w:tc>
        <w:tc>
          <w:tcPr>
            <w:tcW w:w="61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0104E9">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KG-02-01</w:t>
            </w:r>
          </w:p>
        </w:tc>
        <w:tc>
          <w:tcPr>
            <w:tcW w:w="132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1C2B0E">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天翔大道与翼通三路十字路口路南往东200米</w:t>
            </w:r>
          </w:p>
        </w:tc>
        <w:tc>
          <w:tcPr>
            <w:tcW w:w="5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50AA2D">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一类</w:t>
            </w:r>
          </w:p>
        </w:tc>
        <w:tc>
          <w:tcPr>
            <w:tcW w:w="6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24B47D">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88.62</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1A6ADD">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3</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E81861">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7</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36E4E8">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FF1F67">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5</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74D2D9">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17</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768FD5">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无</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85A781">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614F83">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6F94CF">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无</w:t>
            </w:r>
          </w:p>
        </w:tc>
        <w:tc>
          <w:tcPr>
            <w:tcW w:w="5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F556E8">
            <w:pPr>
              <w:keepNext w:val="0"/>
              <w:keepLines w:val="0"/>
              <w:pageBreakBefore w:val="0"/>
              <w:widowControl/>
              <w:kinsoku/>
              <w:wordWrap/>
              <w:overflowPunct/>
              <w:topLinePunct w:val="0"/>
              <w:bidi w:val="0"/>
              <w:adjustRightInd/>
              <w:snapToGrid/>
              <w:jc w:val="center"/>
              <w:rPr>
                <w:rFonts w:hint="eastAsia" w:ascii="宋体" w:hAnsi="宋体" w:eastAsia="宋体" w:cs="宋体"/>
                <w:i w:val="0"/>
                <w:iCs w:val="0"/>
                <w:color w:val="auto"/>
                <w:sz w:val="16"/>
                <w:szCs w:val="16"/>
                <w:highlight w:val="none"/>
                <w:u w:val="none"/>
              </w:rPr>
            </w:pPr>
          </w:p>
        </w:tc>
      </w:tr>
      <w:tr w14:paraId="631EE9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5" w:hRule="atLeast"/>
        </w:trPr>
        <w:tc>
          <w:tcPr>
            <w:tcW w:w="4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28605E">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5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1E1C31">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北杜</w:t>
            </w:r>
          </w:p>
        </w:tc>
        <w:tc>
          <w:tcPr>
            <w:tcW w:w="61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BCB8DE">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KG-02-02</w:t>
            </w:r>
          </w:p>
        </w:tc>
        <w:tc>
          <w:tcPr>
            <w:tcW w:w="132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B106E4">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天翔大道与翼通五路十字路口路南往东200米</w:t>
            </w:r>
          </w:p>
        </w:tc>
        <w:tc>
          <w:tcPr>
            <w:tcW w:w="5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785B3C">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一类</w:t>
            </w:r>
          </w:p>
        </w:tc>
        <w:tc>
          <w:tcPr>
            <w:tcW w:w="6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91483D">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81.33</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87BF32">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3</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0EBB00">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7</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514F31">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795303">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5</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A1EF1E">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17</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EE0CEA">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无</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FAE416">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415F46">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9407F6">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无</w:t>
            </w:r>
          </w:p>
        </w:tc>
        <w:tc>
          <w:tcPr>
            <w:tcW w:w="5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9B9238">
            <w:pPr>
              <w:keepNext w:val="0"/>
              <w:keepLines w:val="0"/>
              <w:pageBreakBefore w:val="0"/>
              <w:widowControl/>
              <w:kinsoku/>
              <w:wordWrap/>
              <w:overflowPunct/>
              <w:topLinePunct w:val="0"/>
              <w:bidi w:val="0"/>
              <w:adjustRightInd/>
              <w:snapToGrid/>
              <w:jc w:val="center"/>
              <w:rPr>
                <w:rFonts w:hint="eastAsia" w:ascii="宋体" w:hAnsi="宋体" w:eastAsia="宋体" w:cs="宋体"/>
                <w:i w:val="0"/>
                <w:iCs w:val="0"/>
                <w:color w:val="auto"/>
                <w:sz w:val="16"/>
                <w:szCs w:val="16"/>
                <w:highlight w:val="none"/>
                <w:u w:val="none"/>
              </w:rPr>
            </w:pPr>
          </w:p>
        </w:tc>
      </w:tr>
      <w:tr w14:paraId="151C3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5" w:hRule="atLeast"/>
        </w:trPr>
        <w:tc>
          <w:tcPr>
            <w:tcW w:w="4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AD185A">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3</w:t>
            </w:r>
          </w:p>
        </w:tc>
        <w:tc>
          <w:tcPr>
            <w:tcW w:w="5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D46903">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北杜</w:t>
            </w:r>
          </w:p>
        </w:tc>
        <w:tc>
          <w:tcPr>
            <w:tcW w:w="61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208D57">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KG-02-03</w:t>
            </w:r>
          </w:p>
        </w:tc>
        <w:tc>
          <w:tcPr>
            <w:tcW w:w="132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7150EA">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自贸大道与北杜大街十字路口路东往北200米</w:t>
            </w:r>
          </w:p>
        </w:tc>
        <w:tc>
          <w:tcPr>
            <w:tcW w:w="5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0AAA4F">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一类</w:t>
            </w:r>
          </w:p>
        </w:tc>
        <w:tc>
          <w:tcPr>
            <w:tcW w:w="6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DD3E49">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88.62</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DA3F9F">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3</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7A4E1E">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7</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AD5168">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F46262">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5</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813443">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17</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DC3C0D">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无</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7E3361">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F48BD1">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54B819">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无</w:t>
            </w:r>
          </w:p>
        </w:tc>
        <w:tc>
          <w:tcPr>
            <w:tcW w:w="5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69352C">
            <w:pPr>
              <w:keepNext w:val="0"/>
              <w:keepLines w:val="0"/>
              <w:pageBreakBefore w:val="0"/>
              <w:widowControl/>
              <w:kinsoku/>
              <w:wordWrap/>
              <w:overflowPunct/>
              <w:topLinePunct w:val="0"/>
              <w:bidi w:val="0"/>
              <w:adjustRightInd/>
              <w:snapToGrid/>
              <w:jc w:val="center"/>
              <w:rPr>
                <w:rFonts w:hint="eastAsia" w:ascii="宋体" w:hAnsi="宋体" w:eastAsia="宋体" w:cs="宋体"/>
                <w:i w:val="0"/>
                <w:iCs w:val="0"/>
                <w:color w:val="auto"/>
                <w:sz w:val="16"/>
                <w:szCs w:val="16"/>
                <w:highlight w:val="none"/>
                <w:u w:val="none"/>
              </w:rPr>
            </w:pPr>
          </w:p>
        </w:tc>
      </w:tr>
      <w:tr w14:paraId="369579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5" w:hRule="atLeast"/>
        </w:trPr>
        <w:tc>
          <w:tcPr>
            <w:tcW w:w="4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2CA1B9">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4</w:t>
            </w:r>
          </w:p>
        </w:tc>
        <w:tc>
          <w:tcPr>
            <w:tcW w:w="5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DA7E40">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北杜</w:t>
            </w:r>
          </w:p>
        </w:tc>
        <w:tc>
          <w:tcPr>
            <w:tcW w:w="61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E511EC">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KG-02-04</w:t>
            </w:r>
          </w:p>
        </w:tc>
        <w:tc>
          <w:tcPr>
            <w:tcW w:w="132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D4F20F">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自贸大道与北杜大街十字路口路西往北250米</w:t>
            </w:r>
          </w:p>
        </w:tc>
        <w:tc>
          <w:tcPr>
            <w:tcW w:w="5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BEF319">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一类</w:t>
            </w:r>
          </w:p>
        </w:tc>
        <w:tc>
          <w:tcPr>
            <w:tcW w:w="6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4B10EC">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88.62</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ACB749">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3</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A3AAAF">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7</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A4CA24">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46F925">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5</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7E1D3D">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17</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0D1F87">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无</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2B1FEA">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1CDC45">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7EDDD2">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无</w:t>
            </w:r>
          </w:p>
        </w:tc>
        <w:tc>
          <w:tcPr>
            <w:tcW w:w="5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1E8241">
            <w:pPr>
              <w:keepNext w:val="0"/>
              <w:keepLines w:val="0"/>
              <w:pageBreakBefore w:val="0"/>
              <w:widowControl/>
              <w:kinsoku/>
              <w:wordWrap/>
              <w:overflowPunct/>
              <w:topLinePunct w:val="0"/>
              <w:bidi w:val="0"/>
              <w:adjustRightInd/>
              <w:snapToGrid/>
              <w:jc w:val="center"/>
              <w:rPr>
                <w:rFonts w:hint="eastAsia" w:ascii="宋体" w:hAnsi="宋体" w:eastAsia="宋体" w:cs="宋体"/>
                <w:i w:val="0"/>
                <w:iCs w:val="0"/>
                <w:color w:val="auto"/>
                <w:sz w:val="16"/>
                <w:szCs w:val="16"/>
                <w:highlight w:val="none"/>
                <w:u w:val="none"/>
              </w:rPr>
            </w:pPr>
          </w:p>
        </w:tc>
      </w:tr>
      <w:tr w14:paraId="53A6E9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5" w:hRule="atLeast"/>
        </w:trPr>
        <w:tc>
          <w:tcPr>
            <w:tcW w:w="4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1311C8">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5</w:t>
            </w:r>
          </w:p>
        </w:tc>
        <w:tc>
          <w:tcPr>
            <w:tcW w:w="5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98B5C3">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北杜</w:t>
            </w:r>
          </w:p>
        </w:tc>
        <w:tc>
          <w:tcPr>
            <w:tcW w:w="61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C4868F">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KG-02-05</w:t>
            </w:r>
          </w:p>
        </w:tc>
        <w:tc>
          <w:tcPr>
            <w:tcW w:w="132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54934F">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自贸大道与昭容街十字路口路西往南200米</w:t>
            </w:r>
          </w:p>
        </w:tc>
        <w:tc>
          <w:tcPr>
            <w:tcW w:w="5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F4ED51">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一类</w:t>
            </w:r>
          </w:p>
        </w:tc>
        <w:tc>
          <w:tcPr>
            <w:tcW w:w="6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2EE5BD">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88.62</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6D2FA9">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3</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B3EAB3">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7</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214777">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793770">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5</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5038D7">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17</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6EE1BD">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无</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5B8B2F">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523580">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5CF208">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无</w:t>
            </w:r>
          </w:p>
        </w:tc>
        <w:tc>
          <w:tcPr>
            <w:tcW w:w="5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E0DA61">
            <w:pPr>
              <w:keepNext w:val="0"/>
              <w:keepLines w:val="0"/>
              <w:pageBreakBefore w:val="0"/>
              <w:widowControl/>
              <w:kinsoku/>
              <w:wordWrap/>
              <w:overflowPunct/>
              <w:topLinePunct w:val="0"/>
              <w:bidi w:val="0"/>
              <w:adjustRightInd/>
              <w:snapToGrid/>
              <w:jc w:val="center"/>
              <w:rPr>
                <w:rFonts w:hint="eastAsia" w:ascii="宋体" w:hAnsi="宋体" w:eastAsia="宋体" w:cs="宋体"/>
                <w:i w:val="0"/>
                <w:iCs w:val="0"/>
                <w:color w:val="auto"/>
                <w:sz w:val="16"/>
                <w:szCs w:val="16"/>
                <w:highlight w:val="none"/>
                <w:u w:val="none"/>
              </w:rPr>
            </w:pPr>
          </w:p>
        </w:tc>
      </w:tr>
      <w:tr w14:paraId="506099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5" w:hRule="atLeast"/>
        </w:trPr>
        <w:tc>
          <w:tcPr>
            <w:tcW w:w="4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500A35">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6</w:t>
            </w:r>
          </w:p>
        </w:tc>
        <w:tc>
          <w:tcPr>
            <w:tcW w:w="5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3EF44C">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北杜</w:t>
            </w:r>
          </w:p>
        </w:tc>
        <w:tc>
          <w:tcPr>
            <w:tcW w:w="61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6CFB52">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KG-01-06</w:t>
            </w:r>
          </w:p>
        </w:tc>
        <w:tc>
          <w:tcPr>
            <w:tcW w:w="132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DA92A6">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自贸大道与腾霄五街十字路口路东往南50米</w:t>
            </w:r>
          </w:p>
        </w:tc>
        <w:tc>
          <w:tcPr>
            <w:tcW w:w="5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52DA6F">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一类</w:t>
            </w:r>
          </w:p>
        </w:tc>
        <w:tc>
          <w:tcPr>
            <w:tcW w:w="6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4DA261">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81.33</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7A0533">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DD38AD">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8</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418059">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407D41">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18EC07">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14</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E8E5D2">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80B10C">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282DFA">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DEF5CF">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C7B81">
            <w:pPr>
              <w:keepNext w:val="0"/>
              <w:keepLines w:val="0"/>
              <w:pageBreakBefore w:val="0"/>
              <w:widowControl/>
              <w:kinsoku/>
              <w:wordWrap/>
              <w:overflowPunct/>
              <w:topLinePunct w:val="0"/>
              <w:bidi w:val="0"/>
              <w:adjustRightInd/>
              <w:snapToGrid/>
              <w:jc w:val="center"/>
              <w:rPr>
                <w:rFonts w:hint="eastAsia" w:ascii="宋体" w:hAnsi="宋体" w:eastAsia="宋体" w:cs="宋体"/>
                <w:i w:val="0"/>
                <w:iCs w:val="0"/>
                <w:color w:val="auto"/>
                <w:sz w:val="16"/>
                <w:szCs w:val="16"/>
                <w:highlight w:val="none"/>
                <w:u w:val="none"/>
              </w:rPr>
            </w:pPr>
          </w:p>
        </w:tc>
      </w:tr>
      <w:tr w14:paraId="032672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5" w:hRule="atLeast"/>
        </w:trPr>
        <w:tc>
          <w:tcPr>
            <w:tcW w:w="4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A8CC20">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7</w:t>
            </w:r>
          </w:p>
        </w:tc>
        <w:tc>
          <w:tcPr>
            <w:tcW w:w="5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B1212A">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北杜</w:t>
            </w:r>
          </w:p>
        </w:tc>
        <w:tc>
          <w:tcPr>
            <w:tcW w:w="61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65C21A">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KG-02-07</w:t>
            </w:r>
          </w:p>
        </w:tc>
        <w:tc>
          <w:tcPr>
            <w:tcW w:w="132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60D9A1">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自贸大道与腾霄二街十字路口路西南角</w:t>
            </w:r>
          </w:p>
        </w:tc>
        <w:tc>
          <w:tcPr>
            <w:tcW w:w="5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D15985">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一类</w:t>
            </w:r>
          </w:p>
        </w:tc>
        <w:tc>
          <w:tcPr>
            <w:tcW w:w="6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598E2B">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88.62</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6B301E">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3</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6B9660">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7</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9985A4">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CFDCF0">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5</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31C7F2">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17</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D8D49F">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无</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AFFDF6">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084F18">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AC2A28">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无</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63B0F">
            <w:pPr>
              <w:keepNext w:val="0"/>
              <w:keepLines w:val="0"/>
              <w:pageBreakBefore w:val="0"/>
              <w:widowControl/>
              <w:kinsoku/>
              <w:wordWrap/>
              <w:overflowPunct/>
              <w:topLinePunct w:val="0"/>
              <w:bidi w:val="0"/>
              <w:adjustRightInd/>
              <w:snapToGrid/>
              <w:jc w:val="center"/>
              <w:rPr>
                <w:rFonts w:hint="eastAsia" w:ascii="宋体" w:hAnsi="宋体" w:eastAsia="宋体" w:cs="宋体"/>
                <w:i w:val="0"/>
                <w:iCs w:val="0"/>
                <w:color w:val="auto"/>
                <w:sz w:val="16"/>
                <w:szCs w:val="16"/>
                <w:highlight w:val="none"/>
                <w:u w:val="none"/>
              </w:rPr>
            </w:pPr>
          </w:p>
        </w:tc>
      </w:tr>
      <w:tr w14:paraId="3ADF03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5" w:hRule="atLeast"/>
        </w:trPr>
        <w:tc>
          <w:tcPr>
            <w:tcW w:w="4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A6C30E">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8</w:t>
            </w:r>
          </w:p>
        </w:tc>
        <w:tc>
          <w:tcPr>
            <w:tcW w:w="5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B500B5">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北杜</w:t>
            </w:r>
          </w:p>
        </w:tc>
        <w:tc>
          <w:tcPr>
            <w:tcW w:w="61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52F9AB">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KG-01-08</w:t>
            </w:r>
          </w:p>
        </w:tc>
        <w:tc>
          <w:tcPr>
            <w:tcW w:w="132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27A2F6">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自贸大道与天熙大道十字路口路东南角</w:t>
            </w:r>
          </w:p>
        </w:tc>
        <w:tc>
          <w:tcPr>
            <w:tcW w:w="5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7B0F81">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一类</w:t>
            </w:r>
          </w:p>
        </w:tc>
        <w:tc>
          <w:tcPr>
            <w:tcW w:w="6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D4B57F">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81.33</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87A392">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EC7BA5">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8</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542F54">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384473">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05B567">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14</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EC85EF">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FA7459">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39978C">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0A00E9">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无</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B9C9A">
            <w:pPr>
              <w:keepNext w:val="0"/>
              <w:keepLines w:val="0"/>
              <w:pageBreakBefore w:val="0"/>
              <w:widowControl/>
              <w:kinsoku/>
              <w:wordWrap/>
              <w:overflowPunct/>
              <w:topLinePunct w:val="0"/>
              <w:bidi w:val="0"/>
              <w:adjustRightInd/>
              <w:snapToGrid/>
              <w:jc w:val="center"/>
              <w:rPr>
                <w:rFonts w:hint="eastAsia" w:ascii="宋体" w:hAnsi="宋体" w:eastAsia="宋体" w:cs="宋体"/>
                <w:i w:val="0"/>
                <w:iCs w:val="0"/>
                <w:color w:val="auto"/>
                <w:sz w:val="16"/>
                <w:szCs w:val="16"/>
                <w:highlight w:val="none"/>
                <w:u w:val="none"/>
              </w:rPr>
            </w:pPr>
          </w:p>
        </w:tc>
      </w:tr>
      <w:tr w14:paraId="3B7B9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5" w:hRule="atLeast"/>
        </w:trPr>
        <w:tc>
          <w:tcPr>
            <w:tcW w:w="4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2CFC11">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9</w:t>
            </w:r>
          </w:p>
        </w:tc>
        <w:tc>
          <w:tcPr>
            <w:tcW w:w="5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737E0E">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北杜</w:t>
            </w:r>
          </w:p>
        </w:tc>
        <w:tc>
          <w:tcPr>
            <w:tcW w:w="61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07D336">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KG-02-09</w:t>
            </w:r>
          </w:p>
        </w:tc>
        <w:tc>
          <w:tcPr>
            <w:tcW w:w="132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4CC92C">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自贸大道与天熙大道交叉口路北往东500米</w:t>
            </w:r>
          </w:p>
        </w:tc>
        <w:tc>
          <w:tcPr>
            <w:tcW w:w="5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1E9FFD">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一类</w:t>
            </w:r>
          </w:p>
        </w:tc>
        <w:tc>
          <w:tcPr>
            <w:tcW w:w="6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E72B73">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88.62</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BC352D">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3</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A5920D">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7</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74F2AA">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C3A035">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5</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6A0792">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17</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52A500">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无</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81BF22">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B00F69">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4DA504">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CE7D6">
            <w:pPr>
              <w:keepNext w:val="0"/>
              <w:keepLines w:val="0"/>
              <w:pageBreakBefore w:val="0"/>
              <w:widowControl/>
              <w:kinsoku/>
              <w:wordWrap/>
              <w:overflowPunct/>
              <w:topLinePunct w:val="0"/>
              <w:bidi w:val="0"/>
              <w:adjustRightInd/>
              <w:snapToGrid/>
              <w:jc w:val="center"/>
              <w:rPr>
                <w:rFonts w:hint="eastAsia" w:ascii="宋体" w:hAnsi="宋体" w:eastAsia="宋体" w:cs="宋体"/>
                <w:i w:val="0"/>
                <w:iCs w:val="0"/>
                <w:color w:val="auto"/>
                <w:sz w:val="16"/>
                <w:szCs w:val="16"/>
                <w:highlight w:val="none"/>
                <w:u w:val="none"/>
              </w:rPr>
            </w:pPr>
          </w:p>
        </w:tc>
      </w:tr>
      <w:tr w14:paraId="105A43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5" w:hRule="atLeast"/>
        </w:trPr>
        <w:tc>
          <w:tcPr>
            <w:tcW w:w="4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5A6A5E">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10</w:t>
            </w:r>
          </w:p>
        </w:tc>
        <w:tc>
          <w:tcPr>
            <w:tcW w:w="5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3AAA1D">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北杜</w:t>
            </w:r>
          </w:p>
        </w:tc>
        <w:tc>
          <w:tcPr>
            <w:tcW w:w="61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F94907">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KG-02-10</w:t>
            </w:r>
          </w:p>
        </w:tc>
        <w:tc>
          <w:tcPr>
            <w:tcW w:w="132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8F0455">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天熙大道普洛斯物流园对面</w:t>
            </w:r>
          </w:p>
        </w:tc>
        <w:tc>
          <w:tcPr>
            <w:tcW w:w="5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EFBD9B">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一类</w:t>
            </w:r>
          </w:p>
        </w:tc>
        <w:tc>
          <w:tcPr>
            <w:tcW w:w="6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3A15A3">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81.33</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C4CD34">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3</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61DD37">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7</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60E0F3">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74688F">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5</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4D236C">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17</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861751">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无</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810506">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CBFC9E">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9B214E">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无</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4B152">
            <w:pPr>
              <w:keepNext w:val="0"/>
              <w:keepLines w:val="0"/>
              <w:pageBreakBefore w:val="0"/>
              <w:widowControl/>
              <w:kinsoku/>
              <w:wordWrap/>
              <w:overflowPunct/>
              <w:topLinePunct w:val="0"/>
              <w:bidi w:val="0"/>
              <w:adjustRightInd/>
              <w:snapToGrid/>
              <w:jc w:val="center"/>
              <w:rPr>
                <w:rFonts w:hint="eastAsia" w:ascii="宋体" w:hAnsi="宋体" w:eastAsia="宋体" w:cs="宋体"/>
                <w:i w:val="0"/>
                <w:iCs w:val="0"/>
                <w:color w:val="auto"/>
                <w:sz w:val="16"/>
                <w:szCs w:val="16"/>
                <w:highlight w:val="none"/>
                <w:u w:val="none"/>
              </w:rPr>
            </w:pPr>
          </w:p>
        </w:tc>
      </w:tr>
      <w:tr w14:paraId="209C2D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5" w:hRule="atLeast"/>
        </w:trPr>
        <w:tc>
          <w:tcPr>
            <w:tcW w:w="4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D1BE9B">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11</w:t>
            </w:r>
          </w:p>
        </w:tc>
        <w:tc>
          <w:tcPr>
            <w:tcW w:w="5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F27480">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北杜</w:t>
            </w:r>
          </w:p>
        </w:tc>
        <w:tc>
          <w:tcPr>
            <w:tcW w:w="61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3A9D4D">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KG-02-11</w:t>
            </w:r>
          </w:p>
        </w:tc>
        <w:tc>
          <w:tcPr>
            <w:tcW w:w="132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80EEA4">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天熙大道普洛斯物流园南侧路北</w:t>
            </w:r>
          </w:p>
        </w:tc>
        <w:tc>
          <w:tcPr>
            <w:tcW w:w="5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312687">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一类</w:t>
            </w:r>
          </w:p>
        </w:tc>
        <w:tc>
          <w:tcPr>
            <w:tcW w:w="6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72A48B">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88.62</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912F31">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3</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754AE0">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7</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3A5624">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2B279A">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5</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1518FF">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17</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C03F36">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无</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4B8CF1">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613903">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3B3592">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无</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7C9E1">
            <w:pPr>
              <w:keepNext w:val="0"/>
              <w:keepLines w:val="0"/>
              <w:pageBreakBefore w:val="0"/>
              <w:widowControl/>
              <w:kinsoku/>
              <w:wordWrap/>
              <w:overflowPunct/>
              <w:topLinePunct w:val="0"/>
              <w:bidi w:val="0"/>
              <w:adjustRightInd/>
              <w:snapToGrid/>
              <w:jc w:val="center"/>
              <w:rPr>
                <w:rFonts w:hint="eastAsia" w:ascii="宋体" w:hAnsi="宋体" w:eastAsia="宋体" w:cs="宋体"/>
                <w:i w:val="0"/>
                <w:iCs w:val="0"/>
                <w:color w:val="auto"/>
                <w:sz w:val="16"/>
                <w:szCs w:val="16"/>
                <w:highlight w:val="none"/>
                <w:u w:val="none"/>
              </w:rPr>
            </w:pPr>
          </w:p>
        </w:tc>
      </w:tr>
      <w:tr w14:paraId="276658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5" w:hRule="atLeast"/>
        </w:trPr>
        <w:tc>
          <w:tcPr>
            <w:tcW w:w="4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6100E8">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12</w:t>
            </w:r>
          </w:p>
        </w:tc>
        <w:tc>
          <w:tcPr>
            <w:tcW w:w="5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616E65">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北杜</w:t>
            </w:r>
          </w:p>
        </w:tc>
        <w:tc>
          <w:tcPr>
            <w:tcW w:w="61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2FA755">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KG-01-13</w:t>
            </w:r>
          </w:p>
        </w:tc>
        <w:tc>
          <w:tcPr>
            <w:tcW w:w="132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1DD6E4">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LED向东200米天翔大街路南绿化带</w:t>
            </w:r>
          </w:p>
        </w:tc>
        <w:tc>
          <w:tcPr>
            <w:tcW w:w="5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C510E5">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一类</w:t>
            </w:r>
          </w:p>
        </w:tc>
        <w:tc>
          <w:tcPr>
            <w:tcW w:w="6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02903C">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88.6</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053691">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3</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F5BBD9">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9</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F10861">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16D149">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3</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BAA182">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17</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BC6FF8">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F81B0C">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1C878C">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B7CB27">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无</w:t>
            </w:r>
          </w:p>
        </w:tc>
        <w:tc>
          <w:tcPr>
            <w:tcW w:w="5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AC33F5">
            <w:pPr>
              <w:keepNext w:val="0"/>
              <w:keepLines w:val="0"/>
              <w:pageBreakBefore w:val="0"/>
              <w:widowControl/>
              <w:kinsoku/>
              <w:wordWrap/>
              <w:overflowPunct/>
              <w:topLinePunct w:val="0"/>
              <w:bidi w:val="0"/>
              <w:adjustRightInd/>
              <w:snapToGrid/>
              <w:jc w:val="center"/>
              <w:rPr>
                <w:rFonts w:hint="eastAsia" w:ascii="宋体" w:hAnsi="宋体" w:eastAsia="宋体" w:cs="宋体"/>
                <w:i w:val="0"/>
                <w:iCs w:val="0"/>
                <w:color w:val="auto"/>
                <w:sz w:val="16"/>
                <w:szCs w:val="16"/>
                <w:highlight w:val="none"/>
                <w:u w:val="none"/>
              </w:rPr>
            </w:pPr>
          </w:p>
        </w:tc>
      </w:tr>
      <w:tr w14:paraId="053EDC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5" w:hRule="atLeast"/>
        </w:trPr>
        <w:tc>
          <w:tcPr>
            <w:tcW w:w="4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D6C0E1">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13</w:t>
            </w:r>
          </w:p>
        </w:tc>
        <w:tc>
          <w:tcPr>
            <w:tcW w:w="5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E494A2">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北杜</w:t>
            </w:r>
          </w:p>
        </w:tc>
        <w:tc>
          <w:tcPr>
            <w:tcW w:w="61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97811D">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KG-01-14</w:t>
            </w:r>
          </w:p>
        </w:tc>
        <w:tc>
          <w:tcPr>
            <w:tcW w:w="132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1E1F8D">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圆通速递（翼通四路）东门对面</w:t>
            </w:r>
          </w:p>
        </w:tc>
        <w:tc>
          <w:tcPr>
            <w:tcW w:w="5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BEBCCB">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一类</w:t>
            </w:r>
          </w:p>
        </w:tc>
        <w:tc>
          <w:tcPr>
            <w:tcW w:w="6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7C1DE4">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88.6</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FF8EE6">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3</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41C558">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9</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2A5853">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A1F4F4">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3</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586219">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17</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95D8D0">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541FD8">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8DF451">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30C224">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无</w:t>
            </w:r>
          </w:p>
        </w:tc>
        <w:tc>
          <w:tcPr>
            <w:tcW w:w="5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141FB4">
            <w:pPr>
              <w:keepNext w:val="0"/>
              <w:keepLines w:val="0"/>
              <w:pageBreakBefore w:val="0"/>
              <w:widowControl/>
              <w:kinsoku/>
              <w:wordWrap/>
              <w:overflowPunct/>
              <w:topLinePunct w:val="0"/>
              <w:bidi w:val="0"/>
              <w:adjustRightInd/>
              <w:snapToGrid/>
              <w:jc w:val="center"/>
              <w:rPr>
                <w:rFonts w:hint="eastAsia" w:ascii="宋体" w:hAnsi="宋体" w:eastAsia="宋体" w:cs="宋体"/>
                <w:i w:val="0"/>
                <w:iCs w:val="0"/>
                <w:color w:val="auto"/>
                <w:sz w:val="16"/>
                <w:szCs w:val="16"/>
                <w:highlight w:val="none"/>
                <w:u w:val="none"/>
              </w:rPr>
            </w:pPr>
          </w:p>
        </w:tc>
      </w:tr>
      <w:tr w14:paraId="1152E4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5" w:hRule="atLeast"/>
        </w:trPr>
        <w:tc>
          <w:tcPr>
            <w:tcW w:w="4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C0C32F">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14</w:t>
            </w:r>
          </w:p>
        </w:tc>
        <w:tc>
          <w:tcPr>
            <w:tcW w:w="5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12A796">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北杜</w:t>
            </w:r>
          </w:p>
        </w:tc>
        <w:tc>
          <w:tcPr>
            <w:tcW w:w="61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50F2DA">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KG-01-15</w:t>
            </w:r>
          </w:p>
        </w:tc>
        <w:tc>
          <w:tcPr>
            <w:tcW w:w="132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E76EC7">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北杜大街与自贸大道公共绿地东南角</w:t>
            </w:r>
          </w:p>
        </w:tc>
        <w:tc>
          <w:tcPr>
            <w:tcW w:w="5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2BF9AF">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一类</w:t>
            </w:r>
          </w:p>
        </w:tc>
        <w:tc>
          <w:tcPr>
            <w:tcW w:w="6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6461C8">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88.6</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6AC563">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3</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48D9E1">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9</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8D9C47">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37027A">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3</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DE66A6">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17</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3F5539">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ADFC32">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F3D5F0">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EF514E">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无</w:t>
            </w:r>
          </w:p>
        </w:tc>
        <w:tc>
          <w:tcPr>
            <w:tcW w:w="5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D779C6">
            <w:pPr>
              <w:keepNext w:val="0"/>
              <w:keepLines w:val="0"/>
              <w:pageBreakBefore w:val="0"/>
              <w:widowControl/>
              <w:kinsoku/>
              <w:wordWrap/>
              <w:overflowPunct/>
              <w:topLinePunct w:val="0"/>
              <w:bidi w:val="0"/>
              <w:adjustRightInd/>
              <w:snapToGrid/>
              <w:jc w:val="center"/>
              <w:rPr>
                <w:rFonts w:hint="eastAsia" w:ascii="宋体" w:hAnsi="宋体" w:eastAsia="宋体" w:cs="宋体"/>
                <w:i w:val="0"/>
                <w:iCs w:val="0"/>
                <w:color w:val="auto"/>
                <w:sz w:val="16"/>
                <w:szCs w:val="16"/>
                <w:highlight w:val="none"/>
                <w:u w:val="none"/>
              </w:rPr>
            </w:pPr>
          </w:p>
        </w:tc>
      </w:tr>
      <w:tr w14:paraId="14157D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5" w:hRule="atLeast"/>
        </w:trPr>
        <w:tc>
          <w:tcPr>
            <w:tcW w:w="4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C4AAA8">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15</w:t>
            </w:r>
          </w:p>
        </w:tc>
        <w:tc>
          <w:tcPr>
            <w:tcW w:w="5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D44EFF">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北杜</w:t>
            </w:r>
          </w:p>
        </w:tc>
        <w:tc>
          <w:tcPr>
            <w:tcW w:w="61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6677A4">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KG-01-16</w:t>
            </w:r>
          </w:p>
        </w:tc>
        <w:tc>
          <w:tcPr>
            <w:tcW w:w="132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4CEB08">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广德路与昭容北街十字西北绿化带</w:t>
            </w:r>
          </w:p>
        </w:tc>
        <w:tc>
          <w:tcPr>
            <w:tcW w:w="5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4BAA2C">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一类</w:t>
            </w:r>
          </w:p>
        </w:tc>
        <w:tc>
          <w:tcPr>
            <w:tcW w:w="6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59829C">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88.6</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84D9FA">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3</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8A655C">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9</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1C930C">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A177B4">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3</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BB6F5A">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17</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4D2587">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D41335">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936DBA">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96E872">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无</w:t>
            </w:r>
          </w:p>
        </w:tc>
        <w:tc>
          <w:tcPr>
            <w:tcW w:w="5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4F122E">
            <w:pPr>
              <w:keepNext w:val="0"/>
              <w:keepLines w:val="0"/>
              <w:pageBreakBefore w:val="0"/>
              <w:widowControl/>
              <w:kinsoku/>
              <w:wordWrap/>
              <w:overflowPunct/>
              <w:topLinePunct w:val="0"/>
              <w:bidi w:val="0"/>
              <w:adjustRightInd/>
              <w:snapToGrid/>
              <w:jc w:val="center"/>
              <w:rPr>
                <w:rFonts w:hint="eastAsia" w:ascii="宋体" w:hAnsi="宋体" w:eastAsia="宋体" w:cs="宋体"/>
                <w:i w:val="0"/>
                <w:iCs w:val="0"/>
                <w:color w:val="auto"/>
                <w:sz w:val="16"/>
                <w:szCs w:val="16"/>
                <w:highlight w:val="none"/>
                <w:u w:val="none"/>
              </w:rPr>
            </w:pPr>
          </w:p>
        </w:tc>
      </w:tr>
      <w:tr w14:paraId="520757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5" w:hRule="atLeast"/>
        </w:trPr>
        <w:tc>
          <w:tcPr>
            <w:tcW w:w="4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582527">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16</w:t>
            </w:r>
          </w:p>
        </w:tc>
        <w:tc>
          <w:tcPr>
            <w:tcW w:w="5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3FD556">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底张</w:t>
            </w:r>
          </w:p>
        </w:tc>
        <w:tc>
          <w:tcPr>
            <w:tcW w:w="61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247462">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KG-01-17</w:t>
            </w:r>
          </w:p>
        </w:tc>
        <w:tc>
          <w:tcPr>
            <w:tcW w:w="132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3DFFD5">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沣泾大道改线段与天翔大街西南侧绿带</w:t>
            </w:r>
          </w:p>
        </w:tc>
        <w:tc>
          <w:tcPr>
            <w:tcW w:w="5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C2E38B">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一类</w:t>
            </w:r>
          </w:p>
        </w:tc>
        <w:tc>
          <w:tcPr>
            <w:tcW w:w="6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DD98A6">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88.6</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4B5947">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3</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938675">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9</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3CF0CF">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4056DF">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3</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930DA7">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17</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48EC6A">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805229">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F3A6C8">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F2032A">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无</w:t>
            </w:r>
          </w:p>
        </w:tc>
        <w:tc>
          <w:tcPr>
            <w:tcW w:w="5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9D0B13">
            <w:pPr>
              <w:keepNext w:val="0"/>
              <w:keepLines w:val="0"/>
              <w:pageBreakBefore w:val="0"/>
              <w:widowControl/>
              <w:kinsoku/>
              <w:wordWrap/>
              <w:overflowPunct/>
              <w:topLinePunct w:val="0"/>
              <w:bidi w:val="0"/>
              <w:adjustRightInd/>
              <w:snapToGrid/>
              <w:jc w:val="center"/>
              <w:rPr>
                <w:rFonts w:hint="eastAsia" w:ascii="宋体" w:hAnsi="宋体" w:eastAsia="宋体" w:cs="宋体"/>
                <w:i w:val="0"/>
                <w:iCs w:val="0"/>
                <w:color w:val="auto"/>
                <w:sz w:val="16"/>
                <w:szCs w:val="16"/>
                <w:highlight w:val="none"/>
                <w:u w:val="none"/>
              </w:rPr>
            </w:pPr>
          </w:p>
        </w:tc>
      </w:tr>
      <w:tr w14:paraId="4D627A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5" w:hRule="atLeast"/>
        </w:trPr>
        <w:tc>
          <w:tcPr>
            <w:tcW w:w="4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5FB360">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17</w:t>
            </w:r>
          </w:p>
        </w:tc>
        <w:tc>
          <w:tcPr>
            <w:tcW w:w="5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CDCB2A">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底张</w:t>
            </w:r>
          </w:p>
        </w:tc>
        <w:tc>
          <w:tcPr>
            <w:tcW w:w="61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E092C4">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KG-01-18</w:t>
            </w:r>
          </w:p>
        </w:tc>
        <w:tc>
          <w:tcPr>
            <w:tcW w:w="132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0703A7">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天宇六路以西天翼北路以南绿化带</w:t>
            </w:r>
          </w:p>
        </w:tc>
        <w:tc>
          <w:tcPr>
            <w:tcW w:w="5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45E020">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一类</w:t>
            </w:r>
          </w:p>
        </w:tc>
        <w:tc>
          <w:tcPr>
            <w:tcW w:w="6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2781B5">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88.6</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550822">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3</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0EA2BD">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9</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95CD2C">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D28667">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3</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8D352A">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17</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B1590D">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0FF87B">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B3C37E">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5CB730">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无</w:t>
            </w:r>
          </w:p>
        </w:tc>
        <w:tc>
          <w:tcPr>
            <w:tcW w:w="5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78ECE2">
            <w:pPr>
              <w:keepNext w:val="0"/>
              <w:keepLines w:val="0"/>
              <w:pageBreakBefore w:val="0"/>
              <w:widowControl/>
              <w:kinsoku/>
              <w:wordWrap/>
              <w:overflowPunct/>
              <w:topLinePunct w:val="0"/>
              <w:bidi w:val="0"/>
              <w:adjustRightInd/>
              <w:snapToGrid/>
              <w:jc w:val="center"/>
              <w:rPr>
                <w:rFonts w:hint="eastAsia" w:ascii="宋体" w:hAnsi="宋体" w:eastAsia="宋体" w:cs="宋体"/>
                <w:i w:val="0"/>
                <w:iCs w:val="0"/>
                <w:color w:val="auto"/>
                <w:sz w:val="16"/>
                <w:szCs w:val="16"/>
                <w:highlight w:val="none"/>
                <w:u w:val="none"/>
              </w:rPr>
            </w:pPr>
          </w:p>
        </w:tc>
      </w:tr>
      <w:tr w14:paraId="43E255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5" w:hRule="atLeast"/>
        </w:trPr>
        <w:tc>
          <w:tcPr>
            <w:tcW w:w="4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1C5EEB">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18</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DAA0D">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底张</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4EAFD">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KG-01-19</w:t>
            </w:r>
          </w:p>
        </w:tc>
        <w:tc>
          <w:tcPr>
            <w:tcW w:w="13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6F9A1">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幸福里社区西北角三十米绿带</w:t>
            </w:r>
          </w:p>
        </w:tc>
        <w:tc>
          <w:tcPr>
            <w:tcW w:w="5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C8C4DE">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一类</w:t>
            </w:r>
          </w:p>
        </w:tc>
        <w:tc>
          <w:tcPr>
            <w:tcW w:w="6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94D14F">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88.6</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751AD8">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3</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7D362D">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9</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4BD331">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0561F4">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3</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83D682">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17</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AB07F9">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A52AAC">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28EED0">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4F14D7">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无</w:t>
            </w:r>
          </w:p>
        </w:tc>
        <w:tc>
          <w:tcPr>
            <w:tcW w:w="5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1F82A3">
            <w:pPr>
              <w:keepNext w:val="0"/>
              <w:keepLines w:val="0"/>
              <w:pageBreakBefore w:val="0"/>
              <w:widowControl/>
              <w:kinsoku/>
              <w:wordWrap/>
              <w:overflowPunct/>
              <w:topLinePunct w:val="0"/>
              <w:bidi w:val="0"/>
              <w:adjustRightInd/>
              <w:snapToGrid/>
              <w:jc w:val="center"/>
              <w:rPr>
                <w:rFonts w:hint="eastAsia" w:ascii="宋体" w:hAnsi="宋体" w:eastAsia="宋体" w:cs="宋体"/>
                <w:i w:val="0"/>
                <w:iCs w:val="0"/>
                <w:color w:val="auto"/>
                <w:sz w:val="16"/>
                <w:szCs w:val="16"/>
                <w:highlight w:val="none"/>
                <w:u w:val="none"/>
              </w:rPr>
            </w:pPr>
          </w:p>
        </w:tc>
      </w:tr>
      <w:tr w14:paraId="499A3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5" w:hRule="atLeast"/>
        </w:trPr>
        <w:tc>
          <w:tcPr>
            <w:tcW w:w="4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47F2A6">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19</w:t>
            </w:r>
          </w:p>
        </w:tc>
        <w:tc>
          <w:tcPr>
            <w:tcW w:w="5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B6EE55">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底张</w:t>
            </w:r>
          </w:p>
        </w:tc>
        <w:tc>
          <w:tcPr>
            <w:tcW w:w="61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4F86D4">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KG-01-20</w:t>
            </w:r>
          </w:p>
        </w:tc>
        <w:tc>
          <w:tcPr>
            <w:tcW w:w="132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53EC88">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天翼西路与天宇路西南角绿带</w:t>
            </w:r>
          </w:p>
        </w:tc>
        <w:tc>
          <w:tcPr>
            <w:tcW w:w="5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47CDF1">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一类</w:t>
            </w:r>
          </w:p>
        </w:tc>
        <w:tc>
          <w:tcPr>
            <w:tcW w:w="6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8A5F13">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88.6</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A26979">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3</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4C0E75">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9</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C00584">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DDDF85">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3</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E1B029">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17</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4DAF8C">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467092">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F375F9">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3E1DC8">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无</w:t>
            </w:r>
          </w:p>
        </w:tc>
        <w:tc>
          <w:tcPr>
            <w:tcW w:w="5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12E6CC">
            <w:pPr>
              <w:keepNext w:val="0"/>
              <w:keepLines w:val="0"/>
              <w:pageBreakBefore w:val="0"/>
              <w:widowControl/>
              <w:kinsoku/>
              <w:wordWrap/>
              <w:overflowPunct/>
              <w:topLinePunct w:val="0"/>
              <w:bidi w:val="0"/>
              <w:adjustRightInd/>
              <w:snapToGrid/>
              <w:jc w:val="center"/>
              <w:rPr>
                <w:rFonts w:hint="eastAsia" w:ascii="宋体" w:hAnsi="宋体" w:eastAsia="宋体" w:cs="宋体"/>
                <w:i w:val="0"/>
                <w:iCs w:val="0"/>
                <w:color w:val="auto"/>
                <w:sz w:val="16"/>
                <w:szCs w:val="16"/>
                <w:highlight w:val="none"/>
                <w:u w:val="none"/>
              </w:rPr>
            </w:pPr>
          </w:p>
        </w:tc>
      </w:tr>
      <w:tr w14:paraId="25C32A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5" w:hRule="atLeast"/>
        </w:trPr>
        <w:tc>
          <w:tcPr>
            <w:tcW w:w="4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901FF0">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20</w:t>
            </w:r>
          </w:p>
        </w:tc>
        <w:tc>
          <w:tcPr>
            <w:tcW w:w="5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9D4EF5">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底张</w:t>
            </w:r>
          </w:p>
        </w:tc>
        <w:tc>
          <w:tcPr>
            <w:tcW w:w="61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C6F7D2">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KG-01-21</w:t>
            </w:r>
          </w:p>
        </w:tc>
        <w:tc>
          <w:tcPr>
            <w:tcW w:w="132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17A2C5">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枫叶国际学校西南角绿化带</w:t>
            </w:r>
          </w:p>
        </w:tc>
        <w:tc>
          <w:tcPr>
            <w:tcW w:w="5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FA79FA">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一类</w:t>
            </w:r>
          </w:p>
        </w:tc>
        <w:tc>
          <w:tcPr>
            <w:tcW w:w="6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2906EC">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88.6</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546465">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3</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171437">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9</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8303E2">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F03CA0">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3</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356458">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17</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2EA2F9">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AB4695">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366022">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414FAE">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无</w:t>
            </w:r>
          </w:p>
        </w:tc>
        <w:tc>
          <w:tcPr>
            <w:tcW w:w="5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4AAD74">
            <w:pPr>
              <w:keepNext w:val="0"/>
              <w:keepLines w:val="0"/>
              <w:pageBreakBefore w:val="0"/>
              <w:widowControl/>
              <w:kinsoku/>
              <w:wordWrap/>
              <w:overflowPunct/>
              <w:topLinePunct w:val="0"/>
              <w:bidi w:val="0"/>
              <w:adjustRightInd/>
              <w:snapToGrid/>
              <w:jc w:val="center"/>
              <w:rPr>
                <w:rFonts w:hint="eastAsia" w:ascii="宋体" w:hAnsi="宋体" w:eastAsia="宋体" w:cs="宋体"/>
                <w:i w:val="0"/>
                <w:iCs w:val="0"/>
                <w:color w:val="auto"/>
                <w:sz w:val="16"/>
                <w:szCs w:val="16"/>
                <w:highlight w:val="none"/>
                <w:u w:val="none"/>
              </w:rPr>
            </w:pPr>
          </w:p>
        </w:tc>
      </w:tr>
      <w:tr w14:paraId="2ABCA9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5" w:hRule="atLeast"/>
        </w:trPr>
        <w:tc>
          <w:tcPr>
            <w:tcW w:w="4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3E9455">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21</w:t>
            </w:r>
          </w:p>
        </w:tc>
        <w:tc>
          <w:tcPr>
            <w:tcW w:w="5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ECE7D2">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北杜</w:t>
            </w:r>
          </w:p>
        </w:tc>
        <w:tc>
          <w:tcPr>
            <w:tcW w:w="61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EEDE34">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KG-01-22</w:t>
            </w:r>
          </w:p>
        </w:tc>
        <w:tc>
          <w:tcPr>
            <w:tcW w:w="132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416193">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腾霄一街与翼泓路十字路口东南角</w:t>
            </w:r>
          </w:p>
        </w:tc>
        <w:tc>
          <w:tcPr>
            <w:tcW w:w="5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79ABEE">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一类</w:t>
            </w:r>
          </w:p>
        </w:tc>
        <w:tc>
          <w:tcPr>
            <w:tcW w:w="6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3632AA">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103.6</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26CF37">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F85A2C">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6</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CCB8B0">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9C03B7">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E3D22E">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12</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E7DEB5">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8B1588">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A907F2">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B395AA">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无</w:t>
            </w:r>
          </w:p>
        </w:tc>
        <w:tc>
          <w:tcPr>
            <w:tcW w:w="5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B866F3">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环保公厕</w:t>
            </w:r>
          </w:p>
        </w:tc>
      </w:tr>
      <w:tr w14:paraId="492ECF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5" w:hRule="atLeast"/>
        </w:trPr>
        <w:tc>
          <w:tcPr>
            <w:tcW w:w="4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C352E3">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22</w:t>
            </w:r>
          </w:p>
        </w:tc>
        <w:tc>
          <w:tcPr>
            <w:tcW w:w="5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FA7AE5">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北杜</w:t>
            </w:r>
          </w:p>
        </w:tc>
        <w:tc>
          <w:tcPr>
            <w:tcW w:w="61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AAEF4F">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KG-01-23</w:t>
            </w:r>
          </w:p>
        </w:tc>
        <w:tc>
          <w:tcPr>
            <w:tcW w:w="132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E0C068">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天熙大道与翼泓路交叉口东</w:t>
            </w:r>
          </w:p>
        </w:tc>
        <w:tc>
          <w:tcPr>
            <w:tcW w:w="5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4E02F7">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一类</w:t>
            </w:r>
          </w:p>
        </w:tc>
        <w:tc>
          <w:tcPr>
            <w:tcW w:w="6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C3B6CC">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113.7</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987070">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3</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194B46">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6</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4F6CC9">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A586BA">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4E45AE">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13</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C61059">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46F3B3">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39559C">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5809A5">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无</w:t>
            </w:r>
          </w:p>
        </w:tc>
        <w:tc>
          <w:tcPr>
            <w:tcW w:w="5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0A4705">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环保公厕</w:t>
            </w:r>
          </w:p>
        </w:tc>
      </w:tr>
      <w:tr w14:paraId="2A9050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5" w:hRule="atLeast"/>
        </w:trPr>
        <w:tc>
          <w:tcPr>
            <w:tcW w:w="4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47AFA5">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23</w:t>
            </w:r>
          </w:p>
        </w:tc>
        <w:tc>
          <w:tcPr>
            <w:tcW w:w="5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873F26">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底张</w:t>
            </w:r>
          </w:p>
        </w:tc>
        <w:tc>
          <w:tcPr>
            <w:tcW w:w="61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9683C3">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KG-01-24</w:t>
            </w:r>
          </w:p>
        </w:tc>
        <w:tc>
          <w:tcPr>
            <w:tcW w:w="132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61AD9B">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渊亭大街与天兴路交叉口东北角公共绿带内</w:t>
            </w:r>
          </w:p>
        </w:tc>
        <w:tc>
          <w:tcPr>
            <w:tcW w:w="5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6FFDE2">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一类</w:t>
            </w:r>
          </w:p>
        </w:tc>
        <w:tc>
          <w:tcPr>
            <w:tcW w:w="6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AF7DB2">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113.7</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59C196">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3</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16DA6E">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6</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AF8819">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FEDA5C">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557633">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13</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15F59C">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886962">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EC6D7D">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437E21">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无</w:t>
            </w:r>
          </w:p>
        </w:tc>
        <w:tc>
          <w:tcPr>
            <w:tcW w:w="5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80CCEC">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环保公厕</w:t>
            </w:r>
          </w:p>
        </w:tc>
      </w:tr>
      <w:tr w14:paraId="72557F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5" w:hRule="atLeast"/>
        </w:trPr>
        <w:tc>
          <w:tcPr>
            <w:tcW w:w="4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A581F2">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24</w:t>
            </w:r>
          </w:p>
        </w:tc>
        <w:tc>
          <w:tcPr>
            <w:tcW w:w="5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50EC3A">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底张</w:t>
            </w:r>
          </w:p>
        </w:tc>
        <w:tc>
          <w:tcPr>
            <w:tcW w:w="61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4EECC4">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KG-01-25</w:t>
            </w:r>
          </w:p>
        </w:tc>
        <w:tc>
          <w:tcPr>
            <w:tcW w:w="132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898B34">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渊亭大街与天和二路交叉路口西南角</w:t>
            </w:r>
          </w:p>
        </w:tc>
        <w:tc>
          <w:tcPr>
            <w:tcW w:w="5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762C69">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一类</w:t>
            </w:r>
          </w:p>
        </w:tc>
        <w:tc>
          <w:tcPr>
            <w:tcW w:w="6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E4E23E">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103.6</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F15611">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06C378">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6</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7CE6FA">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492E17">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22E17F">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12</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F16F85">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E78771">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E95B6B">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977779">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无</w:t>
            </w:r>
          </w:p>
        </w:tc>
        <w:tc>
          <w:tcPr>
            <w:tcW w:w="5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9A1FD1">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环保公厕</w:t>
            </w:r>
          </w:p>
        </w:tc>
      </w:tr>
      <w:tr w14:paraId="4FB720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5" w:hRule="atLeast"/>
        </w:trPr>
        <w:tc>
          <w:tcPr>
            <w:tcW w:w="4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2EDF74">
            <w:pPr>
              <w:keepNext w:val="0"/>
              <w:keepLines w:val="0"/>
              <w:pageBreakBefore w:val="0"/>
              <w:widowControl/>
              <w:suppressLineNumbers w:val="0"/>
              <w:kinsoku/>
              <w:wordWrap/>
              <w:overflowPunct/>
              <w:topLinePunct w:val="0"/>
              <w:bidi w:val="0"/>
              <w:adjustRightInd/>
              <w:snapToGrid/>
              <w:jc w:val="center"/>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25</w:t>
            </w:r>
          </w:p>
        </w:tc>
        <w:tc>
          <w:tcPr>
            <w:tcW w:w="5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DEBC2C">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底张</w:t>
            </w:r>
          </w:p>
        </w:tc>
        <w:tc>
          <w:tcPr>
            <w:tcW w:w="61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76A5F3">
            <w:pPr>
              <w:keepNext w:val="0"/>
              <w:keepLines w:val="0"/>
              <w:pageBreakBefore w:val="0"/>
              <w:widowControl/>
              <w:suppressLineNumbers w:val="0"/>
              <w:kinsoku/>
              <w:wordWrap/>
              <w:overflowPunct/>
              <w:topLinePunct w:val="0"/>
              <w:bidi w:val="0"/>
              <w:adjustRightInd/>
              <w:snapToGrid/>
              <w:jc w:val="center"/>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T5站前公厕</w:t>
            </w:r>
          </w:p>
        </w:tc>
        <w:tc>
          <w:tcPr>
            <w:tcW w:w="132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3183DE">
            <w:pPr>
              <w:keepNext w:val="0"/>
              <w:keepLines w:val="0"/>
              <w:pageBreakBefore w:val="0"/>
              <w:widowControl/>
              <w:suppressLineNumbers w:val="0"/>
              <w:kinsoku/>
              <w:wordWrap/>
              <w:overflowPunct/>
              <w:topLinePunct w:val="0"/>
              <w:bidi w:val="0"/>
              <w:adjustRightInd/>
              <w:snapToGrid/>
              <w:jc w:val="center"/>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汉霄三路与济量街十字往东50米路北</w:t>
            </w:r>
          </w:p>
        </w:tc>
        <w:tc>
          <w:tcPr>
            <w:tcW w:w="5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ED6AEA">
            <w:pPr>
              <w:keepNext w:val="0"/>
              <w:keepLines w:val="0"/>
              <w:pageBreakBefore w:val="0"/>
              <w:widowControl/>
              <w:suppressLineNumbers w:val="0"/>
              <w:kinsoku/>
              <w:wordWrap/>
              <w:overflowPunct/>
              <w:topLinePunct w:val="0"/>
              <w:bidi w:val="0"/>
              <w:adjustRightInd/>
              <w:snapToGrid/>
              <w:jc w:val="center"/>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二类</w:t>
            </w:r>
          </w:p>
        </w:tc>
        <w:tc>
          <w:tcPr>
            <w:tcW w:w="6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2CC042">
            <w:pPr>
              <w:keepNext w:val="0"/>
              <w:keepLines w:val="0"/>
              <w:pageBreakBefore w:val="0"/>
              <w:widowControl/>
              <w:suppressLineNumbers w:val="0"/>
              <w:kinsoku/>
              <w:wordWrap/>
              <w:overflowPunct/>
              <w:topLinePunct w:val="0"/>
              <w:bidi w:val="0"/>
              <w:adjustRightInd/>
              <w:snapToGrid/>
              <w:jc w:val="center"/>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67</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14694B">
            <w:pPr>
              <w:keepNext w:val="0"/>
              <w:keepLines w:val="0"/>
              <w:pageBreakBefore w:val="0"/>
              <w:widowControl/>
              <w:suppressLineNumbers w:val="0"/>
              <w:kinsoku/>
              <w:wordWrap/>
              <w:overflowPunct/>
              <w:topLinePunct w:val="0"/>
              <w:bidi w:val="0"/>
              <w:adjustRightInd/>
              <w:snapToGrid/>
              <w:jc w:val="center"/>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4</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53EA99">
            <w:pPr>
              <w:keepNext w:val="0"/>
              <w:keepLines w:val="0"/>
              <w:pageBreakBefore w:val="0"/>
              <w:widowControl/>
              <w:suppressLineNumbers w:val="0"/>
              <w:kinsoku/>
              <w:wordWrap/>
              <w:overflowPunct/>
              <w:topLinePunct w:val="0"/>
              <w:bidi w:val="0"/>
              <w:adjustRightInd/>
              <w:snapToGrid/>
              <w:jc w:val="center"/>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7</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2DB493">
            <w:pPr>
              <w:keepNext w:val="0"/>
              <w:keepLines w:val="0"/>
              <w:pageBreakBefore w:val="0"/>
              <w:widowControl/>
              <w:suppressLineNumbers w:val="0"/>
              <w:kinsoku/>
              <w:wordWrap/>
              <w:overflowPunct/>
              <w:topLinePunct w:val="0"/>
              <w:bidi w:val="0"/>
              <w:adjustRightInd/>
              <w:snapToGrid/>
              <w:jc w:val="center"/>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BF7F2A">
            <w:pPr>
              <w:keepNext w:val="0"/>
              <w:keepLines w:val="0"/>
              <w:pageBreakBefore w:val="0"/>
              <w:widowControl/>
              <w:suppressLineNumbers w:val="0"/>
              <w:kinsoku/>
              <w:wordWrap/>
              <w:overflowPunct/>
              <w:topLinePunct w:val="0"/>
              <w:bidi w:val="0"/>
              <w:adjustRightInd/>
              <w:snapToGrid/>
              <w:jc w:val="center"/>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3</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11CBFF">
            <w:pPr>
              <w:keepNext w:val="0"/>
              <w:keepLines w:val="0"/>
              <w:pageBreakBefore w:val="0"/>
              <w:widowControl/>
              <w:suppressLineNumbers w:val="0"/>
              <w:kinsoku/>
              <w:wordWrap/>
              <w:overflowPunct/>
              <w:topLinePunct w:val="0"/>
              <w:bidi w:val="0"/>
              <w:adjustRightInd/>
              <w:snapToGrid/>
              <w:jc w:val="center"/>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14</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A019C2">
            <w:pPr>
              <w:keepNext w:val="0"/>
              <w:keepLines w:val="0"/>
              <w:pageBreakBefore w:val="0"/>
              <w:widowControl/>
              <w:suppressLineNumbers w:val="0"/>
              <w:kinsoku/>
              <w:wordWrap/>
              <w:overflowPunct/>
              <w:topLinePunct w:val="0"/>
              <w:bidi w:val="0"/>
              <w:adjustRightInd/>
              <w:snapToGrid/>
              <w:jc w:val="center"/>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CA5EDD">
            <w:pPr>
              <w:keepNext w:val="0"/>
              <w:keepLines w:val="0"/>
              <w:pageBreakBefore w:val="0"/>
              <w:widowControl/>
              <w:suppressLineNumbers w:val="0"/>
              <w:kinsoku/>
              <w:wordWrap/>
              <w:overflowPunct/>
              <w:topLinePunct w:val="0"/>
              <w:bidi w:val="0"/>
              <w:adjustRightInd/>
              <w:snapToGrid/>
              <w:jc w:val="center"/>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有</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F2157E">
            <w:pPr>
              <w:keepNext w:val="0"/>
              <w:keepLines w:val="0"/>
              <w:pageBreakBefore w:val="0"/>
              <w:widowControl/>
              <w:suppressLineNumbers w:val="0"/>
              <w:kinsoku/>
              <w:wordWrap/>
              <w:overflowPunct/>
              <w:topLinePunct w:val="0"/>
              <w:bidi w:val="0"/>
              <w:adjustRightInd/>
              <w:snapToGrid/>
              <w:jc w:val="center"/>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无</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0A8EB9">
            <w:pPr>
              <w:keepNext w:val="0"/>
              <w:keepLines w:val="0"/>
              <w:pageBreakBefore w:val="0"/>
              <w:widowControl/>
              <w:suppressLineNumbers w:val="0"/>
              <w:kinsoku/>
              <w:wordWrap/>
              <w:overflowPunct/>
              <w:topLinePunct w:val="0"/>
              <w:bidi w:val="0"/>
              <w:adjustRightInd/>
              <w:snapToGrid/>
              <w:jc w:val="center"/>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无</w:t>
            </w:r>
          </w:p>
        </w:tc>
        <w:tc>
          <w:tcPr>
            <w:tcW w:w="5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14056E">
            <w:pPr>
              <w:keepNext w:val="0"/>
              <w:keepLines w:val="0"/>
              <w:pageBreakBefore w:val="0"/>
              <w:widowControl/>
              <w:suppressLineNumbers w:val="0"/>
              <w:kinsoku/>
              <w:wordWrap/>
              <w:overflowPunct/>
              <w:topLinePunct w:val="0"/>
              <w:bidi w:val="0"/>
              <w:adjustRightInd/>
              <w:snapToGrid/>
              <w:jc w:val="center"/>
              <w:textAlignment w:val="center"/>
              <w:rPr>
                <w:rFonts w:hint="default" w:ascii="宋体" w:hAnsi="宋体" w:eastAsia="宋体" w:cs="宋体"/>
                <w:i w:val="0"/>
                <w:iCs w:val="0"/>
                <w:color w:val="auto"/>
                <w:kern w:val="0"/>
                <w:sz w:val="16"/>
                <w:szCs w:val="16"/>
                <w:highlight w:val="none"/>
                <w:u w:val="none"/>
                <w:lang w:val="en-US" w:eastAsia="zh-CN" w:bidi="ar"/>
              </w:rPr>
            </w:pPr>
          </w:p>
        </w:tc>
      </w:tr>
      <w:tr w14:paraId="70AFB2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4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F9B7BE">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26</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0F73F">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北杜</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15294">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空港花园小学南侧临时公厕</w:t>
            </w:r>
          </w:p>
        </w:tc>
        <w:tc>
          <w:tcPr>
            <w:tcW w:w="13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73FDD">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空港花园小学南侧</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F6B3C">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二类</w:t>
            </w:r>
          </w:p>
        </w:tc>
        <w:tc>
          <w:tcPr>
            <w:tcW w:w="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7CBFF">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19</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66D11">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F48FB">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91003">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9BB15">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77F1D">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5</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34FCA">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无</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4A49A">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无</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51D20">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无</w:t>
            </w:r>
          </w:p>
        </w:tc>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F976ED">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无</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E452E">
            <w:pPr>
              <w:keepNext w:val="0"/>
              <w:keepLines w:val="0"/>
              <w:pageBreakBefore w:val="0"/>
              <w:widowControl/>
              <w:suppressLineNumbers w:val="0"/>
              <w:kinsoku/>
              <w:wordWrap/>
              <w:overflowPunct/>
              <w:topLinePunct w:val="0"/>
              <w:bidi w:val="0"/>
              <w:adjustRightInd/>
              <w:snapToGrid/>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移动公厕</w:t>
            </w:r>
          </w:p>
        </w:tc>
      </w:tr>
    </w:tbl>
    <w:p w14:paraId="1EAA49F8">
      <w:pPr>
        <w:pStyle w:val="3"/>
        <w:spacing w:before="154" w:line="357" w:lineRule="auto"/>
        <w:ind w:right="615" w:firstLine="480"/>
        <w:jc w:val="both"/>
        <w:rPr>
          <w:color w:val="auto"/>
          <w:highlight w:val="none"/>
          <w:lang w:eastAsia="zh-CN"/>
        </w:rPr>
      </w:pPr>
      <w:r>
        <w:rPr>
          <w:color w:val="auto"/>
          <w:spacing w:val="-2"/>
          <w:highlight w:val="none"/>
          <w:lang w:eastAsia="zh-CN"/>
        </w:rPr>
        <w:t>保洁内容包含：</w:t>
      </w:r>
      <w:r>
        <w:rPr>
          <w:rFonts w:hint="eastAsia"/>
          <w:color w:val="auto"/>
          <w:spacing w:val="-2"/>
          <w:highlight w:val="none"/>
          <w:lang w:eastAsia="zh-CN"/>
        </w:rPr>
        <w:t>空港新城现有负责保洁服务的市政公厕</w:t>
      </w:r>
      <w:r>
        <w:rPr>
          <w:rFonts w:hint="eastAsia"/>
          <w:color w:val="auto"/>
          <w:spacing w:val="-2"/>
          <w:highlight w:val="none"/>
          <w:lang w:val="en-US" w:eastAsia="zh-CN"/>
        </w:rPr>
        <w:t>26</w:t>
      </w:r>
      <w:r>
        <w:rPr>
          <w:rFonts w:hint="eastAsia"/>
          <w:color w:val="auto"/>
          <w:spacing w:val="-2"/>
          <w:highlight w:val="none"/>
          <w:lang w:eastAsia="zh-CN"/>
        </w:rPr>
        <w:t>座（详见《空港新城市政公厕明细表》），其中一级公厕24座，二级公厕</w:t>
      </w:r>
      <w:r>
        <w:rPr>
          <w:rFonts w:hint="eastAsia"/>
          <w:color w:val="auto"/>
          <w:spacing w:val="-2"/>
          <w:highlight w:val="none"/>
          <w:lang w:val="en-US" w:eastAsia="zh-CN"/>
        </w:rPr>
        <w:t>2</w:t>
      </w:r>
      <w:r>
        <w:rPr>
          <w:rFonts w:hint="eastAsia"/>
          <w:color w:val="auto"/>
          <w:spacing w:val="-2"/>
          <w:highlight w:val="none"/>
          <w:lang w:eastAsia="zh-CN"/>
        </w:rPr>
        <w:t>座。市政公厕保洁服务合同规定的服务内容包含保洁员人工费用、公厕维护管理（除主体框架之外的所有公厕设施设备的维修更换服务）、公厕日常用品、水电等费用。其中维修包含了公厕所配备的门、窗、洁具、面盆、灯、排风扇、干手器、防蚊蝇、防风帘等故障，及保持便池下水通畅、不堵塞，无异物等服务内容。</w:t>
      </w:r>
    </w:p>
    <w:p w14:paraId="03F812D3">
      <w:pPr>
        <w:pStyle w:val="10"/>
        <w:spacing w:before="7" w:line="350" w:lineRule="auto"/>
        <w:ind w:right="6610"/>
        <w:rPr>
          <w:color w:val="auto"/>
          <w:highlight w:val="none"/>
          <w:lang w:eastAsia="zh-CN"/>
        </w:rPr>
      </w:pPr>
      <w:r>
        <w:rPr>
          <w:color w:val="auto"/>
          <w:w w:val="95"/>
          <w:highlight w:val="none"/>
          <w:lang w:eastAsia="zh-CN"/>
        </w:rPr>
        <w:t>1、公共厕所管</w:t>
      </w:r>
      <w:r>
        <w:rPr>
          <w:color w:val="auto"/>
          <w:spacing w:val="-4"/>
          <w:w w:val="95"/>
          <w:highlight w:val="none"/>
          <w:lang w:eastAsia="zh-CN"/>
        </w:rPr>
        <w:t>理要求</w:t>
      </w:r>
    </w:p>
    <w:p w14:paraId="1E3BC7C1">
      <w:pPr>
        <w:pStyle w:val="3"/>
        <w:spacing w:before="154" w:line="357" w:lineRule="auto"/>
        <w:ind w:right="615" w:firstLine="480"/>
        <w:jc w:val="both"/>
        <w:rPr>
          <w:b/>
          <w:bCs/>
          <w:color w:val="auto"/>
          <w:spacing w:val="-2"/>
          <w:highlight w:val="none"/>
          <w:lang w:eastAsia="zh-CN"/>
        </w:rPr>
      </w:pPr>
      <w:r>
        <w:rPr>
          <w:rFonts w:hint="eastAsia"/>
          <w:b/>
          <w:bCs/>
          <w:color w:val="auto"/>
          <w:spacing w:val="-2"/>
          <w:highlight w:val="none"/>
          <w:lang w:val="en-US" w:eastAsia="zh-CN"/>
        </w:rPr>
        <w:t>1.1</w:t>
      </w:r>
      <w:r>
        <w:rPr>
          <w:b/>
          <w:bCs/>
          <w:color w:val="auto"/>
          <w:spacing w:val="-2"/>
          <w:highlight w:val="none"/>
          <w:lang w:eastAsia="zh-CN"/>
        </w:rPr>
        <w:t>、通用要求</w:t>
      </w:r>
    </w:p>
    <w:p w14:paraId="241837BD">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color w:val="auto"/>
          <w:spacing w:val="-2"/>
          <w:highlight w:val="none"/>
          <w:lang w:eastAsia="zh-CN"/>
        </w:rPr>
      </w:pPr>
      <w:r>
        <w:rPr>
          <w:color w:val="auto"/>
          <w:spacing w:val="-2"/>
          <w:highlight w:val="none"/>
          <w:lang w:eastAsia="zh-CN"/>
        </w:rPr>
        <w:t>公共厕所应功能完善,干净、整洁、舒适、方便。</w:t>
      </w:r>
    </w:p>
    <w:p w14:paraId="7ECCB003">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color w:val="auto"/>
          <w:spacing w:val="-2"/>
          <w:highlight w:val="none"/>
          <w:lang w:eastAsia="zh-CN"/>
        </w:rPr>
      </w:pPr>
      <w:r>
        <w:rPr>
          <w:color w:val="auto"/>
          <w:spacing w:val="-2"/>
          <w:highlight w:val="none"/>
          <w:lang w:eastAsia="zh-CN"/>
        </w:rPr>
        <w:t>公共厕所主体建筑、内部设施、给排水、化粪池、无障碍设施、公益文化设施等各类硬件设施应保持完好,无破损和缺失问题,各项功能应符合使用要求。</w:t>
      </w:r>
    </w:p>
    <w:p w14:paraId="4B6CE8B6">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color w:val="auto"/>
          <w:spacing w:val="-2"/>
          <w:highlight w:val="none"/>
          <w:lang w:eastAsia="zh-CN"/>
        </w:rPr>
      </w:pPr>
      <w:r>
        <w:rPr>
          <w:color w:val="auto"/>
          <w:spacing w:val="-2"/>
          <w:highlight w:val="none"/>
          <w:lang w:eastAsia="zh-CN"/>
        </w:rPr>
        <w:t>不得利用公共厕所从事销售商品(自动售纸机除外)、废品回收等经营性活动。</w:t>
      </w:r>
    </w:p>
    <w:p w14:paraId="643843E2">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color w:val="auto"/>
          <w:spacing w:val="-2"/>
          <w:highlight w:val="none"/>
          <w:lang w:eastAsia="zh-CN"/>
        </w:rPr>
      </w:pPr>
      <w:r>
        <w:rPr>
          <w:color w:val="auto"/>
          <w:spacing w:val="-2"/>
          <w:highlight w:val="none"/>
          <w:lang w:eastAsia="zh-CN"/>
        </w:rPr>
        <w:t>应制定相应岗位职责、规章制度、操作规程及保洁标准等。应为保洁人员配备劳动保护用品和胸卡。</w:t>
      </w:r>
    </w:p>
    <w:p w14:paraId="63E94C8A">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color w:val="auto"/>
          <w:spacing w:val="-2"/>
          <w:highlight w:val="none"/>
          <w:lang w:eastAsia="zh-CN"/>
        </w:rPr>
      </w:pPr>
      <w:r>
        <w:rPr>
          <w:color w:val="auto"/>
          <w:spacing w:val="-2"/>
          <w:highlight w:val="none"/>
          <w:lang w:eastAsia="zh-CN"/>
        </w:rPr>
        <w:t>公共厕所开放时间应不少于公示开放时间，夜间照明时间与厕所开放时间一致。无障碍卫生间和第三卫生间在开放时间内应正常使用。</w:t>
      </w:r>
    </w:p>
    <w:p w14:paraId="51200E38">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color w:val="auto"/>
          <w:spacing w:val="-2"/>
          <w:highlight w:val="none"/>
          <w:lang w:eastAsia="zh-CN"/>
        </w:rPr>
      </w:pPr>
      <w:r>
        <w:rPr>
          <w:color w:val="auto"/>
          <w:spacing w:val="-2"/>
          <w:highlight w:val="none"/>
          <w:lang w:eastAsia="zh-CN"/>
        </w:rPr>
        <w:t>公共厕所可作为环卫爱心休息点，有环卫爱心休息点的公共厕所应在醒目位置悬挂爱心休息点牌子，为一线作业人员提供休憩场所，有条件的公共厕所可提供热水、微波炉等用品。</w:t>
      </w:r>
    </w:p>
    <w:p w14:paraId="73902426">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color w:val="auto"/>
          <w:spacing w:val="-2"/>
          <w:highlight w:val="none"/>
          <w:lang w:eastAsia="zh-CN"/>
        </w:rPr>
      </w:pPr>
      <w:r>
        <w:rPr>
          <w:color w:val="auto"/>
          <w:spacing w:val="-2"/>
          <w:highlight w:val="none"/>
          <w:lang w:eastAsia="zh-CN"/>
        </w:rPr>
        <w:t>公厕实行 24 小时开放。在规定的时段内应有专人进行保洁，专人保洁时间为全天 24 小时。</w:t>
      </w:r>
    </w:p>
    <w:p w14:paraId="16322302">
      <w:pPr>
        <w:pStyle w:val="3"/>
        <w:spacing w:before="154" w:line="357" w:lineRule="auto"/>
        <w:ind w:right="615" w:firstLine="480"/>
        <w:jc w:val="both"/>
        <w:rPr>
          <w:rFonts w:hint="eastAsia"/>
          <w:b/>
          <w:bCs/>
          <w:color w:val="auto"/>
          <w:spacing w:val="-2"/>
          <w:highlight w:val="none"/>
          <w:lang w:val="en-US" w:eastAsia="zh-CN"/>
        </w:rPr>
      </w:pPr>
      <w:r>
        <w:rPr>
          <w:rFonts w:hint="eastAsia"/>
          <w:b/>
          <w:bCs/>
          <w:color w:val="auto"/>
          <w:spacing w:val="-2"/>
          <w:highlight w:val="none"/>
          <w:lang w:val="en-US" w:eastAsia="zh-CN"/>
        </w:rPr>
        <w:t>1.2、保洁员管理</w:t>
      </w:r>
    </w:p>
    <w:p w14:paraId="1978AA55">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color w:val="auto"/>
          <w:spacing w:val="-2"/>
          <w:highlight w:val="none"/>
          <w:lang w:eastAsia="zh-CN"/>
        </w:rPr>
      </w:pPr>
      <w:r>
        <w:rPr>
          <w:color w:val="auto"/>
          <w:spacing w:val="-2"/>
          <w:highlight w:val="none"/>
          <w:lang w:eastAsia="zh-CN"/>
        </w:rPr>
        <w:t>保洁员应经过相关管理部门培训合格后方可上岗。</w:t>
      </w:r>
    </w:p>
    <w:p w14:paraId="160984CA">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color w:val="auto"/>
          <w:spacing w:val="-2"/>
          <w:highlight w:val="none"/>
          <w:lang w:eastAsia="zh-CN"/>
        </w:rPr>
      </w:pPr>
      <w:r>
        <w:rPr>
          <w:color w:val="auto"/>
          <w:spacing w:val="-2"/>
          <w:highlight w:val="none"/>
          <w:lang w:eastAsia="zh-CN"/>
        </w:rPr>
        <w:t>保洁员应定时定点上岗，不得擅自离岗或从事与公共厕所管理无关的活动，不得私自雇工顶岗或转包。</w:t>
      </w:r>
    </w:p>
    <w:p w14:paraId="132E68D7">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color w:val="auto"/>
          <w:spacing w:val="-2"/>
          <w:highlight w:val="none"/>
          <w:lang w:eastAsia="zh-CN"/>
        </w:rPr>
      </w:pPr>
      <w:r>
        <w:rPr>
          <w:color w:val="auto"/>
          <w:spacing w:val="-2"/>
          <w:highlight w:val="none"/>
          <w:lang w:eastAsia="zh-CN"/>
        </w:rPr>
        <w:t>保洁员人数宜按 10 个厕位配备一名保洁员。每班次当值人员不少于 2 人。保洁员应统一着装、文明用语、礼貌待人、服务规范。在需要时，应对老弱病残幼等特殊人群提供如厕帮助。</w:t>
      </w:r>
    </w:p>
    <w:p w14:paraId="3F422008">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color w:val="auto"/>
          <w:spacing w:val="-2"/>
          <w:highlight w:val="none"/>
          <w:lang w:eastAsia="zh-CN"/>
        </w:rPr>
      </w:pPr>
      <w:r>
        <w:rPr>
          <w:color w:val="auto"/>
          <w:spacing w:val="-2"/>
          <w:highlight w:val="none"/>
          <w:lang w:eastAsia="zh-CN"/>
        </w:rPr>
        <w:t>保洁员应熟悉公共厕所设施设备的使用，做好日常维护与保养，发现设施设备破损的，应及时报修；保洁员发现破坏公共厕所设施设备的行为，应劝阻并及时报告；市民如有需要，应向市民介绍公共厕所设施设备的正确使用方法。</w:t>
      </w:r>
    </w:p>
    <w:p w14:paraId="3D2ACD72">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color w:val="auto"/>
          <w:spacing w:val="-2"/>
          <w:highlight w:val="none"/>
          <w:lang w:eastAsia="zh-CN"/>
        </w:rPr>
      </w:pPr>
      <w:r>
        <w:rPr>
          <w:color w:val="auto"/>
          <w:spacing w:val="-2"/>
          <w:highlight w:val="none"/>
          <w:lang w:eastAsia="zh-CN"/>
        </w:rPr>
        <w:t>保洁员应掌握药物消杀、消防等知识并能熟练使用。保洁员捡拾遗失物品应及时交还失主或上级管理部门。</w:t>
      </w:r>
    </w:p>
    <w:p w14:paraId="0D99025D">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color w:val="auto"/>
          <w:spacing w:val="-2"/>
          <w:highlight w:val="none"/>
          <w:lang w:eastAsia="zh-CN"/>
        </w:rPr>
      </w:pPr>
      <w:r>
        <w:rPr>
          <w:color w:val="auto"/>
          <w:spacing w:val="-2"/>
          <w:highlight w:val="none"/>
          <w:lang w:eastAsia="zh-CN"/>
        </w:rPr>
        <w:t>保洁员应具备疏导和维持公共厕所秩序的能力，发生突发事件时应及时上报。严格遵守作息时间，不得随意停用厕位或将管理间、工具间改作他用。</w:t>
      </w:r>
    </w:p>
    <w:p w14:paraId="555F7AE1">
      <w:pPr>
        <w:pStyle w:val="3"/>
        <w:spacing w:before="154" w:line="357" w:lineRule="auto"/>
        <w:ind w:right="615" w:firstLine="480"/>
        <w:jc w:val="both"/>
        <w:rPr>
          <w:rFonts w:hint="eastAsia"/>
          <w:b/>
          <w:bCs/>
          <w:color w:val="auto"/>
          <w:spacing w:val="-2"/>
          <w:highlight w:val="none"/>
          <w:lang w:val="en-US" w:eastAsia="zh-CN"/>
        </w:rPr>
      </w:pPr>
      <w:r>
        <w:rPr>
          <w:rFonts w:hint="eastAsia"/>
          <w:b/>
          <w:bCs/>
          <w:color w:val="auto"/>
          <w:spacing w:val="-2"/>
          <w:highlight w:val="none"/>
          <w:lang w:val="en-US" w:eastAsia="zh-CN"/>
        </w:rPr>
        <w:t>1.3、水电设施</w:t>
      </w:r>
    </w:p>
    <w:p w14:paraId="61E8BC1A">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color w:val="auto"/>
          <w:spacing w:val="-2"/>
          <w:highlight w:val="none"/>
          <w:lang w:eastAsia="zh-CN"/>
        </w:rPr>
      </w:pPr>
      <w:r>
        <w:rPr>
          <w:color w:val="auto"/>
          <w:spacing w:val="-2"/>
          <w:highlight w:val="none"/>
          <w:lang w:eastAsia="zh-CN"/>
        </w:rPr>
        <w:t>公共厕所所有供水和供电设施应正常启用，不得无故关闭公共厕所内外照明和洗手池供水。</w:t>
      </w:r>
    </w:p>
    <w:p w14:paraId="303AC662">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color w:val="auto"/>
          <w:spacing w:val="-2"/>
          <w:highlight w:val="none"/>
          <w:lang w:eastAsia="zh-CN"/>
        </w:rPr>
      </w:pPr>
      <w:r>
        <w:rPr>
          <w:color w:val="auto"/>
          <w:spacing w:val="-2"/>
          <w:highlight w:val="none"/>
          <w:lang w:eastAsia="zh-CN"/>
        </w:rPr>
        <w:t>因故障等原因，公共厕所停止使用期间，应提前在明显位置张贴通告，明确停用时间及原因。</w:t>
      </w:r>
    </w:p>
    <w:p w14:paraId="65ED0FF9">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color w:val="auto"/>
          <w:spacing w:val="-2"/>
          <w:highlight w:val="none"/>
          <w:lang w:eastAsia="zh-CN"/>
        </w:rPr>
      </w:pPr>
      <w:r>
        <w:rPr>
          <w:color w:val="auto"/>
          <w:spacing w:val="-2"/>
          <w:highlight w:val="none"/>
          <w:lang w:eastAsia="zh-CN"/>
        </w:rPr>
        <w:t>公共厕所卫生用品和附属设备服务项目及要求应按下表的规定执行。</w:t>
      </w:r>
    </w:p>
    <w:p w14:paraId="44EC33AD">
      <w:pPr>
        <w:spacing w:before="62" w:after="25"/>
        <w:ind w:left="3060"/>
        <w:rPr>
          <w:b/>
          <w:color w:val="auto"/>
          <w:sz w:val="28"/>
          <w:highlight w:val="none"/>
          <w:lang w:eastAsia="zh-CN"/>
        </w:rPr>
      </w:pPr>
      <w:r>
        <w:rPr>
          <w:b/>
          <w:color w:val="auto"/>
          <w:w w:val="95"/>
          <w:sz w:val="28"/>
          <w:highlight w:val="none"/>
          <w:lang w:eastAsia="zh-CN"/>
        </w:rPr>
        <w:t>公共厕所卫生用品和附属设</w:t>
      </w:r>
      <w:r>
        <w:rPr>
          <w:b/>
          <w:color w:val="auto"/>
          <w:spacing w:val="-10"/>
          <w:w w:val="95"/>
          <w:sz w:val="28"/>
          <w:highlight w:val="none"/>
          <w:lang w:eastAsia="zh-CN"/>
        </w:rPr>
        <w:t>备</w:t>
      </w:r>
    </w:p>
    <w:tbl>
      <w:tblPr>
        <w:tblStyle w:val="12"/>
        <w:tblW w:w="0" w:type="auto"/>
        <w:tblInd w:w="6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9"/>
        <w:gridCol w:w="7776"/>
      </w:tblGrid>
      <w:tr w14:paraId="0458EA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85" w:hRule="atLeast"/>
        </w:trPr>
        <w:tc>
          <w:tcPr>
            <w:tcW w:w="779" w:type="dxa"/>
            <w:vAlign w:val="center"/>
          </w:tcPr>
          <w:p w14:paraId="5862B94C">
            <w:pPr>
              <w:pStyle w:val="11"/>
              <w:ind w:left="193" w:right="185"/>
              <w:jc w:val="center"/>
              <w:rPr>
                <w:color w:val="auto"/>
                <w:sz w:val="18"/>
                <w:highlight w:val="none"/>
              </w:rPr>
            </w:pPr>
            <w:r>
              <w:rPr>
                <w:color w:val="auto"/>
                <w:spacing w:val="-5"/>
                <w:sz w:val="18"/>
                <w:highlight w:val="none"/>
              </w:rPr>
              <w:t>序号</w:t>
            </w:r>
          </w:p>
        </w:tc>
        <w:tc>
          <w:tcPr>
            <w:tcW w:w="7776" w:type="dxa"/>
            <w:vAlign w:val="center"/>
          </w:tcPr>
          <w:p w14:paraId="69E4B31F">
            <w:pPr>
              <w:pStyle w:val="11"/>
              <w:ind w:left="3244" w:right="3235"/>
              <w:jc w:val="center"/>
              <w:rPr>
                <w:color w:val="auto"/>
                <w:sz w:val="18"/>
                <w:highlight w:val="none"/>
              </w:rPr>
            </w:pPr>
            <w:r>
              <w:rPr>
                <w:color w:val="auto"/>
                <w:spacing w:val="-2"/>
                <w:sz w:val="18"/>
                <w:highlight w:val="none"/>
              </w:rPr>
              <w:t>服务项目和要求</w:t>
            </w:r>
          </w:p>
        </w:tc>
      </w:tr>
      <w:tr w14:paraId="0AC38F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2" w:hRule="atLeast"/>
        </w:trPr>
        <w:tc>
          <w:tcPr>
            <w:tcW w:w="779" w:type="dxa"/>
            <w:vAlign w:val="center"/>
          </w:tcPr>
          <w:p w14:paraId="0DB73801">
            <w:pPr>
              <w:pStyle w:val="11"/>
              <w:spacing w:before="1"/>
              <w:ind w:left="7"/>
              <w:jc w:val="center"/>
              <w:rPr>
                <w:color w:val="auto"/>
                <w:sz w:val="18"/>
                <w:highlight w:val="none"/>
              </w:rPr>
            </w:pPr>
            <w:r>
              <w:rPr>
                <w:color w:val="auto"/>
                <w:sz w:val="18"/>
                <w:highlight w:val="none"/>
              </w:rPr>
              <w:t>1</w:t>
            </w:r>
          </w:p>
        </w:tc>
        <w:tc>
          <w:tcPr>
            <w:tcW w:w="7776" w:type="dxa"/>
            <w:vAlign w:val="center"/>
          </w:tcPr>
          <w:p w14:paraId="08E8653A">
            <w:pPr>
              <w:pStyle w:val="11"/>
              <w:spacing w:before="131"/>
              <w:ind w:left="5"/>
              <w:jc w:val="center"/>
              <w:rPr>
                <w:color w:val="auto"/>
                <w:sz w:val="18"/>
                <w:highlight w:val="none"/>
                <w:lang w:eastAsia="zh-CN"/>
              </w:rPr>
            </w:pPr>
            <w:r>
              <w:rPr>
                <w:color w:val="auto"/>
                <w:spacing w:val="-1"/>
                <w:sz w:val="18"/>
                <w:highlight w:val="none"/>
                <w:lang w:eastAsia="zh-CN"/>
              </w:rPr>
              <w:t>视条件免费提供手纸或设置自动出纸设施。免费提供洗手液，保证用量保持在容器总容量的三分之一以上。在公共厕所开放时间段内，干手器正常运转，除臭设施正常工作，确保公共厕所无臭味。</w:t>
            </w:r>
          </w:p>
        </w:tc>
      </w:tr>
    </w:tbl>
    <w:p w14:paraId="519E509D">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color w:val="auto"/>
          <w:spacing w:val="-2"/>
          <w:highlight w:val="none"/>
          <w:lang w:eastAsia="zh-CN"/>
        </w:rPr>
      </w:pPr>
      <w:r>
        <w:rPr>
          <w:color w:val="auto"/>
          <w:spacing w:val="-2"/>
          <w:highlight w:val="none"/>
          <w:lang w:eastAsia="zh-CN"/>
        </w:rPr>
        <w:t>在公厕水箱、水泵、管道维护等保洁设施设备维修维护中应采用巡回方式检查，发现问题及时组织人员进行维修更换期间所产生的所有费用均由乙方单位进行承担，同时保障公共厕所内水电、照明、防蝇防蚊防鼠等所有设施设备功能完好。</w:t>
      </w:r>
    </w:p>
    <w:p w14:paraId="7F247C40">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color w:val="auto"/>
          <w:spacing w:val="-2"/>
          <w:highlight w:val="none"/>
          <w:lang w:eastAsia="zh-CN"/>
        </w:rPr>
      </w:pPr>
      <w:r>
        <w:rPr>
          <w:color w:val="auto"/>
          <w:spacing w:val="-2"/>
          <w:highlight w:val="none"/>
          <w:lang w:eastAsia="zh-CN"/>
        </w:rPr>
        <w:t>保证无障碍设施完好，无障碍通道通畅。便器及其他触发装置正常运转率大于等于95。</w:t>
      </w:r>
    </w:p>
    <w:p w14:paraId="25637990">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color w:val="auto"/>
          <w:spacing w:val="-2"/>
          <w:highlight w:val="none"/>
          <w:lang w:eastAsia="zh-CN"/>
        </w:rPr>
      </w:pPr>
      <w:r>
        <w:rPr>
          <w:color w:val="auto"/>
          <w:spacing w:val="-2"/>
          <w:highlight w:val="none"/>
          <w:lang w:eastAsia="zh-CN"/>
        </w:rPr>
        <w:t>公共厕所粪池安排专人进行巡查，粪池内的粪便不得超过容积的四分之三，一旦发现满溢现象，立即安排专人人员清掏。公共厕所外立面宜每年清洗或粉刷 1 次。</w:t>
      </w:r>
    </w:p>
    <w:p w14:paraId="6683BB1D">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color w:val="auto"/>
          <w:spacing w:val="-2"/>
          <w:highlight w:val="none"/>
          <w:lang w:eastAsia="zh-CN"/>
        </w:rPr>
      </w:pPr>
      <w:r>
        <w:rPr>
          <w:color w:val="auto"/>
          <w:spacing w:val="-2"/>
          <w:highlight w:val="none"/>
          <w:lang w:eastAsia="zh-CN"/>
        </w:rPr>
        <w:t>设施设备维修期间，应有明显标识提示如厕人员。</w:t>
      </w:r>
    </w:p>
    <w:p w14:paraId="01271D2C">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color w:val="auto"/>
          <w:spacing w:val="-2"/>
          <w:highlight w:val="none"/>
          <w:lang w:eastAsia="zh-CN"/>
        </w:rPr>
      </w:pPr>
      <w:r>
        <w:rPr>
          <w:color w:val="auto"/>
          <w:spacing w:val="-2"/>
          <w:highlight w:val="none"/>
          <w:lang w:eastAsia="zh-CN"/>
        </w:rPr>
        <w:t>公共厕所因大型设施维修维护或特殊原因停止使用时，需向上级主管部门报备。公共厕所停止使用期间，应张贴停用通知，明确停用时间、原因，并采取设置。</w:t>
      </w:r>
    </w:p>
    <w:p w14:paraId="7BA8C5BB">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color w:val="auto"/>
          <w:spacing w:val="-2"/>
          <w:highlight w:val="none"/>
          <w:lang w:eastAsia="zh-CN"/>
        </w:rPr>
      </w:pPr>
      <w:r>
        <w:rPr>
          <w:color w:val="auto"/>
          <w:spacing w:val="-2"/>
          <w:highlight w:val="none"/>
          <w:lang w:eastAsia="zh-CN"/>
        </w:rPr>
        <w:t>公共厕所设施设备维修维护要求应按下表执行。</w:t>
      </w:r>
    </w:p>
    <w:p w14:paraId="06E3CEB2">
      <w:pPr>
        <w:spacing w:before="158" w:after="24"/>
        <w:ind w:left="2920"/>
        <w:rPr>
          <w:b/>
          <w:color w:val="auto"/>
          <w:sz w:val="28"/>
          <w:highlight w:val="none"/>
          <w:lang w:eastAsia="zh-CN"/>
        </w:rPr>
      </w:pPr>
      <w:r>
        <w:rPr>
          <w:b/>
          <w:color w:val="auto"/>
          <w:w w:val="95"/>
          <w:sz w:val="28"/>
          <w:highlight w:val="none"/>
          <w:lang w:eastAsia="zh-CN"/>
        </w:rPr>
        <w:t>公共厕所设施设备维修维护</w:t>
      </w:r>
      <w:r>
        <w:rPr>
          <w:b/>
          <w:color w:val="auto"/>
          <w:spacing w:val="-5"/>
          <w:w w:val="95"/>
          <w:sz w:val="28"/>
          <w:highlight w:val="none"/>
          <w:lang w:eastAsia="zh-CN"/>
        </w:rPr>
        <w:t>要求</w:t>
      </w:r>
    </w:p>
    <w:tbl>
      <w:tblPr>
        <w:tblStyle w:val="12"/>
        <w:tblW w:w="0" w:type="auto"/>
        <w:tblInd w:w="6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462"/>
        <w:gridCol w:w="4257"/>
      </w:tblGrid>
      <w:tr w14:paraId="2896BA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4462" w:type="dxa"/>
            <w:vAlign w:val="center"/>
          </w:tcPr>
          <w:p w14:paraId="22B15635">
            <w:pPr>
              <w:pStyle w:val="11"/>
              <w:spacing w:before="94" w:line="226" w:lineRule="exact"/>
              <w:ind w:left="418" w:right="411"/>
              <w:jc w:val="center"/>
              <w:rPr>
                <w:rFonts w:ascii="宋体" w:eastAsia="宋体"/>
                <w:color w:val="auto"/>
                <w:sz w:val="18"/>
                <w:highlight w:val="none"/>
              </w:rPr>
            </w:pPr>
            <w:r>
              <w:rPr>
                <w:rFonts w:ascii="宋体" w:eastAsia="宋体"/>
                <w:color w:val="auto"/>
                <w:sz w:val="18"/>
                <w:highlight w:val="none"/>
              </w:rPr>
              <w:t>项</w:t>
            </w:r>
            <w:r>
              <w:rPr>
                <w:rFonts w:ascii="宋体" w:eastAsia="宋体"/>
                <w:color w:val="auto"/>
                <w:spacing w:val="-10"/>
                <w:sz w:val="18"/>
                <w:highlight w:val="none"/>
              </w:rPr>
              <w:t>目</w:t>
            </w:r>
          </w:p>
        </w:tc>
        <w:tc>
          <w:tcPr>
            <w:tcW w:w="4257" w:type="dxa"/>
            <w:vAlign w:val="center"/>
          </w:tcPr>
          <w:p w14:paraId="0C6C9014">
            <w:pPr>
              <w:pStyle w:val="11"/>
              <w:spacing w:before="94" w:line="226" w:lineRule="exact"/>
              <w:ind w:left="599" w:right="589"/>
              <w:jc w:val="center"/>
              <w:rPr>
                <w:rFonts w:ascii="宋体" w:eastAsia="宋体"/>
                <w:color w:val="auto"/>
                <w:sz w:val="18"/>
                <w:highlight w:val="none"/>
                <w:lang w:eastAsia="zh-CN"/>
              </w:rPr>
            </w:pPr>
            <w:r>
              <w:rPr>
                <w:rFonts w:ascii="宋体" w:eastAsia="宋体"/>
                <w:color w:val="auto"/>
                <w:spacing w:val="-2"/>
                <w:sz w:val="18"/>
                <w:highlight w:val="none"/>
                <w:lang w:eastAsia="zh-CN"/>
              </w:rPr>
              <w:t>设施设备维修时限（天、</w:t>
            </w:r>
            <w:r>
              <w:rPr>
                <w:rFonts w:ascii="Times New Roman" w:eastAsia="Times New Roman"/>
                <w:color w:val="auto"/>
                <w:spacing w:val="-2"/>
                <w:sz w:val="18"/>
                <w:highlight w:val="none"/>
                <w:lang w:eastAsia="zh-CN"/>
              </w:rPr>
              <w:t>d</w:t>
            </w:r>
            <w:r>
              <w:rPr>
                <w:rFonts w:ascii="宋体" w:eastAsia="宋体"/>
                <w:color w:val="auto"/>
                <w:spacing w:val="-2"/>
                <w:sz w:val="18"/>
                <w:highlight w:val="none"/>
                <w:lang w:eastAsia="zh-CN"/>
              </w:rPr>
              <w:t>；小时、</w:t>
            </w:r>
            <w:r>
              <w:rPr>
                <w:rFonts w:ascii="Times New Roman" w:eastAsia="Times New Roman"/>
                <w:color w:val="auto"/>
                <w:spacing w:val="-5"/>
                <w:sz w:val="18"/>
                <w:highlight w:val="none"/>
                <w:lang w:eastAsia="zh-CN"/>
              </w:rPr>
              <w:t>h</w:t>
            </w:r>
            <w:r>
              <w:rPr>
                <w:rFonts w:ascii="宋体" w:eastAsia="宋体"/>
                <w:color w:val="auto"/>
                <w:spacing w:val="-5"/>
                <w:sz w:val="18"/>
                <w:highlight w:val="none"/>
                <w:lang w:eastAsia="zh-CN"/>
              </w:rPr>
              <w:t>）</w:t>
            </w:r>
          </w:p>
        </w:tc>
      </w:tr>
      <w:tr w14:paraId="754EC5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4462" w:type="dxa"/>
            <w:vAlign w:val="center"/>
          </w:tcPr>
          <w:p w14:paraId="0D3597BB">
            <w:pPr>
              <w:pStyle w:val="11"/>
              <w:spacing w:before="94" w:line="225" w:lineRule="exact"/>
              <w:ind w:left="420" w:right="411"/>
              <w:jc w:val="center"/>
              <w:rPr>
                <w:rFonts w:ascii="宋体" w:eastAsia="宋体"/>
                <w:color w:val="auto"/>
                <w:sz w:val="18"/>
                <w:highlight w:val="none"/>
                <w:lang w:eastAsia="zh-CN"/>
              </w:rPr>
            </w:pPr>
            <w:r>
              <w:rPr>
                <w:rFonts w:ascii="宋体" w:eastAsia="宋体"/>
                <w:color w:val="auto"/>
                <w:spacing w:val="-1"/>
                <w:sz w:val="18"/>
                <w:highlight w:val="none"/>
                <w:lang w:eastAsia="zh-CN"/>
              </w:rPr>
              <w:t>门、窗、洗手盆、冲水设备、面镜、挂衣钩等</w:t>
            </w:r>
          </w:p>
        </w:tc>
        <w:tc>
          <w:tcPr>
            <w:tcW w:w="4257" w:type="dxa"/>
            <w:vAlign w:val="center"/>
          </w:tcPr>
          <w:p w14:paraId="71545241">
            <w:pPr>
              <w:pStyle w:val="11"/>
              <w:spacing w:before="94" w:line="225" w:lineRule="exact"/>
              <w:ind w:left="597" w:right="589"/>
              <w:jc w:val="center"/>
              <w:rPr>
                <w:rFonts w:ascii="Times New Roman" w:hAnsi="Times New Roman"/>
                <w:color w:val="auto"/>
                <w:sz w:val="18"/>
                <w:highlight w:val="none"/>
              </w:rPr>
            </w:pPr>
            <w:r>
              <w:rPr>
                <w:rFonts w:ascii="宋体" w:hAnsi="宋体"/>
                <w:color w:val="auto"/>
                <w:spacing w:val="-5"/>
                <w:sz w:val="18"/>
                <w:highlight w:val="none"/>
              </w:rPr>
              <w:t>≤</w:t>
            </w:r>
            <w:r>
              <w:rPr>
                <w:rFonts w:ascii="Times New Roman" w:hAnsi="Times New Roman"/>
                <w:color w:val="auto"/>
                <w:spacing w:val="-5"/>
                <w:sz w:val="18"/>
                <w:highlight w:val="none"/>
              </w:rPr>
              <w:t>1d</w:t>
            </w:r>
          </w:p>
        </w:tc>
      </w:tr>
      <w:tr w14:paraId="0E2EAE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4462" w:type="dxa"/>
            <w:vAlign w:val="center"/>
          </w:tcPr>
          <w:p w14:paraId="7E38BD0C">
            <w:pPr>
              <w:pStyle w:val="11"/>
              <w:spacing w:before="95" w:line="225" w:lineRule="exact"/>
              <w:ind w:left="420" w:right="411"/>
              <w:jc w:val="center"/>
              <w:rPr>
                <w:rFonts w:ascii="宋体" w:eastAsia="宋体"/>
                <w:color w:val="auto"/>
                <w:sz w:val="18"/>
                <w:highlight w:val="none"/>
              </w:rPr>
            </w:pPr>
            <w:r>
              <w:rPr>
                <w:rFonts w:ascii="宋体" w:eastAsia="宋体"/>
                <w:color w:val="auto"/>
                <w:spacing w:val="-5"/>
                <w:sz w:val="18"/>
                <w:highlight w:val="none"/>
              </w:rPr>
              <w:t>项目</w:t>
            </w:r>
          </w:p>
        </w:tc>
        <w:tc>
          <w:tcPr>
            <w:tcW w:w="4257" w:type="dxa"/>
            <w:vAlign w:val="center"/>
          </w:tcPr>
          <w:p w14:paraId="2A9DEF89">
            <w:pPr>
              <w:pStyle w:val="11"/>
              <w:spacing w:before="95" w:line="225" w:lineRule="exact"/>
              <w:ind w:left="599" w:right="589"/>
              <w:jc w:val="center"/>
              <w:rPr>
                <w:rFonts w:ascii="宋体" w:eastAsia="宋体"/>
                <w:color w:val="auto"/>
                <w:sz w:val="18"/>
                <w:highlight w:val="none"/>
                <w:lang w:eastAsia="zh-CN"/>
              </w:rPr>
            </w:pPr>
            <w:r>
              <w:rPr>
                <w:rFonts w:ascii="宋体" w:eastAsia="宋体"/>
                <w:color w:val="auto"/>
                <w:spacing w:val="-2"/>
                <w:sz w:val="18"/>
                <w:highlight w:val="none"/>
                <w:lang w:eastAsia="zh-CN"/>
              </w:rPr>
              <w:t>设施设备维修时限（天、</w:t>
            </w:r>
            <w:r>
              <w:rPr>
                <w:rFonts w:ascii="Times New Roman" w:eastAsia="Times New Roman"/>
                <w:color w:val="auto"/>
                <w:spacing w:val="-2"/>
                <w:sz w:val="18"/>
                <w:highlight w:val="none"/>
                <w:lang w:eastAsia="zh-CN"/>
              </w:rPr>
              <w:t>d</w:t>
            </w:r>
            <w:r>
              <w:rPr>
                <w:rFonts w:ascii="宋体" w:eastAsia="宋体"/>
                <w:color w:val="auto"/>
                <w:spacing w:val="-2"/>
                <w:sz w:val="18"/>
                <w:highlight w:val="none"/>
                <w:lang w:eastAsia="zh-CN"/>
              </w:rPr>
              <w:t>；小时、</w:t>
            </w:r>
            <w:r>
              <w:rPr>
                <w:rFonts w:ascii="Times New Roman" w:eastAsia="Times New Roman"/>
                <w:color w:val="auto"/>
                <w:spacing w:val="-5"/>
                <w:sz w:val="18"/>
                <w:highlight w:val="none"/>
                <w:lang w:eastAsia="zh-CN"/>
              </w:rPr>
              <w:t>h</w:t>
            </w:r>
            <w:r>
              <w:rPr>
                <w:rFonts w:ascii="宋体" w:eastAsia="宋体"/>
                <w:color w:val="auto"/>
                <w:spacing w:val="-5"/>
                <w:sz w:val="18"/>
                <w:highlight w:val="none"/>
                <w:lang w:eastAsia="zh-CN"/>
              </w:rPr>
              <w:t>）</w:t>
            </w:r>
          </w:p>
        </w:tc>
      </w:tr>
      <w:tr w14:paraId="4D73C2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4462" w:type="dxa"/>
            <w:vAlign w:val="center"/>
          </w:tcPr>
          <w:p w14:paraId="649AEA98">
            <w:pPr>
              <w:pStyle w:val="11"/>
              <w:spacing w:before="95" w:line="225" w:lineRule="exact"/>
              <w:ind w:left="420" w:right="411"/>
              <w:jc w:val="center"/>
              <w:rPr>
                <w:rFonts w:ascii="宋体" w:eastAsia="宋体"/>
                <w:color w:val="auto"/>
                <w:sz w:val="18"/>
                <w:highlight w:val="none"/>
                <w:lang w:eastAsia="zh-CN"/>
              </w:rPr>
            </w:pPr>
            <w:r>
              <w:rPr>
                <w:rFonts w:ascii="宋体" w:eastAsia="宋体"/>
                <w:color w:val="auto"/>
                <w:spacing w:val="-1"/>
                <w:sz w:val="18"/>
                <w:highlight w:val="none"/>
                <w:lang w:eastAsia="zh-CN"/>
              </w:rPr>
              <w:t>天花板、墙面、地面、隔断板等</w:t>
            </w:r>
          </w:p>
        </w:tc>
        <w:tc>
          <w:tcPr>
            <w:tcW w:w="4257" w:type="dxa"/>
            <w:vAlign w:val="center"/>
          </w:tcPr>
          <w:p w14:paraId="4781DB31">
            <w:pPr>
              <w:pStyle w:val="11"/>
              <w:spacing w:before="95" w:line="225" w:lineRule="exact"/>
              <w:ind w:left="597" w:right="589"/>
              <w:jc w:val="center"/>
              <w:rPr>
                <w:rFonts w:ascii="Times New Roman" w:hAnsi="Times New Roman"/>
                <w:color w:val="auto"/>
                <w:sz w:val="18"/>
                <w:highlight w:val="none"/>
              </w:rPr>
            </w:pPr>
            <w:r>
              <w:rPr>
                <w:rFonts w:ascii="宋体" w:hAnsi="宋体"/>
                <w:color w:val="auto"/>
                <w:spacing w:val="-5"/>
                <w:sz w:val="18"/>
                <w:highlight w:val="none"/>
              </w:rPr>
              <w:t>≤</w:t>
            </w:r>
            <w:r>
              <w:rPr>
                <w:rFonts w:ascii="Times New Roman" w:hAnsi="Times New Roman"/>
                <w:color w:val="auto"/>
                <w:spacing w:val="-5"/>
                <w:sz w:val="18"/>
                <w:highlight w:val="none"/>
              </w:rPr>
              <w:t>2d</w:t>
            </w:r>
          </w:p>
        </w:tc>
      </w:tr>
      <w:tr w14:paraId="100095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4462" w:type="dxa"/>
            <w:vAlign w:val="center"/>
          </w:tcPr>
          <w:p w14:paraId="79A6BA21">
            <w:pPr>
              <w:pStyle w:val="11"/>
              <w:spacing w:before="96" w:line="224" w:lineRule="exact"/>
              <w:ind w:left="418" w:right="411"/>
              <w:jc w:val="center"/>
              <w:rPr>
                <w:rFonts w:ascii="宋体" w:eastAsia="宋体"/>
                <w:color w:val="auto"/>
                <w:sz w:val="18"/>
                <w:highlight w:val="none"/>
              </w:rPr>
            </w:pPr>
            <w:r>
              <w:rPr>
                <w:rFonts w:ascii="宋体" w:eastAsia="宋体"/>
                <w:color w:val="auto"/>
                <w:spacing w:val="-2"/>
                <w:sz w:val="18"/>
                <w:highlight w:val="none"/>
              </w:rPr>
              <w:t>便器及其他触发装置</w:t>
            </w:r>
          </w:p>
        </w:tc>
        <w:tc>
          <w:tcPr>
            <w:tcW w:w="4257" w:type="dxa"/>
            <w:vAlign w:val="center"/>
          </w:tcPr>
          <w:p w14:paraId="01D741AD">
            <w:pPr>
              <w:pStyle w:val="11"/>
              <w:spacing w:before="96" w:line="224" w:lineRule="exact"/>
              <w:ind w:left="597" w:right="589"/>
              <w:jc w:val="center"/>
              <w:rPr>
                <w:rFonts w:ascii="Times New Roman" w:hAnsi="Times New Roman"/>
                <w:color w:val="auto"/>
                <w:sz w:val="18"/>
                <w:highlight w:val="none"/>
              </w:rPr>
            </w:pPr>
            <w:r>
              <w:rPr>
                <w:rFonts w:ascii="宋体" w:hAnsi="宋体"/>
                <w:color w:val="auto"/>
                <w:spacing w:val="-5"/>
                <w:sz w:val="18"/>
                <w:highlight w:val="none"/>
              </w:rPr>
              <w:t>≤</w:t>
            </w:r>
            <w:r>
              <w:rPr>
                <w:rFonts w:ascii="Times New Roman" w:hAnsi="Times New Roman"/>
                <w:color w:val="auto"/>
                <w:spacing w:val="-5"/>
                <w:sz w:val="18"/>
                <w:highlight w:val="none"/>
              </w:rPr>
              <w:t>1d</w:t>
            </w:r>
          </w:p>
        </w:tc>
      </w:tr>
      <w:tr w14:paraId="591AE1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4462" w:type="dxa"/>
            <w:vAlign w:val="center"/>
          </w:tcPr>
          <w:p w14:paraId="25685183">
            <w:pPr>
              <w:pStyle w:val="11"/>
              <w:spacing w:before="96" w:line="224" w:lineRule="exact"/>
              <w:ind w:left="420" w:right="411"/>
              <w:jc w:val="center"/>
              <w:rPr>
                <w:rFonts w:ascii="宋体" w:eastAsia="宋体"/>
                <w:color w:val="auto"/>
                <w:sz w:val="18"/>
                <w:highlight w:val="none"/>
              </w:rPr>
            </w:pPr>
            <w:r>
              <w:rPr>
                <w:rFonts w:ascii="宋体" w:eastAsia="宋体"/>
                <w:color w:val="auto"/>
                <w:spacing w:val="-1"/>
                <w:sz w:val="18"/>
                <w:highlight w:val="none"/>
              </w:rPr>
              <w:t>漏水、便器堵塞等故障</w:t>
            </w:r>
          </w:p>
        </w:tc>
        <w:tc>
          <w:tcPr>
            <w:tcW w:w="4257" w:type="dxa"/>
            <w:vAlign w:val="center"/>
          </w:tcPr>
          <w:p w14:paraId="6D246F80">
            <w:pPr>
              <w:pStyle w:val="11"/>
              <w:spacing w:before="96" w:line="224" w:lineRule="exact"/>
              <w:ind w:left="597" w:right="589"/>
              <w:jc w:val="center"/>
              <w:rPr>
                <w:rFonts w:ascii="Times New Roman" w:hAnsi="Times New Roman"/>
                <w:color w:val="auto"/>
                <w:sz w:val="18"/>
                <w:highlight w:val="none"/>
              </w:rPr>
            </w:pPr>
            <w:r>
              <w:rPr>
                <w:rFonts w:ascii="宋体" w:hAnsi="宋体"/>
                <w:color w:val="auto"/>
                <w:spacing w:val="-5"/>
                <w:sz w:val="18"/>
                <w:highlight w:val="none"/>
              </w:rPr>
              <w:t>≤</w:t>
            </w:r>
            <w:r>
              <w:rPr>
                <w:rFonts w:ascii="Times New Roman" w:hAnsi="Times New Roman"/>
                <w:color w:val="auto"/>
                <w:spacing w:val="-5"/>
                <w:sz w:val="18"/>
                <w:highlight w:val="none"/>
              </w:rPr>
              <w:t>2h</w:t>
            </w:r>
          </w:p>
        </w:tc>
      </w:tr>
      <w:tr w14:paraId="377166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4462" w:type="dxa"/>
            <w:vAlign w:val="center"/>
          </w:tcPr>
          <w:p w14:paraId="4803BF9E">
            <w:pPr>
              <w:pStyle w:val="11"/>
              <w:spacing w:before="94" w:line="226" w:lineRule="exact"/>
              <w:ind w:left="418" w:right="411"/>
              <w:jc w:val="center"/>
              <w:rPr>
                <w:rFonts w:ascii="宋体" w:eastAsia="宋体"/>
                <w:color w:val="auto"/>
                <w:sz w:val="18"/>
                <w:highlight w:val="none"/>
              </w:rPr>
            </w:pPr>
            <w:r>
              <w:rPr>
                <w:rFonts w:ascii="宋体" w:eastAsia="宋体"/>
                <w:color w:val="auto"/>
                <w:spacing w:val="-2"/>
                <w:sz w:val="18"/>
                <w:highlight w:val="none"/>
              </w:rPr>
              <w:t>除臭或空气净化设备</w:t>
            </w:r>
          </w:p>
        </w:tc>
        <w:tc>
          <w:tcPr>
            <w:tcW w:w="4257" w:type="dxa"/>
            <w:vAlign w:val="center"/>
          </w:tcPr>
          <w:p w14:paraId="0B5A7B3A">
            <w:pPr>
              <w:pStyle w:val="11"/>
              <w:spacing w:before="94" w:line="226" w:lineRule="exact"/>
              <w:ind w:left="597" w:right="589"/>
              <w:jc w:val="center"/>
              <w:rPr>
                <w:rFonts w:ascii="Times New Roman" w:hAnsi="Times New Roman"/>
                <w:color w:val="auto"/>
                <w:sz w:val="18"/>
                <w:highlight w:val="none"/>
              </w:rPr>
            </w:pPr>
            <w:r>
              <w:rPr>
                <w:rFonts w:ascii="宋体" w:hAnsi="宋体"/>
                <w:color w:val="auto"/>
                <w:spacing w:val="-5"/>
                <w:sz w:val="18"/>
                <w:highlight w:val="none"/>
              </w:rPr>
              <w:t>≤</w:t>
            </w:r>
            <w:r>
              <w:rPr>
                <w:rFonts w:ascii="Times New Roman" w:hAnsi="Times New Roman"/>
                <w:color w:val="auto"/>
                <w:spacing w:val="-5"/>
                <w:sz w:val="18"/>
                <w:highlight w:val="none"/>
              </w:rPr>
              <w:t>1d</w:t>
            </w:r>
          </w:p>
        </w:tc>
      </w:tr>
      <w:tr w14:paraId="41F163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4462" w:type="dxa"/>
            <w:vAlign w:val="center"/>
          </w:tcPr>
          <w:p w14:paraId="3B5A4817">
            <w:pPr>
              <w:pStyle w:val="11"/>
              <w:spacing w:before="94" w:line="225" w:lineRule="exact"/>
              <w:ind w:left="418" w:right="411"/>
              <w:jc w:val="center"/>
              <w:rPr>
                <w:rFonts w:ascii="宋体" w:eastAsia="宋体"/>
                <w:color w:val="auto"/>
                <w:sz w:val="18"/>
                <w:highlight w:val="none"/>
                <w:lang w:eastAsia="zh-CN"/>
              </w:rPr>
            </w:pPr>
            <w:r>
              <w:rPr>
                <w:rFonts w:ascii="宋体" w:eastAsia="宋体"/>
                <w:color w:val="auto"/>
                <w:spacing w:val="-1"/>
                <w:sz w:val="18"/>
                <w:highlight w:val="none"/>
                <w:lang w:eastAsia="zh-CN"/>
              </w:rPr>
              <w:t>内外标识、提示牌、宣传牌等</w:t>
            </w:r>
          </w:p>
        </w:tc>
        <w:tc>
          <w:tcPr>
            <w:tcW w:w="4257" w:type="dxa"/>
            <w:vAlign w:val="center"/>
          </w:tcPr>
          <w:p w14:paraId="18DA89E2">
            <w:pPr>
              <w:pStyle w:val="11"/>
              <w:spacing w:before="94" w:line="225" w:lineRule="exact"/>
              <w:ind w:left="597" w:right="589"/>
              <w:jc w:val="center"/>
              <w:rPr>
                <w:rFonts w:ascii="Times New Roman" w:hAnsi="Times New Roman"/>
                <w:color w:val="auto"/>
                <w:sz w:val="18"/>
                <w:highlight w:val="none"/>
              </w:rPr>
            </w:pPr>
            <w:r>
              <w:rPr>
                <w:rFonts w:ascii="宋体" w:hAnsi="宋体"/>
                <w:color w:val="auto"/>
                <w:spacing w:val="-5"/>
                <w:sz w:val="18"/>
                <w:highlight w:val="none"/>
              </w:rPr>
              <w:t>≤</w:t>
            </w:r>
            <w:r>
              <w:rPr>
                <w:rFonts w:ascii="Times New Roman" w:hAnsi="Times New Roman"/>
                <w:color w:val="auto"/>
                <w:spacing w:val="-5"/>
                <w:sz w:val="18"/>
                <w:highlight w:val="none"/>
              </w:rPr>
              <w:t>1d</w:t>
            </w:r>
          </w:p>
        </w:tc>
      </w:tr>
      <w:tr w14:paraId="45DD7C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4462" w:type="dxa"/>
            <w:vAlign w:val="center"/>
          </w:tcPr>
          <w:p w14:paraId="04C5B41A">
            <w:pPr>
              <w:pStyle w:val="11"/>
              <w:spacing w:before="95" w:line="225" w:lineRule="exact"/>
              <w:ind w:left="418" w:right="411"/>
              <w:jc w:val="center"/>
              <w:rPr>
                <w:rFonts w:ascii="宋体" w:eastAsia="宋体"/>
                <w:color w:val="auto"/>
                <w:sz w:val="18"/>
                <w:highlight w:val="none"/>
                <w:lang w:eastAsia="zh-CN"/>
              </w:rPr>
            </w:pPr>
            <w:r>
              <w:rPr>
                <w:rFonts w:ascii="宋体" w:eastAsia="宋体"/>
                <w:color w:val="auto"/>
                <w:spacing w:val="-1"/>
                <w:sz w:val="18"/>
                <w:highlight w:val="none"/>
                <w:lang w:eastAsia="zh-CN"/>
              </w:rPr>
              <w:t>其他大型设施的维修维护</w:t>
            </w:r>
          </w:p>
        </w:tc>
        <w:tc>
          <w:tcPr>
            <w:tcW w:w="4257" w:type="dxa"/>
            <w:vAlign w:val="center"/>
          </w:tcPr>
          <w:p w14:paraId="35268B07">
            <w:pPr>
              <w:pStyle w:val="11"/>
              <w:spacing w:before="95" w:line="225" w:lineRule="exact"/>
              <w:ind w:left="595" w:right="589"/>
              <w:jc w:val="center"/>
              <w:rPr>
                <w:rFonts w:ascii="Times New Roman" w:hAnsi="Times New Roman"/>
                <w:color w:val="auto"/>
                <w:sz w:val="18"/>
                <w:highlight w:val="none"/>
              </w:rPr>
            </w:pPr>
            <w:r>
              <w:rPr>
                <w:rFonts w:ascii="宋体" w:hAnsi="宋体"/>
                <w:color w:val="auto"/>
                <w:spacing w:val="-4"/>
                <w:sz w:val="18"/>
                <w:highlight w:val="none"/>
              </w:rPr>
              <w:t>≤</w:t>
            </w:r>
            <w:r>
              <w:rPr>
                <w:rFonts w:ascii="Times New Roman" w:hAnsi="Times New Roman"/>
                <w:color w:val="auto"/>
                <w:spacing w:val="-4"/>
                <w:sz w:val="18"/>
                <w:highlight w:val="none"/>
              </w:rPr>
              <w:t>15d</w:t>
            </w:r>
          </w:p>
        </w:tc>
      </w:tr>
      <w:tr w14:paraId="6645E1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4462" w:type="dxa"/>
            <w:vAlign w:val="center"/>
          </w:tcPr>
          <w:p w14:paraId="30E8D8A3">
            <w:pPr>
              <w:pStyle w:val="11"/>
              <w:spacing w:before="95" w:line="225" w:lineRule="exact"/>
              <w:ind w:left="420" w:right="411"/>
              <w:jc w:val="center"/>
              <w:rPr>
                <w:rFonts w:ascii="宋体" w:eastAsia="宋体"/>
                <w:color w:val="auto"/>
                <w:sz w:val="18"/>
                <w:highlight w:val="none"/>
              </w:rPr>
            </w:pPr>
            <w:r>
              <w:rPr>
                <w:rFonts w:ascii="宋体" w:eastAsia="宋体"/>
                <w:color w:val="auto"/>
                <w:spacing w:val="-2"/>
                <w:sz w:val="18"/>
                <w:highlight w:val="none"/>
              </w:rPr>
              <w:t>巡回检查时间</w:t>
            </w:r>
          </w:p>
        </w:tc>
        <w:tc>
          <w:tcPr>
            <w:tcW w:w="4257" w:type="dxa"/>
            <w:vAlign w:val="center"/>
          </w:tcPr>
          <w:p w14:paraId="31F55E90">
            <w:pPr>
              <w:pStyle w:val="11"/>
              <w:spacing w:before="95" w:line="225" w:lineRule="exact"/>
              <w:ind w:left="597" w:right="589"/>
              <w:jc w:val="center"/>
              <w:rPr>
                <w:rFonts w:ascii="Times New Roman" w:hAnsi="Times New Roman"/>
                <w:color w:val="auto"/>
                <w:sz w:val="18"/>
                <w:highlight w:val="none"/>
              </w:rPr>
            </w:pPr>
            <w:r>
              <w:rPr>
                <w:rFonts w:ascii="宋体" w:hAnsi="宋体"/>
                <w:color w:val="auto"/>
                <w:spacing w:val="-5"/>
                <w:sz w:val="18"/>
                <w:highlight w:val="none"/>
              </w:rPr>
              <w:t>≤</w:t>
            </w:r>
            <w:r>
              <w:rPr>
                <w:rFonts w:ascii="Times New Roman" w:hAnsi="Times New Roman"/>
                <w:color w:val="auto"/>
                <w:spacing w:val="-5"/>
                <w:sz w:val="18"/>
                <w:highlight w:val="none"/>
              </w:rPr>
              <w:t>1d</w:t>
            </w:r>
          </w:p>
        </w:tc>
      </w:tr>
      <w:tr w14:paraId="7A6CD9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atLeast"/>
        </w:trPr>
        <w:tc>
          <w:tcPr>
            <w:tcW w:w="8719" w:type="dxa"/>
            <w:gridSpan w:val="2"/>
            <w:vAlign w:val="center"/>
          </w:tcPr>
          <w:p w14:paraId="606726CB">
            <w:pPr>
              <w:pStyle w:val="11"/>
              <w:spacing w:before="1"/>
              <w:ind w:left="3"/>
              <w:jc w:val="both"/>
              <w:rPr>
                <w:rFonts w:ascii="宋体" w:eastAsia="宋体"/>
                <w:color w:val="auto"/>
                <w:sz w:val="18"/>
                <w:highlight w:val="none"/>
                <w:lang w:eastAsia="zh-CN"/>
              </w:rPr>
            </w:pPr>
            <w:r>
              <w:rPr>
                <w:rFonts w:ascii="宋体" w:eastAsia="宋体"/>
                <w:color w:val="auto"/>
                <w:spacing w:val="-1"/>
                <w:sz w:val="18"/>
                <w:highlight w:val="none"/>
                <w:lang w:eastAsia="zh-CN"/>
              </w:rPr>
              <w:t>注：确实无法及时修复的，应报上级主管部门备案。</w:t>
            </w:r>
          </w:p>
        </w:tc>
      </w:tr>
    </w:tbl>
    <w:p w14:paraId="1509E734">
      <w:pPr>
        <w:pStyle w:val="3"/>
        <w:spacing w:before="154" w:line="357" w:lineRule="auto"/>
        <w:ind w:right="615" w:firstLine="480"/>
        <w:jc w:val="both"/>
        <w:rPr>
          <w:rFonts w:hint="eastAsia"/>
          <w:b/>
          <w:bCs/>
          <w:color w:val="auto"/>
          <w:spacing w:val="-2"/>
          <w:highlight w:val="none"/>
          <w:lang w:val="en-US" w:eastAsia="zh-CN"/>
        </w:rPr>
      </w:pPr>
      <w:r>
        <w:rPr>
          <w:rFonts w:hint="eastAsia"/>
          <w:b/>
          <w:bCs/>
          <w:color w:val="auto"/>
          <w:spacing w:val="-2"/>
          <w:highlight w:val="none"/>
          <w:lang w:val="en-US" w:eastAsia="zh-CN"/>
        </w:rPr>
        <w:t>1.4、安全管理</w:t>
      </w:r>
    </w:p>
    <w:p w14:paraId="25523951">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color w:val="auto"/>
          <w:spacing w:val="-2"/>
          <w:highlight w:val="none"/>
          <w:lang w:eastAsia="zh-CN"/>
        </w:rPr>
      </w:pPr>
      <w:r>
        <w:rPr>
          <w:color w:val="auto"/>
          <w:spacing w:val="-2"/>
          <w:highlight w:val="none"/>
          <w:lang w:eastAsia="zh-CN"/>
        </w:rPr>
        <w:t>建立健全公共厕所安全生产责任制。</w:t>
      </w:r>
    </w:p>
    <w:p w14:paraId="5AAF44EB">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color w:val="auto"/>
          <w:spacing w:val="-2"/>
          <w:highlight w:val="none"/>
          <w:lang w:eastAsia="zh-CN"/>
        </w:rPr>
      </w:pPr>
      <w:r>
        <w:rPr>
          <w:color w:val="auto"/>
          <w:spacing w:val="-2"/>
          <w:highlight w:val="none"/>
          <w:lang w:eastAsia="zh-CN"/>
        </w:rPr>
        <w:t>应在明显易取的位置配备灭火器并定期检查更换。</w:t>
      </w:r>
    </w:p>
    <w:p w14:paraId="56E8EDFB">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color w:val="auto"/>
          <w:spacing w:val="-2"/>
          <w:highlight w:val="none"/>
          <w:lang w:eastAsia="zh-CN"/>
        </w:rPr>
      </w:pPr>
      <w:r>
        <w:rPr>
          <w:color w:val="auto"/>
          <w:spacing w:val="-2"/>
          <w:highlight w:val="none"/>
          <w:lang w:eastAsia="zh-CN"/>
        </w:rPr>
        <w:t>公共厕所内的消杀药品应使用合格产品，定点存放，使用登记建档；消杀过程应做好安全防护。</w:t>
      </w:r>
    </w:p>
    <w:p w14:paraId="71F08792">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color w:val="auto"/>
          <w:spacing w:val="-2"/>
          <w:highlight w:val="none"/>
          <w:lang w:eastAsia="zh-CN"/>
        </w:rPr>
      </w:pPr>
      <w:r>
        <w:rPr>
          <w:color w:val="auto"/>
          <w:spacing w:val="-2"/>
          <w:highlight w:val="none"/>
          <w:lang w:eastAsia="zh-CN"/>
        </w:rPr>
        <w:t>遇雨雪等恶劣天气应适时开启照明设备并铺设防滑垫，及时扫雪（水）除冰，设置相关警示标志。</w:t>
      </w:r>
    </w:p>
    <w:p w14:paraId="601E38F5">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color w:val="auto"/>
          <w:spacing w:val="-2"/>
          <w:highlight w:val="none"/>
          <w:lang w:eastAsia="zh-CN"/>
        </w:rPr>
      </w:pPr>
      <w:r>
        <w:rPr>
          <w:color w:val="auto"/>
          <w:spacing w:val="-2"/>
          <w:highlight w:val="none"/>
          <w:lang w:eastAsia="zh-CN"/>
        </w:rPr>
        <w:t>严禁在公共厕所内私自接水、接电、淘菜、洗衣等。</w:t>
      </w:r>
    </w:p>
    <w:p w14:paraId="455500A4">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color w:val="auto"/>
          <w:spacing w:val="-2"/>
          <w:highlight w:val="none"/>
          <w:lang w:eastAsia="zh-CN"/>
        </w:rPr>
      </w:pPr>
      <w:r>
        <w:rPr>
          <w:color w:val="auto"/>
          <w:spacing w:val="-2"/>
          <w:highlight w:val="none"/>
          <w:lang w:eastAsia="zh-CN"/>
        </w:rPr>
        <w:t>公共厕所内外如有安全隐患应及时排除，排除期间应设置明显的提示信息及隔离带防止行人靠近。</w:t>
      </w:r>
    </w:p>
    <w:p w14:paraId="586C58EA">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color w:val="auto"/>
          <w:spacing w:val="-2"/>
          <w:highlight w:val="none"/>
          <w:lang w:eastAsia="zh-CN"/>
        </w:rPr>
      </w:pPr>
      <w:r>
        <w:rPr>
          <w:color w:val="auto"/>
          <w:spacing w:val="-2"/>
          <w:highlight w:val="none"/>
          <w:lang w:eastAsia="zh-CN"/>
        </w:rPr>
        <w:t>公共厕所关门后应做好内外环境保洁工作，倾倒所有垃圾并关闭水阀、电源，确保公共厕所内无人后锁好门窗。</w:t>
      </w:r>
    </w:p>
    <w:p w14:paraId="03186312">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color w:val="auto"/>
          <w:spacing w:val="-2"/>
          <w:highlight w:val="none"/>
          <w:lang w:eastAsia="zh-CN"/>
        </w:rPr>
      </w:pPr>
      <w:r>
        <w:rPr>
          <w:color w:val="auto"/>
          <w:spacing w:val="-2"/>
          <w:highlight w:val="none"/>
          <w:lang w:eastAsia="zh-CN"/>
        </w:rPr>
        <w:t>制定恶劣天气、停水停电、设施设备维修、人流量激增等应急预案，并有相关应急保障措施，定期组织演练，发生突发事件时应及时上报。时段内，保洁员开始及结束时应全面清洁公共厕所 3 次。节假日或重大活动期间如厕人员激增时应增加保洁员和保洁次数。</w:t>
      </w:r>
    </w:p>
    <w:p w14:paraId="23439217">
      <w:pPr>
        <w:pStyle w:val="3"/>
        <w:spacing w:before="154" w:line="357" w:lineRule="auto"/>
        <w:ind w:right="615" w:firstLine="480"/>
        <w:jc w:val="both"/>
        <w:rPr>
          <w:rFonts w:hint="eastAsia"/>
          <w:b/>
          <w:bCs/>
          <w:color w:val="auto"/>
          <w:spacing w:val="-2"/>
          <w:highlight w:val="none"/>
          <w:lang w:val="en-US" w:eastAsia="zh-CN"/>
        </w:rPr>
      </w:pPr>
      <w:r>
        <w:rPr>
          <w:rFonts w:hint="eastAsia"/>
          <w:b/>
          <w:bCs/>
          <w:color w:val="auto"/>
          <w:spacing w:val="-2"/>
          <w:highlight w:val="none"/>
          <w:lang w:val="en-US" w:eastAsia="zh-CN"/>
        </w:rPr>
        <w:t>1.5、公共厕所保洁（全面保洁和巡回保洁）</w:t>
      </w:r>
    </w:p>
    <w:p w14:paraId="6F236680">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color w:val="auto"/>
          <w:spacing w:val="-2"/>
          <w:highlight w:val="none"/>
          <w:lang w:eastAsia="zh-CN"/>
        </w:rPr>
      </w:pPr>
      <w:r>
        <w:rPr>
          <w:color w:val="auto"/>
          <w:spacing w:val="-2"/>
          <w:highlight w:val="none"/>
          <w:lang w:eastAsia="zh-CN"/>
        </w:rPr>
        <w:t>在保洁时段内，除去全面清洗时间，其他时间段应不间断进行巡回保洁。</w:t>
      </w:r>
    </w:p>
    <w:p w14:paraId="588E937B">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color w:val="auto"/>
          <w:spacing w:val="-2"/>
          <w:highlight w:val="none"/>
          <w:lang w:eastAsia="zh-CN"/>
        </w:rPr>
      </w:pPr>
      <w:r>
        <w:rPr>
          <w:color w:val="auto"/>
          <w:spacing w:val="-2"/>
          <w:highlight w:val="none"/>
          <w:lang w:eastAsia="zh-CN"/>
        </w:rPr>
        <w:t>公共厕内蹲便器、小便池、扶手、洗手器等应每天消毒 2 次，其他设施设备应每天消毒 1 次；人流高峰期应每天消毒 2 次以上。</w:t>
      </w:r>
    </w:p>
    <w:p w14:paraId="34B73DCE">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color w:val="auto"/>
          <w:spacing w:val="-2"/>
          <w:highlight w:val="none"/>
          <w:lang w:eastAsia="zh-CN"/>
        </w:rPr>
      </w:pPr>
      <w:r>
        <w:rPr>
          <w:color w:val="auto"/>
          <w:spacing w:val="-2"/>
          <w:highlight w:val="none"/>
          <w:lang w:eastAsia="zh-CN"/>
        </w:rPr>
        <w:t>使用安全可靠的药物定期进行消杀，根据季节变化调整作业频次，将药物消杀尽量安排在人少时段。</w:t>
      </w:r>
    </w:p>
    <w:p w14:paraId="1D8ED4C1">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color w:val="auto"/>
          <w:spacing w:val="-2"/>
          <w:highlight w:val="none"/>
          <w:lang w:eastAsia="zh-CN"/>
        </w:rPr>
      </w:pPr>
      <w:r>
        <w:rPr>
          <w:color w:val="auto"/>
          <w:spacing w:val="-2"/>
          <w:highlight w:val="none"/>
          <w:lang w:eastAsia="zh-CN"/>
        </w:rPr>
        <w:t>做好每日消杀、消毒、巡查等作业记录。</w:t>
      </w:r>
    </w:p>
    <w:p w14:paraId="759190A1">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color w:val="auto"/>
          <w:spacing w:val="-2"/>
          <w:highlight w:val="none"/>
          <w:lang w:eastAsia="zh-CN"/>
        </w:rPr>
      </w:pPr>
      <w:r>
        <w:rPr>
          <w:color w:val="auto"/>
          <w:spacing w:val="-2"/>
          <w:highlight w:val="none"/>
          <w:lang w:eastAsia="zh-CN"/>
        </w:rPr>
        <w:t>室外环境应干净整洁，无乱堆乱放、乱搭乱建，宜适当进行绿化美化。责任区地面不应有垃圾、积水、积雪、积冰、污水、杂草、废土,不得吊挂物品，无卫生死角，显眼处不得晾晒衣物。坡道、台阶、扶手应保持干净整洁，不得有障碍物。自行车、电动车等非机动车辆应在固定位置有序停放。</w:t>
      </w:r>
    </w:p>
    <w:p w14:paraId="356937EB">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color w:val="auto"/>
          <w:spacing w:val="-2"/>
          <w:highlight w:val="none"/>
          <w:lang w:eastAsia="zh-CN"/>
        </w:rPr>
      </w:pPr>
      <w:r>
        <w:rPr>
          <w:color w:val="auto"/>
          <w:spacing w:val="-2"/>
          <w:highlight w:val="none"/>
          <w:lang w:eastAsia="zh-CN"/>
        </w:rPr>
        <w:t>室内环境大便器内外无积粪污物，小便器无尿碱、垃圾，沟眼、管道保持畅通。天花板、门窗、隔断板、栏杆、楼梯等应无污渍、破损、积灰、蜘蛛网等，保持干净整洁。冲水设备、洗手龙头、洗手盆、面镜和挂衣钩等应干净整洁。地面不应有废弃物、水迹、污垢、杂物等。纸篓内废弃物应及时清理，不得超过容积的三分之二。活动式公共厕所储粪箱应及时清理，不得满溢。</w:t>
      </w:r>
    </w:p>
    <w:p w14:paraId="628BDE97">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color w:val="auto"/>
          <w:spacing w:val="-2"/>
          <w:highlight w:val="none"/>
          <w:lang w:eastAsia="zh-CN"/>
        </w:rPr>
      </w:pPr>
      <w:r>
        <w:rPr>
          <w:color w:val="auto"/>
          <w:spacing w:val="-2"/>
          <w:highlight w:val="none"/>
          <w:lang w:eastAsia="zh-CN"/>
        </w:rPr>
        <w:t>内外墙面应保持洁净，无积灰、污迹、渗漏、蛛网，无乱涂乱画、无张贴，不得安装或吊挂与公共厕所管理无关的物品。</w:t>
      </w:r>
    </w:p>
    <w:p w14:paraId="139A79D8">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color w:val="auto"/>
          <w:spacing w:val="-2"/>
          <w:highlight w:val="none"/>
          <w:lang w:eastAsia="zh-CN"/>
        </w:rPr>
      </w:pPr>
      <w:r>
        <w:rPr>
          <w:color w:val="auto"/>
          <w:spacing w:val="-2"/>
          <w:highlight w:val="none"/>
          <w:lang w:eastAsia="zh-CN"/>
        </w:rPr>
        <w:t>屋顶应无垃圾、无杂物，不得设置与公共厕所管理无关的物品。</w:t>
      </w:r>
    </w:p>
    <w:p w14:paraId="0F14415A">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color w:val="auto"/>
          <w:spacing w:val="-2"/>
          <w:highlight w:val="none"/>
          <w:lang w:eastAsia="zh-CN"/>
        </w:rPr>
      </w:pPr>
      <w:r>
        <w:rPr>
          <w:color w:val="auto"/>
          <w:spacing w:val="-2"/>
          <w:highlight w:val="none"/>
          <w:lang w:eastAsia="zh-CN"/>
        </w:rPr>
        <w:t>管理间应保持整洁，物品统一收纳，不得堆放杂物、饲养宠物。</w:t>
      </w:r>
    </w:p>
    <w:p w14:paraId="281791EB">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color w:val="auto"/>
          <w:spacing w:val="-2"/>
          <w:highlight w:val="none"/>
          <w:lang w:eastAsia="zh-CN"/>
        </w:rPr>
      </w:pPr>
      <w:r>
        <w:rPr>
          <w:color w:val="auto"/>
          <w:spacing w:val="-2"/>
          <w:highlight w:val="none"/>
          <w:lang w:eastAsia="zh-CN"/>
        </w:rPr>
        <w:t>设施设备方面要采光通风良好，内外部照明灯具、防蚊防蝇防鼠设备洁净完好。公共厕所所有提示牌、引导牌和宣传牌等应内容齐全、干净整洁、醒目有效。配置有烘干机、换气扇、空调、纸巾盒、洗手液、急救箱、绿植等设施的公共厕所，应保证该设施功能完好、物品齐备、干净整洁。无障碍卫生间或第三卫生间内配置的多功能台、安全抓杆、儿童安全座椅、呼叫器等设施应完好洁净；第三卫生间应做到一客一净。</w:t>
      </w:r>
    </w:p>
    <w:p w14:paraId="2A91B498">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color w:val="auto"/>
          <w:spacing w:val="-2"/>
          <w:highlight w:val="none"/>
          <w:lang w:eastAsia="zh-CN"/>
        </w:rPr>
      </w:pPr>
      <w:r>
        <w:rPr>
          <w:color w:val="auto"/>
          <w:spacing w:val="-2"/>
          <w:highlight w:val="none"/>
          <w:lang w:eastAsia="zh-CN"/>
        </w:rPr>
        <w:t>保洁作业时需在入口处设置提示牌。冲洗厕所地面和雨雪冰冻天气时需设置防滑标志和铺设防滑垫。</w:t>
      </w:r>
    </w:p>
    <w:p w14:paraId="5F4EEFE4">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color w:val="auto"/>
          <w:spacing w:val="-2"/>
          <w:highlight w:val="none"/>
          <w:lang w:eastAsia="zh-CN"/>
        </w:rPr>
      </w:pPr>
      <w:r>
        <w:rPr>
          <w:color w:val="auto"/>
          <w:spacing w:val="-2"/>
          <w:highlight w:val="none"/>
          <w:lang w:eastAsia="zh-CN"/>
        </w:rPr>
        <w:t>清洁大小便洁具的拖把、抹布应专用，不得与清洁其他设施的拖把、抹布混用。保洁工具晾晒时不得影响路人通行和公共厕所整体美观。拖把、扫把、抹布等</w:t>
      </w:r>
    </w:p>
    <w:p w14:paraId="78D20A2D">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color w:val="auto"/>
          <w:spacing w:val="-2"/>
          <w:highlight w:val="none"/>
          <w:lang w:eastAsia="zh-CN"/>
        </w:rPr>
      </w:pPr>
      <w:r>
        <w:rPr>
          <w:color w:val="auto"/>
          <w:spacing w:val="-2"/>
          <w:highlight w:val="none"/>
          <w:lang w:eastAsia="zh-CN"/>
        </w:rPr>
        <w:t>晾晒完后，应及时放回工具间。作业工具保洁作业完毕后，应统一放置回工具间。工具间内工具应摆放整齐。公共厕所应做到保洁工具干湿分离、定点摆放。</w:t>
      </w:r>
    </w:p>
    <w:p w14:paraId="1654C6A0">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72" w:firstLineChars="200"/>
        <w:jc w:val="both"/>
        <w:textAlignment w:val="auto"/>
        <w:rPr>
          <w:color w:val="auto"/>
          <w:spacing w:val="-2"/>
          <w:highlight w:val="none"/>
          <w:lang w:eastAsia="zh-CN"/>
        </w:rPr>
      </w:pPr>
      <w:r>
        <w:rPr>
          <w:color w:val="auto"/>
          <w:spacing w:val="-2"/>
          <w:highlight w:val="none"/>
          <w:lang w:eastAsia="zh-CN"/>
        </w:rPr>
        <w:t>公共厕所内部通道、洗手台不得放置拖把、水桶、抹布、扫把等作业工具和其他影响视觉观瞻及通行的物品。</w:t>
      </w:r>
    </w:p>
    <w:p w14:paraId="668C5CE0">
      <w:pPr>
        <w:pStyle w:val="3"/>
        <w:spacing w:before="154" w:line="357" w:lineRule="auto"/>
        <w:ind w:right="615" w:firstLine="480"/>
        <w:jc w:val="both"/>
        <w:rPr>
          <w:rFonts w:hint="eastAsia"/>
          <w:b/>
          <w:bCs/>
          <w:color w:val="auto"/>
          <w:spacing w:val="-2"/>
          <w:highlight w:val="none"/>
          <w:lang w:val="en-US" w:eastAsia="zh-CN"/>
        </w:rPr>
      </w:pPr>
      <w:r>
        <w:rPr>
          <w:rFonts w:hint="eastAsia"/>
          <w:b/>
          <w:bCs/>
          <w:color w:val="auto"/>
          <w:spacing w:val="-2"/>
          <w:highlight w:val="none"/>
          <w:lang w:val="en-US" w:eastAsia="zh-CN"/>
        </w:rPr>
        <w:t>1.6、贮粪池清掏</w:t>
      </w:r>
    </w:p>
    <w:p w14:paraId="49240A78">
      <w:pPr>
        <w:pStyle w:val="3"/>
        <w:spacing w:before="154" w:line="357" w:lineRule="auto"/>
        <w:ind w:right="615" w:firstLine="480"/>
        <w:jc w:val="both"/>
        <w:rPr>
          <w:rFonts w:hint="eastAsia"/>
          <w:b/>
          <w:bCs/>
          <w:color w:val="auto"/>
          <w:spacing w:val="-2"/>
          <w:highlight w:val="none"/>
          <w:lang w:val="en-US" w:eastAsia="zh-CN"/>
        </w:rPr>
      </w:pPr>
      <w:r>
        <w:rPr>
          <w:rFonts w:hint="eastAsia"/>
          <w:b/>
          <w:bCs/>
          <w:color w:val="auto"/>
          <w:spacing w:val="-2"/>
          <w:highlight w:val="none"/>
          <w:lang w:val="en-US" w:eastAsia="zh-CN"/>
        </w:rPr>
        <w:t>1.6.1、贮粪池清理作业流程</w:t>
      </w:r>
    </w:p>
    <w:p w14:paraId="175D3057">
      <w:pPr>
        <w:pStyle w:val="3"/>
        <w:spacing w:before="141" w:line="352" w:lineRule="auto"/>
        <w:ind w:right="797" w:firstLine="480"/>
        <w:jc w:val="both"/>
        <w:rPr>
          <w:color w:val="auto"/>
          <w:highlight w:val="none"/>
          <w:lang w:eastAsia="zh-CN"/>
        </w:rPr>
      </w:pPr>
      <w:r>
        <w:rPr>
          <w:color w:val="auto"/>
          <w:w w:val="95"/>
          <w:highlight w:val="none"/>
          <w:lang w:eastAsia="zh-CN"/>
        </w:rPr>
        <w:t>吸粪车一部(含</w:t>
      </w:r>
      <w:r>
        <w:rPr>
          <w:color w:val="auto"/>
          <w:highlight w:val="none"/>
          <w:lang w:eastAsia="zh-CN"/>
        </w:rPr>
        <w:t xml:space="preserve"> </w:t>
      </w:r>
      <w:r>
        <w:rPr>
          <w:color w:val="auto"/>
          <w:w w:val="95"/>
          <w:highlight w:val="none"/>
          <w:lang w:eastAsia="zh-CN"/>
        </w:rPr>
        <w:t>5</w:t>
      </w:r>
      <w:r>
        <w:rPr>
          <w:color w:val="auto"/>
          <w:highlight w:val="none"/>
          <w:lang w:eastAsia="zh-CN"/>
        </w:rPr>
        <w:t xml:space="preserve"> </w:t>
      </w:r>
      <w:r>
        <w:rPr>
          <w:color w:val="auto"/>
          <w:w w:val="95"/>
          <w:highlight w:val="none"/>
          <w:lang w:eastAsia="zh-CN"/>
        </w:rPr>
        <w:t>米长胶管三条,8</w:t>
      </w:r>
      <w:r>
        <w:rPr>
          <w:color w:val="auto"/>
          <w:highlight w:val="none"/>
          <w:lang w:eastAsia="zh-CN"/>
        </w:rPr>
        <w:t xml:space="preserve"> </w:t>
      </w:r>
      <w:r>
        <w:rPr>
          <w:color w:val="auto"/>
          <w:w w:val="95"/>
          <w:highlight w:val="none"/>
          <w:lang w:eastAsia="zh-CN"/>
        </w:rPr>
        <w:t>米竹竿一条)，用铁钩打开粪池的盖板,再用</w:t>
      </w:r>
      <w:r>
        <w:rPr>
          <w:color w:val="auto"/>
          <w:spacing w:val="-2"/>
          <w:highlight w:val="none"/>
          <w:lang w:eastAsia="zh-CN"/>
        </w:rPr>
        <w:t>长竹竿搅散</w:t>
      </w:r>
      <w:r>
        <w:rPr>
          <w:color w:val="auto"/>
          <w:spacing w:val="-11"/>
          <w:highlight w:val="none"/>
          <w:lang w:eastAsia="zh-CN"/>
        </w:rPr>
        <w:t>粪池内杂物结块层，把车开到工作现场,套好吸粪胶管放入贮粪池内，启动吸粪</w:t>
      </w:r>
      <w:r>
        <w:rPr>
          <w:color w:val="auto"/>
          <w:spacing w:val="-9"/>
          <w:highlight w:val="none"/>
          <w:lang w:eastAsia="zh-CN"/>
        </w:rPr>
        <w:t>车吸出粪便直至粪池内的结块物吸完为止，盖好粪池井盖,用清水冲洗工作现场和所</w:t>
      </w:r>
      <w:r>
        <w:rPr>
          <w:color w:val="auto"/>
          <w:spacing w:val="-4"/>
          <w:highlight w:val="none"/>
          <w:lang w:eastAsia="zh-CN"/>
        </w:rPr>
        <w:t>有工具。</w:t>
      </w:r>
    </w:p>
    <w:p w14:paraId="263B17C8">
      <w:pPr>
        <w:pStyle w:val="3"/>
        <w:spacing w:before="154" w:line="357" w:lineRule="auto"/>
        <w:ind w:right="615" w:firstLine="480"/>
        <w:jc w:val="both"/>
        <w:rPr>
          <w:rFonts w:hint="eastAsia"/>
          <w:b/>
          <w:bCs/>
          <w:color w:val="auto"/>
          <w:spacing w:val="-2"/>
          <w:highlight w:val="none"/>
          <w:lang w:val="en-US" w:eastAsia="zh-CN"/>
        </w:rPr>
      </w:pPr>
      <w:r>
        <w:rPr>
          <w:rFonts w:hint="eastAsia"/>
          <w:b/>
          <w:bCs/>
          <w:color w:val="auto"/>
          <w:spacing w:val="-2"/>
          <w:highlight w:val="none"/>
          <w:lang w:val="en-US" w:eastAsia="zh-CN"/>
        </w:rPr>
        <w:t>1.6.2、贮粪池清洁标准</w:t>
      </w:r>
    </w:p>
    <w:p w14:paraId="3F949C36">
      <w:pPr>
        <w:pStyle w:val="3"/>
        <w:spacing w:before="142" w:line="352" w:lineRule="auto"/>
        <w:ind w:right="735" w:firstLine="480"/>
        <w:rPr>
          <w:color w:val="auto"/>
          <w:highlight w:val="none"/>
          <w:lang w:eastAsia="zh-CN"/>
        </w:rPr>
      </w:pPr>
      <w:r>
        <w:rPr>
          <w:color w:val="auto"/>
          <w:spacing w:val="-13"/>
          <w:highlight w:val="none"/>
          <w:lang w:eastAsia="zh-CN"/>
        </w:rPr>
        <w:t>每年清理一次粪池。清理后,目视井内无积物浮于上面,出入口畅通,保持污水不</w:t>
      </w:r>
      <w:r>
        <w:rPr>
          <w:color w:val="auto"/>
          <w:spacing w:val="-2"/>
          <w:highlight w:val="none"/>
          <w:lang w:eastAsia="zh-CN"/>
        </w:rPr>
        <w:t>溢出地面。</w:t>
      </w:r>
    </w:p>
    <w:p w14:paraId="51D7D1E7">
      <w:pPr>
        <w:pStyle w:val="3"/>
        <w:spacing w:before="154" w:line="357" w:lineRule="auto"/>
        <w:ind w:right="615" w:firstLine="480"/>
        <w:jc w:val="both"/>
        <w:rPr>
          <w:rFonts w:hint="eastAsia"/>
          <w:b/>
          <w:bCs/>
          <w:color w:val="auto"/>
          <w:spacing w:val="-2"/>
          <w:highlight w:val="none"/>
          <w:lang w:val="en-US" w:eastAsia="zh-CN"/>
        </w:rPr>
      </w:pPr>
      <w:r>
        <w:rPr>
          <w:rFonts w:hint="eastAsia"/>
          <w:b/>
          <w:bCs/>
          <w:color w:val="auto"/>
          <w:spacing w:val="-2"/>
          <w:highlight w:val="none"/>
          <w:lang w:val="en-US" w:eastAsia="zh-CN"/>
        </w:rPr>
        <w:t>1.6.3、贮粪池清理注意事项</w:t>
      </w:r>
    </w:p>
    <w:p w14:paraId="01219134">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56" w:firstLineChars="200"/>
        <w:jc w:val="both"/>
        <w:textAlignment w:val="auto"/>
        <w:rPr>
          <w:color w:val="auto"/>
          <w:w w:val="95"/>
          <w:highlight w:val="none"/>
          <w:lang w:eastAsia="zh-CN"/>
        </w:rPr>
      </w:pPr>
      <w:r>
        <w:rPr>
          <w:color w:val="auto"/>
          <w:w w:val="95"/>
          <w:highlight w:val="none"/>
          <w:lang w:eastAsia="zh-CN"/>
        </w:rPr>
        <w:t>吸粪作业时,防止弄脏工作现场和过往行人的衣物,用隔离带围敝作业。</w:t>
      </w:r>
    </w:p>
    <w:p w14:paraId="036A3A86">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56" w:firstLineChars="200"/>
        <w:jc w:val="both"/>
        <w:textAlignment w:val="auto"/>
        <w:rPr>
          <w:color w:val="auto"/>
          <w:w w:val="95"/>
          <w:highlight w:val="none"/>
          <w:lang w:eastAsia="zh-CN"/>
        </w:rPr>
      </w:pPr>
      <w:r>
        <w:rPr>
          <w:color w:val="auto"/>
          <w:w w:val="95"/>
          <w:highlight w:val="none"/>
          <w:lang w:eastAsia="zh-CN"/>
        </w:rPr>
        <w:t>因吸粪车的噪音较大,故应避开住户的休息时间进行作业,一般情况于晚间21:00时前完成。</w:t>
      </w:r>
    </w:p>
    <w:p w14:paraId="58BDDB22">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56" w:firstLineChars="200"/>
        <w:jc w:val="both"/>
        <w:textAlignment w:val="auto"/>
        <w:rPr>
          <w:color w:val="auto"/>
          <w:w w:val="95"/>
          <w:highlight w:val="none"/>
          <w:lang w:eastAsia="zh-CN"/>
        </w:rPr>
      </w:pPr>
      <w:r>
        <w:rPr>
          <w:color w:val="auto"/>
          <w:w w:val="95"/>
          <w:highlight w:val="none"/>
          <w:lang w:eastAsia="zh-CN"/>
        </w:rPr>
        <w:t>在粪池井盖打开后 10-15 分钟内，工作人员应远离池边,但应保证有专人在现场看护,清理后盖实,以防行人或小孩跌入井中发生意外。</w:t>
      </w:r>
    </w:p>
    <w:p w14:paraId="6A611F5E">
      <w:pPr>
        <w:pStyle w:val="3"/>
        <w:keepNext w:val="0"/>
        <w:keepLines w:val="0"/>
        <w:pageBreakBefore w:val="0"/>
        <w:widowControl w:val="0"/>
        <w:kinsoku/>
        <w:wordWrap/>
        <w:overflowPunct/>
        <w:topLinePunct w:val="0"/>
        <w:autoSpaceDE w:val="0"/>
        <w:autoSpaceDN w:val="0"/>
        <w:bidi w:val="0"/>
        <w:adjustRightInd/>
        <w:snapToGrid/>
        <w:spacing w:line="360" w:lineRule="auto"/>
        <w:ind w:left="567" w:right="567" w:firstLine="456" w:firstLineChars="200"/>
        <w:jc w:val="both"/>
        <w:textAlignment w:val="auto"/>
        <w:rPr>
          <w:color w:val="auto"/>
          <w:w w:val="95"/>
          <w:highlight w:val="none"/>
          <w:lang w:eastAsia="zh-CN"/>
        </w:rPr>
      </w:pPr>
      <w:r>
        <w:rPr>
          <w:color w:val="auto"/>
          <w:w w:val="95"/>
          <w:highlight w:val="none"/>
          <w:lang w:eastAsia="zh-CN"/>
        </w:rPr>
        <w:t>贮粪池内的沼气有毒、易燃,故应待充分散发后,才能作业,且禁止在池边点火或吸烟,以防沼气着火烧伤人。</w:t>
      </w:r>
    </w:p>
    <w:p w14:paraId="26C333BC">
      <w:r>
        <w:rPr>
          <w:color w:val="auto"/>
          <w:w w:val="95"/>
          <w:highlight w:val="none"/>
          <w:lang w:eastAsia="zh-CN"/>
        </w:rPr>
        <w:t>人勿下池工作,防止人员中毒或陷入水中。</w:t>
      </w:r>
    </w:p>
    <w:sectPr>
      <w:pgSz w:w="11906" w:h="16838"/>
      <w:pgMar w:top="1440" w:right="1800" w:bottom="1440" w:left="1800" w:header="851" w:footer="992" w:gutter="0"/>
      <w:cols w:space="425" w:num="1"/>
      <w:docGrid w:type="lines" w:linePitch="312" w:charSpace="0"/>
    </w:sectPr>
  </w:body>
</w:document>
</file>

<file path=word/customizations.xml><?xml version="1.0" encoding="utf-8"?>
<wne:tcg xmlns:r="http://schemas.openxmlformats.org/officeDocument/2006/relationships" xmlns:wne="http://schemas.microsoft.com/office/word/2006/wordml">
  <wne:keymaps>
    <wne:keymap wne:kcmPrimary="0254" wne:mask="1"/>
  </wne:keymap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Arial (W1)">
    <w:altName w:val="Arial"/>
    <w:panose1 w:val="00000000000000000000"/>
    <w:charset w:val="00"/>
    <w:family w:val="swiss"/>
    <w:pitch w:val="default"/>
    <w:sig w:usb0="00000000" w:usb1="0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8056C7A"/>
    <w:rsid w:val="2A0F210D"/>
    <w:rsid w:val="4A3C3F57"/>
    <w:rsid w:val="6F4335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仿宋" w:hAnsi="仿宋" w:eastAsia="仿宋" w:cs="仿宋"/>
      <w:sz w:val="22"/>
      <w:szCs w:val="22"/>
      <w:lang w:val="en-US" w:eastAsia="en-US" w:bidi="ar-SA"/>
    </w:rPr>
  </w:style>
  <w:style w:type="paragraph" w:styleId="2">
    <w:name w:val="heading 2"/>
    <w:basedOn w:val="1"/>
    <w:next w:val="1"/>
    <w:unhideWhenUsed/>
    <w:qFormat/>
    <w:uiPriority w:val="9"/>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8">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3">
    <w:name w:val="Body Text"/>
    <w:basedOn w:val="1"/>
    <w:next w:val="4"/>
    <w:qFormat/>
    <w:uiPriority w:val="1"/>
    <w:pPr>
      <w:ind w:left="566"/>
    </w:pPr>
    <w:rPr>
      <w:sz w:val="24"/>
      <w:szCs w:val="24"/>
    </w:rPr>
  </w:style>
  <w:style w:type="paragraph" w:customStyle="1" w:styleId="4">
    <w:name w:val="RFI Heading 2nd Level Char"/>
    <w:basedOn w:val="1"/>
    <w:next w:val="5"/>
    <w:autoRedefine/>
    <w:qFormat/>
    <w:uiPriority w:val="0"/>
    <w:pPr>
      <w:widowControl/>
      <w:spacing w:before="240" w:after="240"/>
      <w:ind w:left="1152" w:hanging="1152"/>
      <w:outlineLvl w:val="1"/>
    </w:pPr>
    <w:rPr>
      <w:rFonts w:ascii="Arial (W1)" w:eastAsia="Times New Roman"/>
      <w:b/>
      <w:color w:val="3366FF"/>
      <w:sz w:val="24"/>
    </w:rPr>
  </w:style>
  <w:style w:type="paragraph" w:customStyle="1" w:styleId="5">
    <w:name w:val="Normal 0.51"/>
    <w:basedOn w:val="1"/>
    <w:next w:val="1"/>
    <w:autoRedefine/>
    <w:qFormat/>
    <w:uiPriority w:val="0"/>
    <w:pPr>
      <w:widowControl/>
      <w:spacing w:before="180" w:after="120"/>
      <w:ind w:left="720"/>
    </w:pPr>
    <w:rPr>
      <w:sz w:val="24"/>
    </w:rPr>
  </w:style>
  <w:style w:type="table" w:styleId="7">
    <w:name w:val="Table Grid"/>
    <w:basedOn w:val="6"/>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Heading 1"/>
    <w:basedOn w:val="1"/>
    <w:autoRedefine/>
    <w:qFormat/>
    <w:uiPriority w:val="1"/>
    <w:pPr>
      <w:ind w:left="560"/>
      <w:jc w:val="center"/>
      <w:outlineLvl w:val="1"/>
    </w:pPr>
    <w:rPr>
      <w:b/>
      <w:bCs/>
      <w:sz w:val="32"/>
      <w:szCs w:val="32"/>
    </w:rPr>
  </w:style>
  <w:style w:type="paragraph" w:customStyle="1" w:styleId="10">
    <w:name w:val="Heading 5"/>
    <w:basedOn w:val="1"/>
    <w:autoRedefine/>
    <w:qFormat/>
    <w:uiPriority w:val="1"/>
    <w:pPr>
      <w:ind w:left="1046"/>
      <w:outlineLvl w:val="5"/>
    </w:pPr>
    <w:rPr>
      <w:b/>
      <w:bCs/>
      <w:sz w:val="24"/>
      <w:szCs w:val="24"/>
    </w:rPr>
  </w:style>
  <w:style w:type="paragraph" w:customStyle="1" w:styleId="11">
    <w:name w:val="Table Paragraph"/>
    <w:basedOn w:val="1"/>
    <w:autoRedefine/>
    <w:qFormat/>
    <w:uiPriority w:val="1"/>
  </w:style>
  <w:style w:type="table" w:customStyle="1" w:styleId="12">
    <w:name w:val="Table Normal"/>
    <w:autoRedefine/>
    <w:semiHidden/>
    <w:unhideWhenUsed/>
    <w:qFormat/>
    <w:uiPriority w:val="2"/>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microsoft.com/office/2006/relationships/keyMapCustomizations" Target="customizations.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2025-12-14T12:13:00Z</dcterms:created>
  <dc:creator>54377</dc:creator>
  <cp:lastModifiedBy>54377</cp:lastModifiedBy>
  <dcterms:modified xsi:type="dcterms:W3CDTF">2026-06-30T08:27:55Z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33D23DBD89FA48BFB5CB2C35D63C8BF9_12</vt:lpwstr>
  </property>
  <property fmtid="{D5CDD505-2E9C-101B-9397-08002B2CF9AE}" pid="4" name="KSOTemplateDocerSaveRecord">
    <vt:lpwstr>eyJoZGlkIjoiZjNlYmU4OWI4OTk0NWFlNjg0OTQ4MTY2MDMyZDIzNjYifQ==</vt:lpwstr>
  </property>
</Properties>
</file>