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版本号：TCZFCG-2026-0043620260716001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食材供应采购项目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TCZFCG-2026-00436</w:t>
      </w:r>
      <w:r>
        <w:br/>
      </w:r>
      <w:r>
        <w:br/>
      </w:r>
      <w:r>
        <w:br/>
      </w:r>
    </w:p>
    <w:p>
      <w:pPr>
        <w:pStyle w:val="null3"/>
        <w:jc w:val="center"/>
        <w:outlineLvl w:val="2"/>
      </w:pPr>
      <w:r>
        <w:rPr>
          <w:rFonts w:ascii="仿宋_GB2312" w:hAnsi="仿宋_GB2312" w:cs="仿宋_GB2312" w:eastAsia="仿宋_GB2312"/>
          <w:sz w:val="28"/>
          <w:b/>
        </w:rPr>
        <w:t>铜川市消防救援支队</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铜川市消防救援支队</w:t>
      </w:r>
      <w:r>
        <w:rPr>
          <w:rFonts w:ascii="仿宋_GB2312" w:hAnsi="仿宋_GB2312" w:cs="仿宋_GB2312" w:eastAsia="仿宋_GB2312"/>
        </w:rPr>
        <w:t>委托，拟对</w:t>
      </w:r>
      <w:r>
        <w:rPr>
          <w:rFonts w:ascii="仿宋_GB2312" w:hAnsi="仿宋_GB2312" w:cs="仿宋_GB2312" w:eastAsia="仿宋_GB2312"/>
        </w:rPr>
        <w:t>食材供应采购项目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TCZFCG-2026-00436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食材供应采购项目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消防救援支队拟招一家更优质的主副食品配送服务供应商，主要为耀州区消防救援大队职工灶配送所需的蔬菜、肉、蛋、奶、鱼、米、面、油等食材。所有食品必须符合国家相关质量安全标准，具有相应的检验检疫证明，确保新鲜、无变质、无异味。供应商应根据需求方的订单要求，按时、准确地将食品配送到指定地点。配送车辆需保持清洁卫生，具备相应的保鲜、冷藏、冷冻等设施，以保证食品在运输过程中的质量不受影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采购包1（食材供应采购项目）：属于专门面向中小企业采购。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1、特殊资格条件：投标供应商应具有《食品经营许可证》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0919-3182373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陕西省铜川市耀州区铜川市新区齐庆路中段人社大厦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采购包1：779,674.00元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铜川市消防救援支队</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铜川市消防救援支队</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消防救援支队拟招一家更优质的主副食品配送服务供应商，主要为耀州区消防救援大队职工灶配送所需的蔬菜、肉、蛋、奶、鱼、米、面、油等食材。所有食品必须符合国家相关质量安全标准，具有相应的检验检疫证明，确保新鲜、无变质、无异味。供应商应根据需求方的订单要求，按时、准确地将食品配送到指定地点。配送车辆需保持清洁卫生，具备相应的保鲜、冷藏、冷冻等设施，以保证食品在运输过程中的质量不受影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779,674.00</w:t>
      </w:r>
    </w:p>
    <w:p>
      <w:pPr>
        <w:pStyle w:val="null3"/>
      </w:pPr>
      <w:r>
        <w:rPr>
          <w:rFonts w:ascii="仿宋_GB2312" w:hAnsi="仿宋_GB2312" w:cs="仿宋_GB2312" w:eastAsia="仿宋_GB2312"/>
        </w:rPr>
        <w:t>采购包最高限价（元）: 779,674.00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食材供应服务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779,674.00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标的名称：食材供应服务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食材采购方案：包含但不限于货源、采购渠道、食品采购台账管理、食材采购标准、食材检验、采购凭据留存。</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食材分拣方案：包含但不限于分拣流程、分拣方式、分拣及加工或包装（困扎）标准、分拣质量控制、分检人员管理。</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食材仓储管理方案：包含但不限于仓储出入登记管理、分类存放、环境卫生管理、仓储设施配备、保存时限管理。</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食材配送方案：包含但不限于食材包装、物流配送流程、配送时限保障、配送应急预案、配送遗漏处罚措施。</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项目负责人：具有</w:t>
            </w:r>
            <w:r>
              <w:rPr>
                <w:rFonts w:ascii="仿宋_GB2312" w:hAnsi="仿宋_GB2312" w:cs="仿宋_GB2312" w:eastAsia="仿宋_GB2312"/>
                <w:sz w:val="21"/>
              </w:rPr>
              <w:t>2年以上同类型工作经验。提供《项目负责人简历表》及身份证、劳动合同、类似项目工作经验证明材料等资料。</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服务团队配置：负责食材采购及配送的工作人员均具有健康证。</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管理制度：包含但不限于岗位责任制度、物资采购制度、食品采购台账、从业人员培训制度、责任追究制度。</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拟投入本项目的运输工具配备：供应商提供年检有效期内的自有（或租赁）车辆行驶证及车辆照片（需显示车头车尾），车辆行驶证的车辆类型应为特殊结构车辆（含重型厢式货车、轻型厢式货车）和购车发票或租赁合同。</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食材质量保障措施：包含但不限于食材质量承诺、食材质量保障措施、食品质量管理制度、食品质量自查、食材质量事故的赔偿措施。</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食材安全保障措施：包含但不限于食材安全承诺、食材安全保障措施、食品质量管理制度、食品安全自查、突发食品安全事件的处理措施、食材安全事故的赔偿措施。</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售后服务措施及承诺：包含但不限于食材质量出现问题时的更换和应急方案、采购人临时紧急采购的处理方案、售后响应时间、不合格食品召回、服务承诺、违约处罚措施。</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供应商履约能力：提供类似项目业绩证明材料，限定为主副食品供应项目，不限服务单位和金额。</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负责人1名，配送员2名，分拣员2名，仓储员1名，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冷藏车1辆，运输车1辆。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铜川市耀州区消防救援大队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符合食品质量标准，供应的原材料具有可追溯性。符合《中华人民共和国食品安全法》、《中华人民共和国食品安全法实施条例》及《食品安全国家标准管理办法》(卫生部令第 77号)等相关法律规定。 满足采购人物资采购清单每个子项的验收标准及使用需求。按采购人要求提供供货食材检测报告或食品检验合格证。 标准装产品:所供产品等级、重量达标,无包装袋破损、生产日期标识模糊不清、假冒伪劣或不符合法定要求。 禽、肉、水产品类:提供动物检验检疫合格证、肉类提供《肉品品质检验合格证》等国家及地方政府要求办理的相关证件。食材新鲜、无病变、无变质、无注水、无异味、无防腐剂保鲜。对不达质量要求的食材必须2小时内进行更换，最终收货数量达到100%，不影响采购方开餐要求。 果蔬类:新鲜光滑、清脆鲜嫩，无变质腐烂、无黄叶、不带泥沙、无草、检验无农药或其他化学物质残留。对不达质量要求的食材必须2小时内进行更换，最终收货数量达到100%，不影响采购方开餐要求。 其他食材:食材新鲜、无变质、无异味，无防腐剂保鲜、无农药或其他化学物质残留。对不达质量要求的食材必须2小时内进行更换，最终收货数量达到100%,不影响采购方开餐要求。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1）各项食材供应数量×食材单价即为食材费用，以实际结算为主。（2）按月支付：乙方按合同约定供应当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进度款，乙方按合同约定供应第2个月主副食品后，须于次月5日前报送上月供货清单及单据，甲方须于5日内审核完成并通知乙方开具发票，达到付款条件起10个工作日内，支付合同总金额的8.33%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进度款，乙方按合同约定供应第3个月主副食品后，须于次月5日前报送上月供货清单及单据，甲方须于5日内审核完成并通知乙方开具发票，达到付款条件起10个工作日内，支付合同总金额的8.33%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进度款，乙方按合同约定供应第4个月主副食品后，须于次月5日前报送上月供货清单及单据，甲方须于5日内审核完成并通知乙方开具发票，达到付款条件起10个工作日内，支付合同总金额的8.33%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进度款，乙方按合同约定供应第5个月主副食品后，须于次月5日前报送上月供货清单及单据，甲方须于5日内审核完成并通知乙方开具发票，达到付款条件起10个工作日内，支付合同总金额的8.33%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进度款，乙方按合同约定供应第6个月主副食品后，须于次月5日前报送上月供货清单及单据，甲方须于5日内审核完成并通知乙方开具发票，达到付款条件起10个工作日内，支付合同总金额的8.33%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进度款，乙方按合同约定供应第7个月主副食品后，须于次月5日前报送上月供货清单及单据，甲方须于5日内审核完成并通知乙方开具发票，达到付款条件起10个工作日内，支付合同总金额的8.33%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乙方按合同约定供应第8个月主副食品后，须于次月5日前报送上月供货清单及单据，甲方须于5日内审核完成并通知乙方开具发票，达到付款条件起10个工作日内，支付合同总金额的8.33%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进度款，乙方按合同约定供应第9个月主副食品后，须于次月5日前报送上月供货清单及单据，甲方须于5日内审核完成并通知乙方开具发票，达到付款条件起10个工作日内，支付合同总金额的8.33%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进度款，乙方按合同约定供应第10个月主副食品后，须于次月5日前报送上月供货清单及单据，甲方须于5日内审核完成并通知乙方开具发票，达到付款条件起10个工作日内，支付合同总金额的8.33%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进度款，乙方按合同约定供应第11个月主副食品后，须于次月5日前报送上月供货清单及单据，甲方须于5日内审核完成并通知乙方开具发票，达到付款条件起10个工作日内，支付合同总金额的8.33%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进度款，乙方按合同约定供应第12个月主副食品后，须于次月5日前报送上月供货清单及单据，甲方须于5日内审核完成并通知乙方开具发票，达到付款条件起10个工作日内，支付合同总金额的8.37%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1、甲方责任 (1)乙方所供食品无质量问题，甲方不得拒收，否则承担乙方的经济损失,(2)甲方无正当理由不得迟付、拒付货款，否则乙方有权向甲方追付欠款及利息。 2、乙方责任 (1)经司法及技术部门鉴定，因乙方产品质量问题造成食品安全事故，乙方承担一切法律、经济责任，一次性取消合作关系。 (2)乙方应按照双方约定的时间供货，如果乙方在履行合同过程中，遇到不能按时交货的情况，应前一日21时前将不能按时交货的理由告知甲方，甲方有权决定是否允许廷长配送时间，如未按规定告知甲方，视为乙方违约，乙方应向甲方赔偿违约金，违约金按每次500元人民币计算，从当月货款中扣除，每季度复核一次，双方共同签字认可。若每季度超过3次，视为乙方违约，甲方有权终止合同。 (3)各伙食单位验收发现乙方短斤少两情况(鲜活类不超过3%，冰冻类不超过6%，叶菜类不超过 3%，果菜类不超过1%)，超过上述标准每次罚款1000元人民币，累计3次(含)以上发现肉禽产品注水，短斤少两等情况罚款1000元人民币:霉、烂、臭等变质实物腐烂程度超过5%以上除更换外还要处以2000元人民币罚款;如乙方在供应中被检查出单个副食品重量短斤少两超过10%，肉禽产品注水、霉、烂、臭等变质实物腐烂程度超过10%以上等故意欺骗行为，除对乙方处以2000元人民币罚款外，均从当月货款中扣除。甲方有权单方面取消乙方资格，终止合同。 (4)除遇有自然灾害等不可抗拒的特殊情况外，乙方所供副食品必须按照承诺的下浮率进行供应，否则一经发现，按照当日所供副食品总额的2倍数额予以处罚，出现食品质量不合格的，乙方需作出书面解释，无条件予以退换，累计3次(含)以上罚款2000元人民币，从当月货款中扣除，此类问题发生3次以上(含3次)，甲方根据乙方纠正情况决定是否终止合同。 (5)乙方须无条件配合甲方对所提供副食品进行验收，并针对存在的问题(如质量不合格，数量不足，商标未注册或假商标等)及时按甲方的要求和期限整改，未按要求整改的，甲方有权终止合同，同时甲方有权提出索赔。 （6）对本协议在履行过程中发生的争议，由双方协商解决，协商不成的，向交货地有管辖权的人民法院提起诉讼。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服务期限到期，后两年服务，在采购单位对上年度服务验收合格后，按照政府采购相关要求。通过续签合同方式进行。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经营范围含食品运输）；社保缴纳证明：近期已缴存的至少3个月的社会保障资金缴存单据或社保机构开具的社会保险参保缴费情况证明。依法不需要缴纳社会保障资金的供应商应提供相关文件证明；税收缴纳证明：近期已缴纳的至少3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特殊资格条件</w:t>
            </w:r>
          </w:p>
        </w:tc>
        <w:tc>
          <w:tcPr>
            <w:tcW w:type="dxa" w:w="3322"/>
          </w:tcPr>
          <w:p>
            <w:pPr>
              <w:pStyle w:val="null3"/>
            </w:pPr>
            <w:r>
              <w:rPr>
                <w:rFonts w:ascii="仿宋_GB2312" w:hAnsi="仿宋_GB2312" w:cs="仿宋_GB2312" w:eastAsia="仿宋_GB2312"/>
              </w:rPr>
              <w:t>投标供应商应具有《食品经营许可证》</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服务内容及服务要求应答表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项目负责人1名，3分；配送员2人，一人2分，共4分。分拣员2名，一人2分，共4分。仓储员1人，2分；人员共6人，需提供健康证，一证一分共6分（服务本项目的负责人须具备2年以上同类型工作经验）。</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能够提供自2022年1月至今主副食品配送服务项目的业绩，每项计1分，本项最高得5分（加盖鲜章的合同复印件或加盖鲜章中标通知书，否则不得分）。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管理制度与措施</w:t>
            </w:r>
          </w:p>
        </w:tc>
        <w:tc>
          <w:tcPr>
            <w:tcW w:type="dxa" w:w="2492"/>
          </w:tcPr>
          <w:p>
            <w:pPr>
              <w:pStyle w:val="null3"/>
            </w:pPr>
            <w:r>
              <w:rPr>
                <w:rFonts w:ascii="仿宋_GB2312" w:hAnsi="仿宋_GB2312" w:cs="仿宋_GB2312" w:eastAsia="仿宋_GB2312"/>
              </w:rPr>
              <w:t>1.管理制度0-5分；2.食材质量保障措施0-5分；3.食材安全保障措施0-5分。编制项目管理机构、工作职能组织运行图，阐述项目经理的管理职责、内部管理的职责分工，日常管理制度完善、程序规范，符合项目实际需求，根据各磋商供应商响应情况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1.食材采购方案0-5分；2.食材分拣方案0-5分；3.食材仓储管理方案0-5分；4.食材配送方案0-5分。对各投标单位响应文件中，服务方案、服务目标、服务内容等完整性、科学性、合理性进行评审。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1.售后服务措施及承诺0-2.5分；2.供应商履约能力0-2.5分。根据投标人的服务优惠、服务承诺的合理性、便利性、可行性进行评分。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投标单位针对本项目拟派车辆，冷藏车1辆，运输车1辆，满足本条件6分，否则本项不得分。 注：上述车辆须为原装车辆（投标单位自行改装的不得分）。 投标单位（自有车辆）须提供车辆购买合同（原件）及购买发票(盖鲜章复印件)、或投标单位（租赁车辆）须提供所租车辆租赁合同原件，否则不予计分。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