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C446C">
      <w:pPr>
        <w:adjustRightInd/>
        <w:spacing w:line="24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商务及合同主要条款</w:t>
      </w:r>
    </w:p>
    <w:tbl>
      <w:tblPr>
        <w:tblStyle w:val="3"/>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45624B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71A7DF3E">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条款号</w:t>
            </w:r>
          </w:p>
        </w:tc>
        <w:tc>
          <w:tcPr>
            <w:tcW w:w="7301" w:type="dxa"/>
            <w:vAlign w:val="center"/>
          </w:tcPr>
          <w:p w14:paraId="4496D23D">
            <w:pPr>
              <w:adjustRightInd w:val="0"/>
              <w:spacing w:line="500" w:lineRule="exact"/>
              <w:jc w:val="center"/>
              <w:rPr>
                <w:rFonts w:hint="eastAsia" w:ascii="仿宋" w:hAnsi="仿宋" w:eastAsia="仿宋" w:cs="仿宋"/>
                <w:sz w:val="28"/>
                <w:szCs w:val="28"/>
              </w:rPr>
            </w:pPr>
            <w:r>
              <w:rPr>
                <w:rFonts w:hint="eastAsia" w:ascii="仿宋" w:hAnsi="仿宋" w:eastAsia="仿宋" w:cs="仿宋"/>
                <w:b/>
                <w:bCs/>
                <w:sz w:val="28"/>
                <w:szCs w:val="28"/>
              </w:rPr>
              <w:t>内      容</w:t>
            </w:r>
          </w:p>
        </w:tc>
      </w:tr>
      <w:tr w14:paraId="652F28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3257B65B">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1</w:t>
            </w:r>
          </w:p>
        </w:tc>
        <w:tc>
          <w:tcPr>
            <w:tcW w:w="7301" w:type="dxa"/>
            <w:vAlign w:val="center"/>
          </w:tcPr>
          <w:p w14:paraId="4E363033">
            <w:pPr>
              <w:adjustRightInd w:val="0"/>
              <w:spacing w:line="50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服务地点：陕西省西安市甲方指定地点。</w:t>
            </w:r>
          </w:p>
        </w:tc>
      </w:tr>
      <w:tr w14:paraId="77C7CD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0A16F014">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2</w:t>
            </w:r>
          </w:p>
        </w:tc>
        <w:tc>
          <w:tcPr>
            <w:tcW w:w="7301" w:type="dxa"/>
            <w:vAlign w:val="center"/>
          </w:tcPr>
          <w:p w14:paraId="4B501A8F">
            <w:pPr>
              <w:adjustRightInd w:val="0"/>
              <w:spacing w:line="500" w:lineRule="exact"/>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服务期限：2026年6月26日至2027年6月25日。</w:t>
            </w:r>
          </w:p>
        </w:tc>
      </w:tr>
      <w:tr w14:paraId="45C452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1F6D26C4">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3</w:t>
            </w:r>
          </w:p>
        </w:tc>
        <w:tc>
          <w:tcPr>
            <w:tcW w:w="7301" w:type="dxa"/>
            <w:vAlign w:val="center"/>
          </w:tcPr>
          <w:p w14:paraId="7C782607">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付款程序及付款方式：</w:t>
            </w:r>
          </w:p>
          <w:p w14:paraId="5881E6F9">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（1）银行转账。</w:t>
            </w:r>
          </w:p>
          <w:p w14:paraId="4823E73A">
            <w:pPr>
              <w:adjustRightInd w:val="0"/>
              <w:spacing w:line="500" w:lineRule="exact"/>
              <w:rPr>
                <w:rFonts w:hint="eastAsia" w:ascii="仿宋" w:hAnsi="仿宋" w:eastAsia="仿宋" w:cs="仿宋"/>
                <w:sz w:val="28"/>
                <w:szCs w:val="28"/>
                <w:highlight w:val="yellow"/>
                <w:lang w:eastAsia="zh-CN"/>
              </w:rPr>
            </w:pPr>
            <w:r>
              <w:rPr>
                <w:rFonts w:hint="eastAsia" w:ascii="仿宋" w:hAnsi="仿宋" w:eastAsia="仿宋" w:cs="仿宋"/>
                <w:sz w:val="28"/>
                <w:szCs w:val="28"/>
              </w:rPr>
              <w:t>（2）合同签订后</w:t>
            </w:r>
            <w:r>
              <w:rPr>
                <w:rFonts w:hint="eastAsia" w:ascii="仿宋" w:hAnsi="仿宋" w:eastAsia="仿宋" w:cs="仿宋"/>
                <w:sz w:val="28"/>
                <w:szCs w:val="28"/>
                <w:lang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，达到付款条件起1</w:t>
            </w:r>
            <w:r>
              <w:rPr>
                <w:rFonts w:hint="eastAsia" w:ascii="仿宋" w:hAnsi="仿宋" w:eastAsia="仿宋" w:cs="仿宋"/>
                <w:sz w:val="28"/>
                <w:szCs w:val="28"/>
                <w:lang w:val="en-US" w:eastAsia="zh-CN"/>
              </w:rPr>
              <w:t>0个工作日</w:t>
            </w:r>
            <w:r>
              <w:rPr>
                <w:rFonts w:hint="eastAsia" w:ascii="仿宋" w:hAnsi="仿宋" w:eastAsia="仿宋" w:cs="仿宋"/>
                <w:sz w:val="28"/>
                <w:szCs w:val="28"/>
              </w:rPr>
              <w:t>内，支</w:t>
            </w:r>
            <w:bookmarkStart w:id="3" w:name="_GoBack"/>
            <w:bookmarkEnd w:id="3"/>
            <w:r>
              <w:rPr>
                <w:rFonts w:hint="eastAsia" w:ascii="仿宋" w:hAnsi="仿宋" w:eastAsia="仿宋" w:cs="仿宋"/>
                <w:sz w:val="28"/>
                <w:szCs w:val="28"/>
              </w:rPr>
              <w:t>付合同总金额的100.00%。</w:t>
            </w:r>
          </w:p>
          <w:p w14:paraId="42192C60">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 xml:space="preserve">乙方开户行：                  </w:t>
            </w:r>
          </w:p>
          <w:p w14:paraId="689E49B2">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 xml:space="preserve">乙方户  名：                  </w:t>
            </w:r>
          </w:p>
          <w:p w14:paraId="4B45B83E">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 xml:space="preserve">乙方账  号：                  </w:t>
            </w:r>
          </w:p>
        </w:tc>
      </w:tr>
      <w:tr w14:paraId="610594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1489175B">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4</w:t>
            </w:r>
          </w:p>
        </w:tc>
        <w:tc>
          <w:tcPr>
            <w:tcW w:w="7301" w:type="dxa"/>
            <w:vAlign w:val="center"/>
          </w:tcPr>
          <w:p w14:paraId="655878B5">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知识产权：</w:t>
            </w:r>
          </w:p>
          <w:p w14:paraId="360A282D">
            <w:pPr>
              <w:adjustRightInd w:val="0"/>
              <w:spacing w:line="500" w:lineRule="exact"/>
              <w:rPr>
                <w:rFonts w:hint="eastAsia" w:ascii="仿宋" w:hAnsi="仿宋" w:eastAsia="仿宋" w:cs="仿宋"/>
                <w:sz w:val="28"/>
                <w:szCs w:val="28"/>
              </w:rPr>
            </w:pPr>
            <w:r>
              <w:rPr>
                <w:rFonts w:hint="eastAsia" w:ascii="仿宋" w:hAnsi="仿宋" w:eastAsia="仿宋" w:cs="仿宋"/>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仿宋" w:hAnsi="仿宋" w:eastAsia="仿宋" w:cs="仿宋"/>
                <w:sz w:val="28"/>
                <w:szCs w:val="28"/>
                <w:lang w:val="en-US" w:eastAsia="zh-CN"/>
              </w:rPr>
              <w:t>承担</w:t>
            </w:r>
            <w:r>
              <w:rPr>
                <w:rFonts w:hint="eastAsia" w:ascii="仿宋" w:hAnsi="仿宋" w:eastAsia="仿宋" w:cs="仿宋"/>
                <w:sz w:val="28"/>
                <w:szCs w:val="28"/>
              </w:rPr>
              <w:t>。</w:t>
            </w:r>
          </w:p>
        </w:tc>
      </w:tr>
    </w:tbl>
    <w:p w14:paraId="23ABE280">
      <w:pPr>
        <w:adjustRightInd/>
        <w:spacing w:line="360" w:lineRule="auto"/>
        <w:rPr>
          <w:rFonts w:hint="eastAsia" w:ascii="仿宋" w:hAnsi="仿宋" w:eastAsia="仿宋" w:cs="仿宋"/>
          <w:sz w:val="28"/>
          <w:szCs w:val="28"/>
          <w:lang w:eastAsia="zh-Hans"/>
        </w:rPr>
      </w:pPr>
    </w:p>
    <w:p w14:paraId="0567A35B">
      <w:pPr>
        <w:adjustRightInd/>
        <w:spacing w:line="240" w:lineRule="auto"/>
        <w:rPr>
          <w:rFonts w:hint="eastAsia" w:ascii="仿宋" w:hAnsi="仿宋" w:eastAsia="仿宋" w:cs="仿宋"/>
          <w:sz w:val="28"/>
          <w:szCs w:val="28"/>
        </w:rPr>
      </w:pPr>
      <w:r>
        <w:rPr>
          <w:rFonts w:hint="eastAsia" w:ascii="仿宋" w:hAnsi="仿宋" w:eastAsia="仿宋" w:cs="仿宋"/>
          <w:sz w:val="28"/>
          <w:szCs w:val="28"/>
        </w:rPr>
        <w:br w:type="page"/>
      </w:r>
    </w:p>
    <w:p w14:paraId="1E4EA594">
      <w:pPr>
        <w:adjustRightInd/>
        <w:spacing w:line="240" w:lineRule="auto"/>
        <w:jc w:val="left"/>
        <w:rPr>
          <w:rFonts w:hint="eastAsia" w:ascii="仿宋" w:hAnsi="仿宋" w:eastAsia="仿宋" w:cs="仿宋"/>
          <w:b/>
          <w:bCs/>
          <w:sz w:val="28"/>
          <w:szCs w:val="28"/>
        </w:rPr>
      </w:pPr>
      <w:r>
        <w:rPr>
          <w:rFonts w:hint="eastAsia" w:ascii="仿宋" w:hAnsi="仿宋" w:eastAsia="仿宋" w:cs="仿宋"/>
          <w:b/>
          <w:bCs/>
          <w:sz w:val="28"/>
          <w:szCs w:val="28"/>
        </w:rPr>
        <w:t>政府采购合同                        合同编号：</w:t>
      </w:r>
    </w:p>
    <w:p w14:paraId="69193280">
      <w:pPr>
        <w:adjustRightInd/>
        <w:spacing w:line="240" w:lineRule="auto"/>
        <w:jc w:val="left"/>
        <w:rPr>
          <w:rFonts w:hint="eastAsia" w:ascii="仿宋" w:hAnsi="仿宋" w:eastAsia="仿宋" w:cs="仿宋"/>
          <w:b/>
          <w:bCs/>
          <w:sz w:val="28"/>
          <w:szCs w:val="28"/>
        </w:rPr>
      </w:pPr>
    </w:p>
    <w:p w14:paraId="4D4C4724">
      <w:pPr>
        <w:adjustRightInd/>
        <w:spacing w:line="240" w:lineRule="auto"/>
        <w:jc w:val="left"/>
        <w:rPr>
          <w:rFonts w:hint="eastAsia" w:ascii="仿宋" w:hAnsi="仿宋" w:eastAsia="仿宋" w:cs="仿宋"/>
          <w:b/>
          <w:bCs/>
          <w:sz w:val="28"/>
          <w:szCs w:val="28"/>
        </w:rPr>
      </w:pPr>
    </w:p>
    <w:p w14:paraId="473B5259">
      <w:pPr>
        <w:adjustRightInd/>
        <w:spacing w:line="240" w:lineRule="auto"/>
        <w:jc w:val="left"/>
        <w:rPr>
          <w:rFonts w:hint="eastAsia" w:ascii="仿宋" w:hAnsi="仿宋" w:eastAsia="仿宋" w:cs="仿宋"/>
          <w:sz w:val="28"/>
          <w:szCs w:val="28"/>
        </w:rPr>
      </w:pPr>
    </w:p>
    <w:p w14:paraId="3A3BBD1C">
      <w:pPr>
        <w:adjustRightInd/>
        <w:spacing w:line="240" w:lineRule="auto"/>
        <w:jc w:val="center"/>
        <w:rPr>
          <w:rFonts w:hint="eastAsia" w:ascii="仿宋" w:hAnsi="仿宋" w:eastAsia="仿宋" w:cs="仿宋"/>
          <w:b/>
          <w:bCs/>
          <w:sz w:val="44"/>
          <w:szCs w:val="44"/>
        </w:rPr>
      </w:pPr>
      <w:r>
        <w:rPr>
          <w:rFonts w:hint="eastAsia" w:ascii="仿宋" w:hAnsi="仿宋" w:eastAsia="仿宋" w:cs="仿宋"/>
          <w:b/>
          <w:bCs/>
          <w:sz w:val="44"/>
          <w:szCs w:val="44"/>
        </w:rPr>
        <w:t>采购项目</w:t>
      </w:r>
    </w:p>
    <w:p w14:paraId="1D8CCF4B">
      <w:pPr>
        <w:adjustRightInd/>
        <w:spacing w:line="240" w:lineRule="auto"/>
        <w:rPr>
          <w:rFonts w:hint="eastAsia" w:ascii="仿宋" w:hAnsi="仿宋" w:eastAsia="仿宋" w:cs="仿宋"/>
          <w:sz w:val="28"/>
          <w:szCs w:val="28"/>
        </w:rPr>
      </w:pPr>
    </w:p>
    <w:p w14:paraId="5AA3EB63">
      <w:pPr>
        <w:adjustRightInd/>
        <w:spacing w:line="240" w:lineRule="auto"/>
        <w:rPr>
          <w:rFonts w:hint="eastAsia" w:ascii="仿宋" w:hAnsi="仿宋" w:eastAsia="仿宋" w:cs="仿宋"/>
          <w:sz w:val="28"/>
          <w:szCs w:val="28"/>
        </w:rPr>
      </w:pPr>
    </w:p>
    <w:p w14:paraId="3619BBA7">
      <w:pPr>
        <w:adjustRightInd/>
        <w:spacing w:line="240" w:lineRule="auto"/>
        <w:jc w:val="left"/>
        <w:rPr>
          <w:rFonts w:hint="eastAsia" w:ascii="仿宋" w:hAnsi="仿宋" w:eastAsia="仿宋" w:cs="仿宋"/>
          <w:sz w:val="28"/>
          <w:szCs w:val="28"/>
        </w:rPr>
      </w:pPr>
    </w:p>
    <w:p w14:paraId="520D0B8D">
      <w:pPr>
        <w:adjustRightInd/>
        <w:spacing w:line="240" w:lineRule="auto"/>
        <w:jc w:val="left"/>
        <w:rPr>
          <w:rFonts w:hint="eastAsia" w:ascii="仿宋" w:hAnsi="仿宋" w:eastAsia="仿宋" w:cs="仿宋"/>
          <w:sz w:val="28"/>
          <w:szCs w:val="28"/>
        </w:rPr>
      </w:pPr>
    </w:p>
    <w:p w14:paraId="3F577AA4">
      <w:pPr>
        <w:adjustRightInd/>
        <w:spacing w:line="240" w:lineRule="auto"/>
        <w:rPr>
          <w:rFonts w:hint="eastAsia" w:ascii="仿宋" w:hAnsi="仿宋" w:eastAsia="仿宋" w:cs="仿宋"/>
          <w:sz w:val="28"/>
          <w:szCs w:val="28"/>
        </w:rPr>
      </w:pPr>
    </w:p>
    <w:p w14:paraId="624738FE">
      <w:pPr>
        <w:adjustRightInd/>
        <w:spacing w:line="240" w:lineRule="auto"/>
        <w:rPr>
          <w:rFonts w:hint="eastAsia" w:ascii="仿宋" w:hAnsi="仿宋" w:eastAsia="仿宋" w:cs="仿宋"/>
          <w:sz w:val="28"/>
          <w:szCs w:val="28"/>
        </w:rPr>
      </w:pPr>
    </w:p>
    <w:p w14:paraId="7FC49B69">
      <w:pPr>
        <w:adjustRightInd/>
        <w:spacing w:line="240" w:lineRule="auto"/>
        <w:jc w:val="center"/>
        <w:rPr>
          <w:rFonts w:hint="eastAsia" w:ascii="仿宋" w:hAnsi="仿宋" w:eastAsia="仿宋" w:cs="仿宋"/>
          <w:b/>
          <w:sz w:val="28"/>
          <w:szCs w:val="28"/>
        </w:rPr>
      </w:pPr>
    </w:p>
    <w:p w14:paraId="3354DBC6">
      <w:pPr>
        <w:adjustRightInd/>
        <w:spacing w:line="240" w:lineRule="auto"/>
        <w:rPr>
          <w:rFonts w:hint="eastAsia" w:ascii="仿宋" w:hAnsi="仿宋" w:eastAsia="仿宋" w:cs="仿宋"/>
          <w:b/>
          <w:sz w:val="28"/>
          <w:szCs w:val="28"/>
        </w:rPr>
      </w:pPr>
    </w:p>
    <w:p w14:paraId="4C5E33D8">
      <w:pPr>
        <w:adjustRightInd/>
        <w:spacing w:line="240" w:lineRule="auto"/>
        <w:jc w:val="center"/>
        <w:rPr>
          <w:rFonts w:hint="eastAsia" w:ascii="仿宋" w:hAnsi="仿宋" w:eastAsia="仿宋" w:cs="仿宋"/>
          <w:b/>
          <w:sz w:val="28"/>
          <w:szCs w:val="28"/>
        </w:rPr>
      </w:pPr>
    </w:p>
    <w:p w14:paraId="1B18CCC0">
      <w:pPr>
        <w:adjustRightInd/>
        <w:spacing w:line="240" w:lineRule="auto"/>
        <w:rPr>
          <w:rFonts w:hint="eastAsia" w:ascii="仿宋" w:hAnsi="仿宋" w:eastAsia="仿宋" w:cs="仿宋"/>
          <w:b/>
          <w:sz w:val="28"/>
          <w:szCs w:val="28"/>
        </w:rPr>
      </w:pPr>
    </w:p>
    <w:p w14:paraId="75249548">
      <w:pPr>
        <w:adjustRightInd/>
        <w:spacing w:before="156" w:beforeLines="50" w:line="360" w:lineRule="auto"/>
        <w:rPr>
          <w:rFonts w:hint="eastAsia" w:ascii="仿宋" w:hAnsi="仿宋" w:eastAsia="仿宋" w:cs="仿宋"/>
          <w:bCs/>
          <w:sz w:val="28"/>
          <w:szCs w:val="28"/>
        </w:rPr>
      </w:pPr>
    </w:p>
    <w:p w14:paraId="7C3793D3">
      <w:pPr>
        <w:adjustRightInd/>
        <w:spacing w:before="156" w:beforeLines="50" w:line="360" w:lineRule="auto"/>
        <w:ind w:firstLine="1386" w:firstLineChars="493"/>
        <w:jc w:val="left"/>
        <w:rPr>
          <w:rFonts w:hint="eastAsia" w:ascii="仿宋" w:hAnsi="仿宋" w:eastAsia="仿宋" w:cs="仿宋"/>
          <w:sz w:val="28"/>
          <w:szCs w:val="28"/>
          <w:u w:val="single"/>
        </w:rPr>
      </w:pPr>
      <w:r>
        <w:rPr>
          <w:rFonts w:hint="eastAsia" w:ascii="仿宋" w:hAnsi="仿宋" w:eastAsia="仿宋" w:cs="仿宋"/>
          <w:b/>
          <w:bCs/>
          <w:sz w:val="28"/>
          <w:szCs w:val="28"/>
        </w:rPr>
        <w:t>采购人：</w:t>
      </w:r>
    </w:p>
    <w:p w14:paraId="7A042573">
      <w:pPr>
        <w:adjustRightInd/>
        <w:spacing w:before="156" w:beforeLines="50" w:line="360" w:lineRule="auto"/>
        <w:ind w:firstLine="1386" w:firstLineChars="493"/>
        <w:jc w:val="left"/>
        <w:rPr>
          <w:rFonts w:hint="eastAsia" w:ascii="仿宋" w:hAnsi="仿宋" w:eastAsia="仿宋" w:cs="仿宋"/>
          <w:b/>
          <w:bCs/>
          <w:sz w:val="28"/>
          <w:szCs w:val="28"/>
        </w:rPr>
      </w:pPr>
      <w:r>
        <w:rPr>
          <w:rFonts w:hint="eastAsia" w:ascii="仿宋" w:hAnsi="仿宋" w:eastAsia="仿宋" w:cs="仿宋"/>
          <w:b/>
          <w:bCs/>
          <w:sz w:val="28"/>
          <w:szCs w:val="28"/>
        </w:rPr>
        <w:t>供应商：</w:t>
      </w:r>
    </w:p>
    <w:p w14:paraId="68992C1D">
      <w:pPr>
        <w:adjustRightInd/>
        <w:spacing w:line="240" w:lineRule="auto"/>
        <w:jc w:val="center"/>
        <w:rPr>
          <w:rFonts w:hint="eastAsia" w:ascii="仿宋" w:hAnsi="仿宋" w:eastAsia="仿宋" w:cs="仿宋"/>
          <w:sz w:val="28"/>
          <w:szCs w:val="28"/>
        </w:rPr>
      </w:pPr>
      <w:r>
        <w:rPr>
          <w:rFonts w:hint="eastAsia" w:ascii="仿宋" w:hAnsi="仿宋" w:eastAsia="仿宋" w:cs="仿宋"/>
          <w:b/>
          <w:bCs/>
          <w:sz w:val="28"/>
          <w:szCs w:val="28"/>
        </w:rPr>
        <w:t>二〇二</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年  月</w:t>
      </w:r>
      <w:r>
        <w:rPr>
          <w:rFonts w:hint="eastAsia" w:ascii="仿宋" w:hAnsi="仿宋" w:eastAsia="仿宋" w:cs="仿宋"/>
          <w:b/>
          <w:bCs/>
          <w:sz w:val="28"/>
          <w:szCs w:val="28"/>
        </w:rPr>
        <w:br w:type="page"/>
      </w:r>
    </w:p>
    <w:p w14:paraId="1F214FEF">
      <w:pPr>
        <w:adjustRightInd/>
        <w:spacing w:line="240" w:lineRule="auto"/>
        <w:jc w:val="center"/>
        <w:rPr>
          <w:rFonts w:hint="eastAsia" w:ascii="仿宋" w:hAnsi="仿宋" w:eastAsia="仿宋" w:cs="仿宋"/>
          <w:b/>
          <w:bCs/>
          <w:sz w:val="28"/>
          <w:szCs w:val="28"/>
        </w:rPr>
      </w:pPr>
      <w:r>
        <w:rPr>
          <w:rFonts w:hint="eastAsia" w:ascii="仿宋" w:hAnsi="仿宋" w:eastAsia="仿宋" w:cs="仿宋"/>
          <w:b/>
          <w:bCs/>
          <w:sz w:val="28"/>
          <w:szCs w:val="28"/>
        </w:rPr>
        <w:t>合同主要条款</w:t>
      </w:r>
    </w:p>
    <w:p w14:paraId="12F9A978">
      <w:pPr>
        <w:adjustRightInd w:val="0"/>
        <w:snapToGrid w:val="0"/>
        <w:spacing w:line="50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采购人（甲方）：</w:t>
      </w:r>
      <w:r>
        <w:rPr>
          <w:rFonts w:hint="eastAsia" w:ascii="仿宋" w:hAnsi="仿宋" w:eastAsia="仿宋" w:cs="仿宋"/>
          <w:b/>
          <w:sz w:val="28"/>
          <w:szCs w:val="28"/>
          <w:u w:val="single"/>
        </w:rPr>
        <w:t>陕西省交通运行监测中心</w:t>
      </w:r>
    </w:p>
    <w:p w14:paraId="168DF262">
      <w:pPr>
        <w:adjustRightInd w:val="0"/>
        <w:snapToGrid w:val="0"/>
        <w:spacing w:line="500" w:lineRule="exact"/>
        <w:ind w:firstLine="562" w:firstLineChars="200"/>
        <w:rPr>
          <w:rFonts w:hint="eastAsia" w:ascii="仿宋" w:hAnsi="仿宋" w:eastAsia="仿宋" w:cs="仿宋"/>
          <w:sz w:val="28"/>
          <w:szCs w:val="28"/>
          <w:u w:val="single"/>
        </w:rPr>
      </w:pPr>
      <w:r>
        <w:rPr>
          <w:rFonts w:hint="eastAsia" w:ascii="仿宋" w:hAnsi="仿宋" w:eastAsia="仿宋" w:cs="仿宋"/>
          <w:b/>
          <w:sz w:val="28"/>
          <w:szCs w:val="28"/>
        </w:rPr>
        <w:t>供应商（乙方）：</w:t>
      </w:r>
    </w:p>
    <w:p w14:paraId="1C02D2F6">
      <w:pPr>
        <w:adjustRightInd w:val="0"/>
        <w:snapToGrid w:val="0"/>
        <w:spacing w:line="50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根据《中华人民共和国民法典》及其他有关法律、法规，遵循平等、自愿、公平和诚信的原则，双方就下述项目范围与相关服务事项协商一致，订立本合同。</w:t>
      </w:r>
    </w:p>
    <w:p w14:paraId="1E31F3D7">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一、项目概况</w:t>
      </w:r>
    </w:p>
    <w:p w14:paraId="7870FB65">
      <w:pPr>
        <w:adjustRightInd w:val="0"/>
        <w:snapToGrid w:val="0"/>
        <w:spacing w:line="500" w:lineRule="exact"/>
        <w:ind w:firstLine="554" w:firstLineChars="198"/>
        <w:rPr>
          <w:rFonts w:hint="eastAsia" w:ascii="仿宋" w:hAnsi="仿宋" w:eastAsia="仿宋" w:cs="仿宋"/>
          <w:sz w:val="28"/>
          <w:szCs w:val="28"/>
          <w:highlight w:val="none"/>
        </w:rPr>
      </w:pPr>
      <w:r>
        <w:rPr>
          <w:rFonts w:hint="eastAsia" w:ascii="仿宋" w:hAnsi="仿宋" w:eastAsia="仿宋" w:cs="仿宋"/>
          <w:sz w:val="28"/>
          <w:szCs w:val="28"/>
        </w:rPr>
        <w:t>1.项目名</w:t>
      </w:r>
      <w:r>
        <w:rPr>
          <w:rFonts w:hint="eastAsia" w:ascii="仿宋" w:hAnsi="仿宋" w:eastAsia="仿宋" w:cs="仿宋"/>
          <w:sz w:val="28"/>
          <w:szCs w:val="28"/>
          <w:highlight w:val="none"/>
        </w:rPr>
        <w:t>称：</w:t>
      </w:r>
      <w:r>
        <w:rPr>
          <w:rFonts w:hint="eastAsia" w:ascii="仿宋" w:hAnsi="仿宋" w:eastAsia="仿宋" w:cs="仿宋"/>
          <w:sz w:val="28"/>
          <w:szCs w:val="28"/>
          <w:highlight w:val="none"/>
          <w:u w:val="single"/>
          <w:lang w:eastAsia="zh-CN"/>
        </w:rPr>
        <w:t>厅政务办公系统维护</w:t>
      </w:r>
      <w:r>
        <w:rPr>
          <w:rFonts w:hint="eastAsia" w:ascii="仿宋" w:hAnsi="仿宋" w:eastAsia="仿宋" w:cs="仿宋"/>
          <w:sz w:val="28"/>
          <w:szCs w:val="28"/>
          <w:highlight w:val="none"/>
        </w:rPr>
        <w:t>；</w:t>
      </w:r>
    </w:p>
    <w:p w14:paraId="0581E706">
      <w:pPr>
        <w:adjustRightInd w:val="0"/>
        <w:snapToGrid w:val="0"/>
        <w:spacing w:line="500" w:lineRule="exact"/>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2.项目地点：</w:t>
      </w:r>
      <w:r>
        <w:rPr>
          <w:rFonts w:hint="eastAsia" w:ascii="仿宋" w:hAnsi="仿宋" w:eastAsia="仿宋" w:cs="仿宋"/>
          <w:sz w:val="28"/>
          <w:szCs w:val="28"/>
          <w:highlight w:val="none"/>
          <w:u w:val="single"/>
        </w:rPr>
        <w:t>陕西省西安市</w:t>
      </w:r>
      <w:r>
        <w:rPr>
          <w:rFonts w:hint="eastAsia" w:ascii="仿宋" w:hAnsi="仿宋" w:eastAsia="仿宋" w:cs="仿宋"/>
          <w:sz w:val="28"/>
          <w:szCs w:val="28"/>
          <w:highlight w:val="none"/>
          <w:u w:val="single"/>
          <w:lang w:val="en-US" w:eastAsia="zh-CN"/>
        </w:rPr>
        <w:t>甲方指定地点</w:t>
      </w:r>
      <w:r>
        <w:rPr>
          <w:rFonts w:hint="eastAsia" w:ascii="仿宋" w:hAnsi="仿宋" w:eastAsia="仿宋" w:cs="仿宋"/>
          <w:sz w:val="28"/>
          <w:szCs w:val="28"/>
          <w:highlight w:val="none"/>
          <w:u w:val="single"/>
        </w:rPr>
        <w:t>。</w:t>
      </w:r>
    </w:p>
    <w:p w14:paraId="125BCB64">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二、组成本合同的文件</w:t>
      </w:r>
    </w:p>
    <w:p w14:paraId="431AB36E">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1.中标通知书（成交通知书）、政府采购招投标文件、澄清函等文件；</w:t>
      </w:r>
    </w:p>
    <w:p w14:paraId="312803CC">
      <w:pPr>
        <w:adjustRightInd w:val="0"/>
        <w:snapToGrid w:val="0"/>
        <w:spacing w:line="500" w:lineRule="exact"/>
        <w:ind w:firstLine="554" w:firstLineChars="198"/>
        <w:rPr>
          <w:rFonts w:hint="eastAsia" w:ascii="仿宋" w:hAnsi="仿宋" w:eastAsia="仿宋" w:cs="仿宋"/>
          <w:sz w:val="28"/>
          <w:szCs w:val="28"/>
        </w:rPr>
      </w:pPr>
      <w:r>
        <w:rPr>
          <w:rFonts w:hint="eastAsia" w:ascii="仿宋" w:hAnsi="仿宋" w:eastAsia="仿宋" w:cs="仿宋"/>
          <w:sz w:val="28"/>
          <w:szCs w:val="28"/>
        </w:rPr>
        <w:t>2.本合同签订后，双方依法签订的补充协议。</w:t>
      </w:r>
    </w:p>
    <w:p w14:paraId="3C4927DC">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三、合同金额</w:t>
      </w:r>
    </w:p>
    <w:p w14:paraId="5E80D218">
      <w:pPr>
        <w:adjustRightInd w:val="0"/>
        <w:snapToGrid w:val="0"/>
        <w:spacing w:line="500" w:lineRule="exact"/>
        <w:ind w:firstLine="554" w:firstLineChars="198"/>
        <w:rPr>
          <w:rFonts w:hint="eastAsia" w:ascii="仿宋" w:hAnsi="仿宋" w:eastAsia="仿宋" w:cs="仿宋"/>
          <w:sz w:val="28"/>
          <w:szCs w:val="28"/>
        </w:rPr>
      </w:pPr>
      <w:r>
        <w:rPr>
          <w:rFonts w:hint="eastAsia" w:ascii="仿宋" w:hAnsi="仿宋" w:eastAsia="仿宋" w:cs="仿宋"/>
          <w:sz w:val="28"/>
          <w:szCs w:val="28"/>
        </w:rPr>
        <w:t>合同金额（大写）：（¥</w:t>
      </w:r>
      <w:r>
        <w:rPr>
          <w:rFonts w:hint="eastAsia" w:ascii="仿宋" w:hAnsi="仿宋" w:eastAsia="仿宋" w:cs="仿宋"/>
          <w:sz w:val="28"/>
          <w:szCs w:val="28"/>
          <w:u w:val="single"/>
        </w:rPr>
        <w:t xml:space="preserve">            元</w:t>
      </w:r>
      <w:r>
        <w:rPr>
          <w:rFonts w:hint="eastAsia" w:ascii="仿宋" w:hAnsi="仿宋" w:eastAsia="仿宋" w:cs="仿宋"/>
          <w:sz w:val="28"/>
          <w:szCs w:val="28"/>
        </w:rPr>
        <w:t>）。</w:t>
      </w:r>
    </w:p>
    <w:p w14:paraId="17CBA046">
      <w:pPr>
        <w:adjustRightInd w:val="0"/>
        <w:snapToGrid w:val="0"/>
        <w:spacing w:line="500" w:lineRule="exact"/>
        <w:ind w:firstLine="554" w:firstLineChars="198"/>
        <w:rPr>
          <w:rFonts w:hint="eastAsia" w:ascii="仿宋" w:hAnsi="仿宋" w:eastAsia="仿宋" w:cs="仿宋"/>
          <w:sz w:val="28"/>
          <w:szCs w:val="28"/>
        </w:rPr>
      </w:pPr>
      <w:r>
        <w:rPr>
          <w:rFonts w:hint="eastAsia" w:ascii="仿宋" w:hAnsi="仿宋" w:eastAsia="仿宋" w:cs="仿宋"/>
          <w:sz w:val="28"/>
          <w:szCs w:val="28"/>
        </w:rPr>
        <w:t>合同价格为含税价，乙方提供服务所发生的一切费用等都已包含于合同价款中。</w:t>
      </w:r>
    </w:p>
    <w:p w14:paraId="355D16C2">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四、付款方式</w:t>
      </w:r>
    </w:p>
    <w:p w14:paraId="32B4D2A4">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1.银行转账。</w:t>
      </w:r>
    </w:p>
    <w:p w14:paraId="16A0C4BB">
      <w:pPr>
        <w:adjustRightInd/>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2.合同签订后</w:t>
      </w:r>
      <w:r>
        <w:rPr>
          <w:rFonts w:hint="eastAsia" w:ascii="仿宋" w:hAnsi="仿宋" w:eastAsia="仿宋" w:cs="仿宋"/>
          <w:sz w:val="28"/>
          <w:szCs w:val="28"/>
          <w:lang w:val="en-US" w:eastAsia="zh-CN"/>
        </w:rPr>
        <w:t>乙方</w:t>
      </w:r>
      <w:r>
        <w:rPr>
          <w:rFonts w:hint="eastAsia" w:ascii="仿宋" w:hAnsi="仿宋" w:eastAsia="仿宋" w:cs="仿宋"/>
          <w:sz w:val="28"/>
          <w:szCs w:val="28"/>
        </w:rPr>
        <w:t>必须提供相应发票给</w:t>
      </w:r>
      <w:r>
        <w:rPr>
          <w:rFonts w:hint="eastAsia" w:ascii="仿宋" w:hAnsi="仿宋" w:eastAsia="仿宋" w:cs="仿宋"/>
          <w:sz w:val="28"/>
          <w:szCs w:val="28"/>
          <w:lang w:val="en-US" w:eastAsia="zh-CN"/>
        </w:rPr>
        <w:t>甲方</w:t>
      </w:r>
      <w:r>
        <w:rPr>
          <w:rFonts w:hint="eastAsia" w:ascii="仿宋" w:hAnsi="仿宋" w:eastAsia="仿宋" w:cs="仿宋"/>
          <w:sz w:val="28"/>
          <w:szCs w:val="28"/>
        </w:rPr>
        <w:t>，达到付款条件起1</w:t>
      </w:r>
      <w:r>
        <w:rPr>
          <w:rFonts w:hint="eastAsia" w:ascii="仿宋" w:hAnsi="仿宋" w:eastAsia="仿宋" w:cs="仿宋"/>
          <w:sz w:val="28"/>
          <w:szCs w:val="28"/>
          <w:lang w:val="en-US" w:eastAsia="zh-CN"/>
        </w:rPr>
        <w:t>0个工作日</w:t>
      </w:r>
      <w:r>
        <w:rPr>
          <w:rFonts w:hint="eastAsia" w:ascii="仿宋" w:hAnsi="仿宋" w:eastAsia="仿宋" w:cs="仿宋"/>
          <w:sz w:val="28"/>
          <w:szCs w:val="28"/>
        </w:rPr>
        <w:t>内，支付合同总金额的100.00%。</w:t>
      </w:r>
    </w:p>
    <w:p w14:paraId="666E56B3">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乙方开户行：</w:t>
      </w:r>
    </w:p>
    <w:p w14:paraId="50A664AB">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户名：</w:t>
      </w:r>
    </w:p>
    <w:p w14:paraId="16F2758A">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账号：</w:t>
      </w:r>
    </w:p>
    <w:p w14:paraId="7027EEAE">
      <w:pPr>
        <w:numPr>
          <w:ilvl w:val="0"/>
          <w:numId w:val="1"/>
        </w:numPr>
        <w:adjustRightInd w:val="0"/>
        <w:snapToGrid w:val="0"/>
        <w:spacing w:line="500" w:lineRule="exact"/>
        <w:rPr>
          <w:rFonts w:hint="eastAsia" w:ascii="仿宋" w:hAnsi="仿宋" w:eastAsia="仿宋" w:cs="仿宋"/>
          <w:b/>
          <w:sz w:val="28"/>
          <w:szCs w:val="28"/>
        </w:rPr>
      </w:pPr>
      <w:r>
        <w:rPr>
          <w:rFonts w:hint="eastAsia" w:ascii="仿宋" w:hAnsi="仿宋" w:eastAsia="仿宋" w:cs="仿宋"/>
          <w:b/>
          <w:sz w:val="28"/>
          <w:szCs w:val="28"/>
        </w:rPr>
        <w:t>服务期限：</w:t>
      </w:r>
    </w:p>
    <w:p w14:paraId="3BCB4B5A">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2026年6月26日至2027年6月25日。</w:t>
      </w:r>
    </w:p>
    <w:p w14:paraId="5AC3E822">
      <w:pPr>
        <w:tabs>
          <w:tab w:val="left" w:pos="720"/>
          <w:tab w:val="left" w:pos="3780"/>
          <w:tab w:val="left" w:pos="6480"/>
        </w:tabs>
        <w:autoSpaceDE w:val="0"/>
        <w:autoSpaceDN w:val="0"/>
        <w:adjustRightInd/>
        <w:spacing w:line="500" w:lineRule="exact"/>
        <w:jc w:val="left"/>
        <w:rPr>
          <w:rFonts w:hint="eastAsia" w:ascii="仿宋" w:hAnsi="仿宋" w:eastAsia="仿宋" w:cs="仿宋"/>
          <w:b/>
          <w:sz w:val="28"/>
          <w:szCs w:val="28"/>
        </w:rPr>
      </w:pPr>
      <w:r>
        <w:rPr>
          <w:rFonts w:hint="eastAsia" w:ascii="仿宋" w:hAnsi="仿宋" w:eastAsia="仿宋" w:cs="仿宋"/>
          <w:b/>
          <w:sz w:val="28"/>
          <w:szCs w:val="28"/>
        </w:rPr>
        <w:t>六、内容及要求：</w:t>
      </w:r>
    </w:p>
    <w:p w14:paraId="54EAB73D">
      <w:pPr>
        <w:pageBreakBefore w:val="0"/>
        <w:kinsoku/>
        <w:wordWrap/>
        <w:overflowPunct/>
        <w:topLinePunct w:val="0"/>
        <w:autoSpaceDE/>
        <w:autoSpaceDN/>
        <w:bidi w:val="0"/>
        <w:snapToGrid/>
        <w:spacing w:line="500" w:lineRule="exact"/>
        <w:ind w:firstLine="560" w:firstLineChars="200"/>
        <w:jc w:val="left"/>
        <w:textAlignment w:val="auto"/>
        <w:rPr>
          <w:rFonts w:hint="eastAsia" w:ascii="仿宋" w:hAnsi="仿宋" w:eastAsia="仿宋" w:cs="仿宋"/>
          <w:sz w:val="28"/>
          <w:szCs w:val="28"/>
          <w:highlight w:val="none"/>
          <w:lang w:val="en-US" w:eastAsia="zh-Hans" w:bidi="ar-SA"/>
        </w:rPr>
      </w:pPr>
      <w:r>
        <w:rPr>
          <w:rFonts w:hint="eastAsia" w:ascii="仿宋" w:hAnsi="仿宋" w:eastAsia="仿宋" w:cs="仿宋"/>
          <w:sz w:val="28"/>
          <w:szCs w:val="28"/>
          <w:highlight w:val="none"/>
          <w:lang w:val="en-US" w:eastAsia="zh-Hans" w:bidi="ar-SA"/>
        </w:rPr>
        <w:t>（在合同签订时，按照项目政府采购招投标文件要求及响应内容明确）</w:t>
      </w:r>
    </w:p>
    <w:p w14:paraId="51312CA4">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（一）技术要求</w:t>
      </w:r>
    </w:p>
    <w:p w14:paraId="2DD68196">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1.1政务办公系统维护服务</w:t>
      </w:r>
    </w:p>
    <w:p w14:paraId="79D23ED1">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(1)政务办公系统服务方式</w:t>
      </w:r>
    </w:p>
    <w:p w14:paraId="6E25F27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驻场服务支持：指定两名专人负责政务办公系统正常运行，提供5×8小时现场支持，7×24小时技术支持，售后人员在接到故障信息后应立即做出对应处理，协助系统管理工作人员排除故障、恢复系统运行，重大故障问题应在排除故障后1个工作日内将故障原因、解决方法、处理结果以书面形式上报政务办公系统管理人员。</w:t>
      </w:r>
    </w:p>
    <w:p w14:paraId="70C79174">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(2)政务办公系统维护内容</w:t>
      </w:r>
    </w:p>
    <w:p w14:paraId="446A8924">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系统日常维护工作：</w:t>
      </w:r>
      <w:r>
        <w:rPr>
          <w:rFonts w:hint="eastAsia" w:ascii="仿宋" w:hAnsi="仿宋" w:eastAsia="仿宋" w:cs="仿宋"/>
          <w:b w:val="0"/>
          <w:bCs w:val="0"/>
          <w:sz w:val="28"/>
          <w:szCs w:val="28"/>
          <w:highlight w:val="none"/>
          <w:lang w:eastAsia="zh-CN"/>
        </w:rPr>
        <w:t>应用层面，根据用户提出需求，实现包括但不限于搭建新的角色、用户等功能；根据用户需求从数据库、文件层次实现包括但不限于数据、文件修改等功能；根据所了解到的客户系统情况、客户使用情况及需求情况，给予一定的优化建议，例如流程优化建议、系统功能利用建议、其他用户的系统利用办法建议等。</w:t>
      </w:r>
    </w:p>
    <w:p w14:paraId="4DD95A2B">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系统流程新增：</w:t>
      </w:r>
      <w:r>
        <w:rPr>
          <w:rFonts w:hint="eastAsia" w:ascii="仿宋" w:hAnsi="仿宋" w:eastAsia="仿宋" w:cs="仿宋"/>
          <w:sz w:val="28"/>
          <w:szCs w:val="28"/>
          <w:highlight w:val="none"/>
          <w:lang w:eastAsia="zh-CN"/>
        </w:rPr>
        <w:t>根据用户需求，在规定时间内做好流程新增工作。</w:t>
      </w:r>
    </w:p>
    <w:p w14:paraId="2383224C">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系统功能调整：</w:t>
      </w:r>
      <w:r>
        <w:rPr>
          <w:rFonts w:hint="eastAsia" w:ascii="仿宋" w:hAnsi="仿宋" w:eastAsia="仿宋" w:cs="仿宋"/>
          <w:b w:val="0"/>
          <w:bCs w:val="0"/>
          <w:sz w:val="28"/>
          <w:szCs w:val="28"/>
          <w:highlight w:val="none"/>
          <w:lang w:val="en-US" w:eastAsia="zh-CN"/>
        </w:rPr>
        <w:t>对系统现有所有功能进行维护、调整，</w:t>
      </w:r>
      <w:r>
        <w:rPr>
          <w:rFonts w:hint="eastAsia" w:ascii="仿宋" w:hAnsi="仿宋" w:eastAsia="仿宋" w:cs="仿宋"/>
          <w:b w:val="0"/>
          <w:bCs w:val="0"/>
          <w:sz w:val="28"/>
          <w:szCs w:val="28"/>
          <w:highlight w:val="none"/>
          <w:lang w:eastAsia="zh-CN"/>
        </w:rPr>
        <w:t>在使用中如果需要对政务办公系统的功能或性能进行大幅度修改的，需将具体的改动内容以电子邮件形式发送给政务办公系统管理人员。需要根据使用中对政务办公系统提出的修改意见及时进行处理，对政务办公系统现有的流程及表单要持续优化，进一步提高现有流程及表单的反应速度。要进一步完善政务办公系统在日常使用中出现的小Bug</w:t>
      </w:r>
      <w:r>
        <w:rPr>
          <w:rFonts w:hint="eastAsia" w:ascii="仿宋" w:hAnsi="仿宋" w:eastAsia="仿宋" w:cs="仿宋"/>
          <w:sz w:val="28"/>
          <w:szCs w:val="28"/>
          <w:highlight w:val="none"/>
          <w:lang w:eastAsia="zh-CN"/>
        </w:rPr>
        <w:t>。</w:t>
      </w:r>
    </w:p>
    <w:p w14:paraId="5C417042">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系统数据备份：</w:t>
      </w:r>
      <w:r>
        <w:rPr>
          <w:rFonts w:hint="eastAsia" w:ascii="仿宋" w:hAnsi="仿宋" w:eastAsia="仿宋" w:cs="仿宋"/>
          <w:b w:val="0"/>
          <w:bCs w:val="0"/>
          <w:sz w:val="28"/>
          <w:szCs w:val="28"/>
          <w:highlight w:val="none"/>
          <w:lang w:val="en-US" w:eastAsia="zh-CN"/>
        </w:rPr>
        <w:t>备有应急预案以应对攻击和病毒入侵、系统文件遭到破坏删除或数据库崩溃等情况。一旦服务器出现问题会启动灾难恢复机制，最大程度的恢复系统；</w:t>
      </w:r>
      <w:r>
        <w:rPr>
          <w:rFonts w:hint="eastAsia" w:ascii="仿宋" w:hAnsi="仿宋" w:eastAsia="仿宋" w:cs="仿宋"/>
          <w:b w:val="0"/>
          <w:bCs w:val="0"/>
          <w:sz w:val="28"/>
          <w:szCs w:val="28"/>
          <w:highlight w:val="none"/>
          <w:lang w:eastAsia="zh-CN"/>
        </w:rPr>
        <w:t>保证数据的完整性。做好政务办公系统和其他业务系统的集成工作，做好针对其他业务系统的数据导入导出的对接维护工作。</w:t>
      </w:r>
    </w:p>
    <w:p w14:paraId="27CE0976">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补丁包更新：</w:t>
      </w:r>
      <w:r>
        <w:rPr>
          <w:rFonts w:hint="eastAsia" w:ascii="仿宋" w:hAnsi="仿宋" w:eastAsia="仿宋" w:cs="仿宋"/>
          <w:b w:val="0"/>
          <w:bCs w:val="0"/>
          <w:sz w:val="28"/>
          <w:szCs w:val="28"/>
          <w:highlight w:val="none"/>
          <w:lang w:val="en-US" w:eastAsia="zh-CN"/>
        </w:rPr>
        <w:t>针对供应商推送的供应商系统的（包括手机、即时通讯等）安全加固包、新增及补充功能更新包等，供应商需及时为用户提供升级服务</w:t>
      </w:r>
      <w:r>
        <w:rPr>
          <w:rFonts w:hint="eastAsia" w:ascii="仿宋" w:hAnsi="仿宋" w:eastAsia="仿宋" w:cs="仿宋"/>
          <w:b w:val="0"/>
          <w:bCs w:val="0"/>
          <w:sz w:val="28"/>
          <w:szCs w:val="28"/>
          <w:highlight w:val="none"/>
          <w:lang w:eastAsia="zh-CN"/>
        </w:rPr>
        <w:t>。</w:t>
      </w:r>
    </w:p>
    <w:p w14:paraId="436DA264">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巡检服务：</w:t>
      </w:r>
      <w:r>
        <w:rPr>
          <w:rFonts w:hint="eastAsia" w:ascii="仿宋" w:hAnsi="仿宋" w:eastAsia="仿宋" w:cs="仿宋"/>
          <w:b w:val="0"/>
          <w:bCs w:val="0"/>
          <w:sz w:val="28"/>
          <w:szCs w:val="28"/>
          <w:highlight w:val="none"/>
          <w:lang w:eastAsia="zh-CN"/>
        </w:rPr>
        <w:t>运维期内按季度提供系统整体运行测评及安全测评，并提供详细报告。查出漏洞后，及时检查、修复相关页面漏洞，出具详细修复报告。</w:t>
      </w:r>
    </w:p>
    <w:p w14:paraId="12D8FF86">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(3)政务办公系统维护范围</w:t>
      </w:r>
    </w:p>
    <w:p w14:paraId="45C474E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维护范围如下：陕西省交通运输厅、陕西省公路局、陕西省道路运输事业发展中心、陕西省水路交通事业发展中心、陕西省高速公路收费中心、陕西省交通运输厅利用外资中心、陕西省交通医院、陕西省交通运输工程质量监测鉴定站、陕西省交通运输工程造价事务中心、陕西省交通运输技术服务中心、陕西省交通运输发展研究中心、陕西省交通运行监测中心、陕西省交通运输厅宣传教育中心、陕西省交通职业能力建设中心、陕西省交通运输厅港口服务中心、陕西省高速公路路政执法总队、陕西公路隧道博物馆，以上已并入陕西省交通运输厅政务办公系统的单位。</w:t>
      </w:r>
    </w:p>
    <w:p w14:paraId="75C8FDA9">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(4)系统迁移</w:t>
      </w:r>
    </w:p>
    <w:p w14:paraId="45822C2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由于客观及外部环境发生变化时，需要对系统迁移的，要做好系统迁移工作，包括应用系统迁移和数据库迁移。同时要负责新环境中政务办公系统的调试及试运行工作，确保政务办公系统安全、正常运行。</w:t>
      </w:r>
    </w:p>
    <w:p w14:paraId="68DB8D23">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1.2移动互联网链路</w:t>
      </w:r>
    </w:p>
    <w:p w14:paraId="6A20C645">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本次采购共40条4G链路；提供安全保密、成熟可靠、监管有力、方便快捷的技术和服务保障体系；每条每月不少于5G流量；4G无线上网数据卡，全部关闭其语音、短信等非数据业务。</w:t>
      </w:r>
    </w:p>
    <w:p w14:paraId="26CC26CC">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1.3 WPS Office 授权</w:t>
      </w:r>
    </w:p>
    <w:p w14:paraId="611920F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提供WPS Office PC版正版授权（WPS Office 2019 专业版 序列号为：AXDRG33F3BFUDK3XPXEHDDQWC）1年。</w:t>
      </w:r>
    </w:p>
    <w:p w14:paraId="2DDB0B08">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lang w:eastAsia="zh-CN"/>
        </w:rPr>
        <w:t>）服务要求</w:t>
      </w:r>
    </w:p>
    <w:p w14:paraId="097002A3">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2.1基本售后服务内容</w:t>
      </w:r>
    </w:p>
    <w:tbl>
      <w:tblPr>
        <w:tblStyle w:val="4"/>
        <w:tblpPr w:leftFromText="180" w:rightFromText="180" w:vertAnchor="text" w:horzAnchor="page" w:tblpX="1766" w:tblpY="4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7"/>
        <w:gridCol w:w="6622"/>
      </w:tblGrid>
      <w:tr w14:paraId="1B9C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897" w:type="dxa"/>
            <w:vAlign w:val="center"/>
          </w:tcPr>
          <w:p w14:paraId="1F0C01C9">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24小时在线知识库</w:t>
            </w:r>
          </w:p>
        </w:tc>
        <w:tc>
          <w:tcPr>
            <w:tcW w:w="6622" w:type="dxa"/>
            <w:vAlign w:val="center"/>
          </w:tcPr>
          <w:p w14:paraId="496D6E7B">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提供完整的项目知识、案例知识、应用推荐等知识库。</w:t>
            </w:r>
          </w:p>
        </w:tc>
      </w:tr>
      <w:tr w14:paraId="3967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7" w:type="dxa"/>
            <w:vAlign w:val="center"/>
          </w:tcPr>
          <w:p w14:paraId="33A17F8D">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驻场服务支持</w:t>
            </w:r>
          </w:p>
        </w:tc>
        <w:tc>
          <w:tcPr>
            <w:tcW w:w="6622" w:type="dxa"/>
            <w:vAlign w:val="center"/>
          </w:tcPr>
          <w:p w14:paraId="67CA05A5">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承诺提供5×8小时双岗驻场运维服务。</w:t>
            </w:r>
          </w:p>
        </w:tc>
      </w:tr>
      <w:tr w14:paraId="39E7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897" w:type="dxa"/>
            <w:vMerge w:val="restart"/>
            <w:vAlign w:val="center"/>
          </w:tcPr>
          <w:p w14:paraId="61BFD54D">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系统故障和问题解决</w:t>
            </w:r>
          </w:p>
        </w:tc>
        <w:tc>
          <w:tcPr>
            <w:tcW w:w="6622" w:type="dxa"/>
            <w:vAlign w:val="center"/>
          </w:tcPr>
          <w:p w14:paraId="63CB19DB">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系统BUG，并进行打补丁包发布。</w:t>
            </w:r>
          </w:p>
        </w:tc>
      </w:tr>
      <w:tr w14:paraId="40EE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97" w:type="dxa"/>
            <w:vMerge w:val="continue"/>
            <w:vAlign w:val="center"/>
          </w:tcPr>
          <w:p w14:paraId="672F84AA">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1931C35D">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系统发生故障，日常办公不能正常开展。</w:t>
            </w:r>
          </w:p>
        </w:tc>
      </w:tr>
      <w:tr w14:paraId="0630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897" w:type="dxa"/>
            <w:vMerge w:val="continue"/>
            <w:vAlign w:val="center"/>
          </w:tcPr>
          <w:p w14:paraId="549F80A4">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2BB4D1F5">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重要功能无法使用，影响正常使用。</w:t>
            </w:r>
          </w:p>
        </w:tc>
      </w:tr>
      <w:tr w14:paraId="49B29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97" w:type="dxa"/>
            <w:vMerge w:val="continue"/>
            <w:vAlign w:val="center"/>
          </w:tcPr>
          <w:p w14:paraId="21ECB499">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25932833">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非重要功能无法使用，系统能继续运行并进行重要功能操作。</w:t>
            </w:r>
          </w:p>
        </w:tc>
      </w:tr>
      <w:tr w14:paraId="110E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897" w:type="dxa"/>
            <w:vMerge w:val="continue"/>
            <w:vAlign w:val="center"/>
          </w:tcPr>
          <w:p w14:paraId="1D4E89AB">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5BBC68D6">
            <w:pPr>
              <w:pStyle w:val="2"/>
              <w:numPr>
                <w:ilvl w:val="0"/>
                <w:numId w:val="0"/>
              </w:numPr>
              <w:ind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响应方式：电话、邮件、现场服务、客户环境模拟。</w:t>
            </w:r>
          </w:p>
          <w:p w14:paraId="5C5727D3">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注：采购人承诺可提供剔除业务及机密数据的数据环境。</w:t>
            </w:r>
          </w:p>
        </w:tc>
      </w:tr>
      <w:tr w14:paraId="5350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897" w:type="dxa"/>
            <w:vAlign w:val="center"/>
          </w:tcPr>
          <w:p w14:paraId="5AC81C20">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故障预防文档</w:t>
            </w:r>
          </w:p>
        </w:tc>
        <w:tc>
          <w:tcPr>
            <w:tcW w:w="6622" w:type="dxa"/>
            <w:vAlign w:val="center"/>
          </w:tcPr>
          <w:p w14:paraId="23B4EFD9">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就OA系统可能出现的问题，以文档形式提出解决与预防方案，该日常维护文档包括：浏览器、电脑软件配置指导手册以及应用、数据库服务器维护文档。</w:t>
            </w:r>
          </w:p>
        </w:tc>
      </w:tr>
      <w:tr w14:paraId="412C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8" w:hRule="atLeast"/>
        </w:trPr>
        <w:tc>
          <w:tcPr>
            <w:tcW w:w="1897" w:type="dxa"/>
            <w:vAlign w:val="center"/>
          </w:tcPr>
          <w:p w14:paraId="439443D5">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日常功能、数据维护</w:t>
            </w:r>
          </w:p>
        </w:tc>
        <w:tc>
          <w:tcPr>
            <w:tcW w:w="6622" w:type="dxa"/>
            <w:vAlign w:val="center"/>
          </w:tcPr>
          <w:p w14:paraId="0D29A97C">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针对用户提出特殊要求，实现包括但不限于搭建新的角色、用户等功能；数据维护是指根据用户需求从数据库、文件层次实现包括但不限于数据、文件修改等功能。</w:t>
            </w:r>
          </w:p>
        </w:tc>
      </w:tr>
      <w:tr w14:paraId="6ED9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7" w:type="dxa"/>
            <w:vMerge w:val="restart"/>
            <w:vAlign w:val="center"/>
          </w:tcPr>
          <w:p w14:paraId="7D8BE9B8">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系统功能调整</w:t>
            </w:r>
          </w:p>
        </w:tc>
        <w:tc>
          <w:tcPr>
            <w:tcW w:w="6622" w:type="dxa"/>
            <w:vAlign w:val="center"/>
          </w:tcPr>
          <w:p w14:paraId="43096874">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信息门户变动及版面变化。</w:t>
            </w:r>
          </w:p>
        </w:tc>
      </w:tr>
      <w:tr w14:paraId="0AA3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97" w:type="dxa"/>
            <w:vMerge w:val="continue"/>
            <w:vAlign w:val="center"/>
          </w:tcPr>
          <w:p w14:paraId="00A8DCC3">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36C9F6DE">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原有工作流程变动。</w:t>
            </w:r>
          </w:p>
        </w:tc>
      </w:tr>
      <w:tr w14:paraId="57BF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97" w:type="dxa"/>
            <w:vMerge w:val="continue"/>
            <w:vAlign w:val="center"/>
          </w:tcPr>
          <w:p w14:paraId="5D06C583">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p>
        </w:tc>
        <w:tc>
          <w:tcPr>
            <w:tcW w:w="6622" w:type="dxa"/>
            <w:vAlign w:val="center"/>
          </w:tcPr>
          <w:p w14:paraId="0265FCF4">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新增加工作流程。</w:t>
            </w:r>
          </w:p>
        </w:tc>
      </w:tr>
      <w:tr w14:paraId="1E97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97" w:type="dxa"/>
            <w:vAlign w:val="center"/>
          </w:tcPr>
          <w:p w14:paraId="56EE9C8C">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补丁包更新</w:t>
            </w:r>
          </w:p>
        </w:tc>
        <w:tc>
          <w:tcPr>
            <w:tcW w:w="6622" w:type="dxa"/>
            <w:vAlign w:val="center"/>
          </w:tcPr>
          <w:p w14:paraId="25D184C7">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如实际使用过程中牵扯到问题解决补丁包更新的,可免费更新。</w:t>
            </w:r>
          </w:p>
        </w:tc>
      </w:tr>
      <w:tr w14:paraId="5718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897" w:type="dxa"/>
            <w:vAlign w:val="center"/>
          </w:tcPr>
          <w:p w14:paraId="5ED67DE8">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系统重装迁移</w:t>
            </w:r>
          </w:p>
        </w:tc>
        <w:tc>
          <w:tcPr>
            <w:tcW w:w="6622" w:type="dxa"/>
            <w:vAlign w:val="center"/>
          </w:tcPr>
          <w:p w14:paraId="4C60D32A">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根据采购人需求，进行环境搭建、重建、数据迁移、系统恢复。</w:t>
            </w:r>
          </w:p>
        </w:tc>
      </w:tr>
      <w:tr w14:paraId="2A52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897" w:type="dxa"/>
            <w:vAlign w:val="center"/>
          </w:tcPr>
          <w:p w14:paraId="7773529F">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系统问题受理</w:t>
            </w:r>
          </w:p>
        </w:tc>
        <w:tc>
          <w:tcPr>
            <w:tcW w:w="6622" w:type="dxa"/>
            <w:vAlign w:val="center"/>
          </w:tcPr>
          <w:p w14:paraId="2C0AC762">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对于软件产品中的问题，供应商向采购人提供受理和处理服务。</w:t>
            </w:r>
          </w:p>
        </w:tc>
      </w:tr>
      <w:tr w14:paraId="28BA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897" w:type="dxa"/>
            <w:vAlign w:val="center"/>
          </w:tcPr>
          <w:p w14:paraId="5F4768D8">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技术支持服务</w:t>
            </w:r>
          </w:p>
        </w:tc>
        <w:tc>
          <w:tcPr>
            <w:tcW w:w="6622" w:type="dxa"/>
            <w:vAlign w:val="center"/>
          </w:tcPr>
          <w:p w14:paraId="4563A7C5">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采购人在系统使用过程中出现的例如查询表结构、查询某数据、调整系统内的一些数据、采购人需要的一些其他协助等非开发式的请求，可由供应商技术人员完成。</w:t>
            </w:r>
          </w:p>
        </w:tc>
      </w:tr>
      <w:tr w14:paraId="62ED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897" w:type="dxa"/>
            <w:vAlign w:val="center"/>
          </w:tcPr>
          <w:p w14:paraId="331F343D">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应用巡检服务</w:t>
            </w:r>
          </w:p>
        </w:tc>
        <w:tc>
          <w:tcPr>
            <w:tcW w:w="6622" w:type="dxa"/>
            <w:vAlign w:val="center"/>
          </w:tcPr>
          <w:p w14:paraId="32982A5B">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供应商向采购人定期进行应用系统巡检服务。</w:t>
            </w:r>
          </w:p>
        </w:tc>
      </w:tr>
      <w:tr w14:paraId="5E2B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1897" w:type="dxa"/>
            <w:vAlign w:val="center"/>
          </w:tcPr>
          <w:p w14:paraId="1191CC32">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24小时在线知识库</w:t>
            </w:r>
          </w:p>
        </w:tc>
        <w:tc>
          <w:tcPr>
            <w:tcW w:w="6622" w:type="dxa"/>
            <w:vAlign w:val="center"/>
          </w:tcPr>
          <w:p w14:paraId="0BE75D5C">
            <w:pPr>
              <w:pStyle w:val="2"/>
              <w:numPr>
                <w:ilvl w:val="0"/>
                <w:numId w:val="0"/>
              </w:numPr>
              <w:ind w:left="0" w:leftChars="0" w:firstLine="0" w:firstLineChars="0"/>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提供完整的项目知识、案例知识、应用推荐等知识库。</w:t>
            </w:r>
          </w:p>
        </w:tc>
      </w:tr>
    </w:tbl>
    <w:p w14:paraId="29B904EE">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p>
    <w:p w14:paraId="3E0BA39D">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2.2应急保障、备用恢复</w:t>
      </w:r>
    </w:p>
    <w:p w14:paraId="6104875B">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备有应急预案以应对攻击和病毒入侵、系统文件遭到破坏删除或数据库崩溃等情况。一旦服务器出现问题会启动灾难恢复机制，最大程度的恢复系统。</w:t>
      </w:r>
    </w:p>
    <w:p w14:paraId="2826E25D">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2.3人员培训</w:t>
      </w:r>
    </w:p>
    <w:p w14:paraId="7D43F75D">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对系统操作不太熟练或者新的用户负责提供免费的系统操作培训和技术应用培训,培训时间按不熟练或新增用户时间而定。</w:t>
      </w:r>
    </w:p>
    <w:p w14:paraId="4593E439">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2.4系统安全检测</w:t>
      </w:r>
    </w:p>
    <w:p w14:paraId="5DE7E633">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eastAsia="zh-CN"/>
        </w:rPr>
        <w:t>运维合同期内至少做一次系统整体安全测评，并提供详细报告。查出漏洞后，及时检查、修复相关页面漏洞，出具详细修复报告。</w:t>
      </w:r>
    </w:p>
    <w:p w14:paraId="5EBAC430">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2.5服务要求：</w:t>
      </w:r>
    </w:p>
    <w:p w14:paraId="488FDF9E">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驻场服务：遇到任何系统问题驻场人员可马上现场处理，工作时间为上午9:00至下午18:00</w:t>
      </w:r>
    </w:p>
    <w:p w14:paraId="274BDE65">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2.6服务响应标准</w:t>
      </w:r>
    </w:p>
    <w:p w14:paraId="3F80CDE3">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参照ISO20000 IT服务管理标准，提供以下服务标准，问题响应与恢复时间如下表：</w:t>
      </w:r>
    </w:p>
    <w:tbl>
      <w:tblPr>
        <w:tblStyle w:val="3"/>
        <w:tblpPr w:leftFromText="180" w:rightFromText="180" w:vertAnchor="text" w:horzAnchor="page" w:tblpX="1888" w:tblpY="983"/>
        <w:tblOverlap w:val="never"/>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212"/>
        <w:gridCol w:w="1491"/>
        <w:gridCol w:w="1954"/>
        <w:gridCol w:w="1600"/>
      </w:tblGrid>
      <w:tr w14:paraId="5B43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400" w:type="dxa"/>
            <w:noWrap w:val="0"/>
            <w:vAlign w:val="top"/>
          </w:tcPr>
          <w:p w14:paraId="4E64E29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故障等级</w:t>
            </w:r>
          </w:p>
        </w:tc>
        <w:tc>
          <w:tcPr>
            <w:tcW w:w="2212" w:type="dxa"/>
            <w:noWrap w:val="0"/>
            <w:vAlign w:val="top"/>
          </w:tcPr>
          <w:p w14:paraId="5CBD372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故障说明</w:t>
            </w:r>
          </w:p>
        </w:tc>
        <w:tc>
          <w:tcPr>
            <w:tcW w:w="1491" w:type="dxa"/>
            <w:noWrap w:val="0"/>
            <w:vAlign w:val="top"/>
          </w:tcPr>
          <w:p w14:paraId="77ADCFF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响应时间</w:t>
            </w:r>
          </w:p>
        </w:tc>
        <w:tc>
          <w:tcPr>
            <w:tcW w:w="1954" w:type="dxa"/>
            <w:noWrap w:val="0"/>
            <w:vAlign w:val="top"/>
          </w:tcPr>
          <w:p w14:paraId="7DC62FC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到达现场时间</w:t>
            </w:r>
          </w:p>
        </w:tc>
        <w:tc>
          <w:tcPr>
            <w:tcW w:w="1600" w:type="dxa"/>
            <w:noWrap w:val="0"/>
            <w:vAlign w:val="top"/>
          </w:tcPr>
          <w:p w14:paraId="77BE982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服务恢复时间</w:t>
            </w:r>
          </w:p>
        </w:tc>
      </w:tr>
      <w:tr w14:paraId="4B3A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400" w:type="dxa"/>
            <w:noWrap w:val="0"/>
            <w:vAlign w:val="top"/>
          </w:tcPr>
          <w:p w14:paraId="4A8D26D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一级事件</w:t>
            </w:r>
          </w:p>
        </w:tc>
        <w:tc>
          <w:tcPr>
            <w:tcW w:w="2212" w:type="dxa"/>
            <w:noWrap w:val="0"/>
            <w:vAlign w:val="top"/>
          </w:tcPr>
          <w:p w14:paraId="213F7FEE">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系统严重故障</w:t>
            </w:r>
          </w:p>
        </w:tc>
        <w:tc>
          <w:tcPr>
            <w:tcW w:w="1491" w:type="dxa"/>
            <w:noWrap w:val="0"/>
            <w:vAlign w:val="top"/>
          </w:tcPr>
          <w:p w14:paraId="3C7176EA">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10分钟</w:t>
            </w:r>
          </w:p>
        </w:tc>
        <w:tc>
          <w:tcPr>
            <w:tcW w:w="1954" w:type="dxa"/>
            <w:noWrap w:val="0"/>
            <w:vAlign w:val="top"/>
          </w:tcPr>
          <w:p w14:paraId="312B6B0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20分钟</w:t>
            </w:r>
          </w:p>
        </w:tc>
        <w:tc>
          <w:tcPr>
            <w:tcW w:w="1600" w:type="dxa"/>
            <w:noWrap w:val="0"/>
            <w:vAlign w:val="top"/>
          </w:tcPr>
          <w:p w14:paraId="20EC8A99">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1小时</w:t>
            </w:r>
          </w:p>
        </w:tc>
      </w:tr>
      <w:tr w14:paraId="0154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00" w:type="dxa"/>
            <w:noWrap w:val="0"/>
            <w:vAlign w:val="top"/>
          </w:tcPr>
          <w:p w14:paraId="4E0364F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二级事件</w:t>
            </w:r>
          </w:p>
        </w:tc>
        <w:tc>
          <w:tcPr>
            <w:tcW w:w="2212" w:type="dxa"/>
            <w:noWrap w:val="0"/>
            <w:vAlign w:val="top"/>
          </w:tcPr>
          <w:p w14:paraId="5228B89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重要功能无法使用</w:t>
            </w:r>
          </w:p>
        </w:tc>
        <w:tc>
          <w:tcPr>
            <w:tcW w:w="1491" w:type="dxa"/>
            <w:noWrap w:val="0"/>
            <w:vAlign w:val="top"/>
          </w:tcPr>
          <w:p w14:paraId="36042C3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10分钟</w:t>
            </w:r>
          </w:p>
        </w:tc>
        <w:tc>
          <w:tcPr>
            <w:tcW w:w="1954" w:type="dxa"/>
            <w:noWrap w:val="0"/>
            <w:vAlign w:val="top"/>
          </w:tcPr>
          <w:p w14:paraId="1F8D0BF3">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20分钟</w:t>
            </w:r>
          </w:p>
        </w:tc>
        <w:tc>
          <w:tcPr>
            <w:tcW w:w="1600" w:type="dxa"/>
            <w:noWrap w:val="0"/>
            <w:vAlign w:val="top"/>
          </w:tcPr>
          <w:p w14:paraId="32B6014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1小时</w:t>
            </w:r>
          </w:p>
        </w:tc>
      </w:tr>
      <w:tr w14:paraId="3BD1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400" w:type="dxa"/>
            <w:noWrap w:val="0"/>
            <w:vAlign w:val="top"/>
          </w:tcPr>
          <w:p w14:paraId="41ACB18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三级事件</w:t>
            </w:r>
          </w:p>
        </w:tc>
        <w:tc>
          <w:tcPr>
            <w:tcW w:w="2212" w:type="dxa"/>
            <w:noWrap w:val="0"/>
            <w:vAlign w:val="top"/>
          </w:tcPr>
          <w:p w14:paraId="130FB89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非重要功能无法使用</w:t>
            </w:r>
          </w:p>
        </w:tc>
        <w:tc>
          <w:tcPr>
            <w:tcW w:w="1491" w:type="dxa"/>
            <w:noWrap w:val="0"/>
            <w:vAlign w:val="top"/>
          </w:tcPr>
          <w:p w14:paraId="5E43E08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10分钟</w:t>
            </w:r>
          </w:p>
        </w:tc>
        <w:tc>
          <w:tcPr>
            <w:tcW w:w="1954" w:type="dxa"/>
            <w:noWrap w:val="0"/>
            <w:vAlign w:val="top"/>
          </w:tcPr>
          <w:p w14:paraId="550F9D41">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20分钟</w:t>
            </w:r>
          </w:p>
        </w:tc>
        <w:tc>
          <w:tcPr>
            <w:tcW w:w="1600" w:type="dxa"/>
            <w:noWrap w:val="0"/>
            <w:vAlign w:val="top"/>
          </w:tcPr>
          <w:p w14:paraId="0989CE4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2小时</w:t>
            </w:r>
          </w:p>
        </w:tc>
      </w:tr>
      <w:tr w14:paraId="4D8B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400" w:type="dxa"/>
            <w:noWrap w:val="0"/>
            <w:vAlign w:val="top"/>
          </w:tcPr>
          <w:p w14:paraId="08F06972">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四级事件</w:t>
            </w:r>
          </w:p>
        </w:tc>
        <w:tc>
          <w:tcPr>
            <w:tcW w:w="2212" w:type="dxa"/>
            <w:noWrap w:val="0"/>
            <w:vAlign w:val="top"/>
          </w:tcPr>
          <w:p w14:paraId="1791F0D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客户端操作故障</w:t>
            </w:r>
          </w:p>
        </w:tc>
        <w:tc>
          <w:tcPr>
            <w:tcW w:w="1491" w:type="dxa"/>
            <w:noWrap w:val="0"/>
            <w:vAlign w:val="top"/>
          </w:tcPr>
          <w:p w14:paraId="4DA9501C">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30分钟</w:t>
            </w:r>
          </w:p>
        </w:tc>
        <w:tc>
          <w:tcPr>
            <w:tcW w:w="1954" w:type="dxa"/>
            <w:noWrap w:val="0"/>
            <w:vAlign w:val="top"/>
          </w:tcPr>
          <w:p w14:paraId="0C3C3F54">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30分钟</w:t>
            </w:r>
          </w:p>
        </w:tc>
        <w:tc>
          <w:tcPr>
            <w:tcW w:w="1600" w:type="dxa"/>
            <w:noWrap w:val="0"/>
            <w:vAlign w:val="top"/>
          </w:tcPr>
          <w:p w14:paraId="191968D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2小时</w:t>
            </w:r>
          </w:p>
        </w:tc>
      </w:tr>
      <w:tr w14:paraId="2DB5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400" w:type="dxa"/>
            <w:noWrap w:val="0"/>
            <w:vAlign w:val="top"/>
          </w:tcPr>
          <w:p w14:paraId="12196BC8">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五级事件</w:t>
            </w:r>
          </w:p>
        </w:tc>
        <w:tc>
          <w:tcPr>
            <w:tcW w:w="2212" w:type="dxa"/>
            <w:noWrap w:val="0"/>
            <w:vAlign w:val="top"/>
          </w:tcPr>
          <w:p w14:paraId="2E5E1C7B">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新需求系统功能调整</w:t>
            </w:r>
          </w:p>
        </w:tc>
        <w:tc>
          <w:tcPr>
            <w:tcW w:w="1491" w:type="dxa"/>
            <w:noWrap w:val="0"/>
            <w:vAlign w:val="top"/>
          </w:tcPr>
          <w:p w14:paraId="5347D4F7">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60分钟</w:t>
            </w:r>
          </w:p>
        </w:tc>
        <w:tc>
          <w:tcPr>
            <w:tcW w:w="1954" w:type="dxa"/>
            <w:noWrap w:val="0"/>
            <w:vAlign w:val="top"/>
          </w:tcPr>
          <w:p w14:paraId="3529ADAF">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1小时</w:t>
            </w:r>
          </w:p>
        </w:tc>
        <w:tc>
          <w:tcPr>
            <w:tcW w:w="1600" w:type="dxa"/>
            <w:noWrap w:val="0"/>
            <w:vAlign w:val="top"/>
          </w:tcPr>
          <w:p w14:paraId="35FA8AB0">
            <w:pPr>
              <w:keepNext w:val="0"/>
              <w:keepLines w:val="0"/>
              <w:pageBreakBefore w:val="0"/>
              <w:widowControl w:val="0"/>
              <w:tabs>
                <w:tab w:val="left" w:pos="840"/>
              </w:tabs>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视需求定</w:t>
            </w:r>
          </w:p>
        </w:tc>
      </w:tr>
    </w:tbl>
    <w:p w14:paraId="0C03A287">
      <w:pPr>
        <w:pageBreakBefore w:val="0"/>
        <w:tabs>
          <w:tab w:val="left" w:pos="840"/>
        </w:tabs>
        <w:kinsoku/>
        <w:wordWrap/>
        <w:overflowPunct/>
        <w:topLinePunct w:val="0"/>
        <w:autoSpaceDE/>
        <w:autoSpaceDN/>
        <w:bidi w:val="0"/>
        <w:adjustRightInd/>
        <w:snapToGrid/>
        <w:spacing w:line="240" w:lineRule="auto"/>
        <w:jc w:val="left"/>
        <w:textAlignment w:val="auto"/>
        <w:rPr>
          <w:rFonts w:hint="eastAsia" w:ascii="仿宋" w:hAnsi="仿宋" w:eastAsia="仿宋" w:cs="仿宋"/>
          <w:sz w:val="28"/>
          <w:szCs w:val="28"/>
          <w:highlight w:val="none"/>
          <w:lang w:eastAsia="zh-CN"/>
        </w:rPr>
      </w:pPr>
    </w:p>
    <w:p w14:paraId="3FC1BF4C">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故障等级说明：</w:t>
      </w:r>
    </w:p>
    <w:p w14:paraId="2699FF6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一级事件：系统严重故障，指应用服务或数据库故障，导致系统无法打开，日常办公无法开展；</w:t>
      </w:r>
    </w:p>
    <w:p w14:paraId="7C70616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二级事件：重要功能无法使用，指信息门户、公文流转、信息查阅等核心功能出现故障，导致日常办公无法开展；</w:t>
      </w:r>
    </w:p>
    <w:p w14:paraId="13759F96">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三级事件：非重要功能无法使用，指个人办公应用，个人日程、邮件收取、短信收发等功能出现故障，导致个人办公无法开展；</w:t>
      </w:r>
    </w:p>
    <w:p w14:paraId="6CAFDE0A">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四级事件：客户端操作故障，指用户在操作过程中操作失误或客户端应用环境问题出现故障，导致个人办公无法开展；</w:t>
      </w:r>
    </w:p>
    <w:p w14:paraId="67692AD7">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五级事件：系统功能调整，指在原有功能的基础上提出新的应用要求，包含但不限于：信息门户调整、工作流程调整及新增等。</w:t>
      </w:r>
    </w:p>
    <w:p w14:paraId="75387168">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2.7维护与技术要求</w:t>
      </w:r>
    </w:p>
    <w:p w14:paraId="12275419">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1.乙方应根据甲方的需求，对系统提供全面、有效、及时的技术支持和售后服务方案，详细说明技术服务的范围和程序。</w:t>
      </w:r>
    </w:p>
    <w:p w14:paraId="11FF4402">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2.乙方应的服务方案中在运行期间，应指定有经验的技术人员在现场负责系统的运行和维护，若系统出现问题或故障，应积极进行故障和问题处理。</w:t>
      </w:r>
    </w:p>
    <w:p w14:paraId="5C809DFB">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3.及时修复第三方组织发现的操作系统和平台软件安全漏洞。</w:t>
      </w:r>
    </w:p>
    <w:p w14:paraId="66E33080">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4.在维护期内，所有报修服务方式均为乙方上门保修即由乙方派人员到甲方使用现场维修。由此产生的一切费用均由乙方承担。</w:t>
      </w:r>
    </w:p>
    <w:p w14:paraId="1380874A">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5.在合同期内，乙方应提供全天候24小时服务响应并针对本系统提出详尽的可执行的应急预案。系统发生故障时，乙方必须在两小时内做出响应；如果故障在三小时内无法排除，乙方应立即提出第二解决方案，在一个工作日内保证系统恢复正常运行。由此产生的一切费用均由乙方承担。</w:t>
      </w:r>
    </w:p>
    <w:p w14:paraId="4521988C">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6.乙方应提供应急人员和技术支持人员的名单和联系方式。</w:t>
      </w:r>
    </w:p>
    <w:p w14:paraId="5E9EAE66">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7.在整个系统安装和调测期间，甲方有权利派出技术人员参与整个过程，乙方有义务对其进行指导，并充分进行知识转移。</w:t>
      </w:r>
    </w:p>
    <w:p w14:paraId="2CFDE7BB">
      <w:pPr>
        <w:pageBreakBefore w:val="0"/>
        <w:tabs>
          <w:tab w:val="left" w:pos="840"/>
        </w:tabs>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8.若关于系统的要求和需求发生非实质性需求变更时，在维护期结束之前乙方应对系统进行相应的修改</w:t>
      </w:r>
    </w:p>
    <w:p w14:paraId="67D83386">
      <w:pPr>
        <w:pageBreakBefore w:val="0"/>
        <w:tabs>
          <w:tab w:val="left" w:pos="840"/>
        </w:tabs>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lang w:eastAsia="zh-CN"/>
        </w:rPr>
        <w:t>）质量标准：</w:t>
      </w:r>
      <w:r>
        <w:rPr>
          <w:rFonts w:hint="eastAsia" w:ascii="仿宋" w:hAnsi="仿宋" w:eastAsia="仿宋" w:cs="仿宋"/>
          <w:sz w:val="28"/>
          <w:szCs w:val="28"/>
          <w:highlight w:val="none"/>
          <w:lang w:eastAsia="zh-CN"/>
        </w:rPr>
        <w:t>符合国家及行业质量验收合格标准，满足甲方需求。</w:t>
      </w:r>
    </w:p>
    <w:p w14:paraId="3AD82FE3">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七、项目实施地点</w:t>
      </w:r>
    </w:p>
    <w:p w14:paraId="77FDC604">
      <w:pPr>
        <w:tabs>
          <w:tab w:val="left" w:pos="840"/>
        </w:tabs>
        <w:adjustRightInd/>
        <w:spacing w:line="500" w:lineRule="exact"/>
        <w:ind w:firstLine="560" w:firstLineChars="200"/>
        <w:rPr>
          <w:rFonts w:hint="eastAsia" w:ascii="仿宋" w:hAnsi="仿宋" w:eastAsia="仿宋" w:cs="仿宋"/>
          <w:b/>
          <w:sz w:val="28"/>
          <w:szCs w:val="28"/>
          <w:lang w:eastAsia="zh-CN"/>
        </w:rPr>
      </w:pPr>
      <w:bookmarkStart w:id="0" w:name="_Toc3186"/>
      <w:bookmarkEnd w:id="0"/>
      <w:bookmarkStart w:id="1" w:name="_Toc25637"/>
      <w:bookmarkEnd w:id="1"/>
      <w:bookmarkStart w:id="2" w:name="_Toc32413"/>
      <w:bookmarkEnd w:id="2"/>
      <w:r>
        <w:rPr>
          <w:rFonts w:hint="eastAsia" w:ascii="仿宋" w:hAnsi="仿宋" w:eastAsia="仿宋" w:cs="仿宋"/>
          <w:sz w:val="28"/>
          <w:szCs w:val="28"/>
          <w:lang w:val="en-US" w:eastAsia="zh-CN"/>
        </w:rPr>
        <w:t>陕西省西安市</w:t>
      </w:r>
      <w:r>
        <w:rPr>
          <w:rFonts w:hint="eastAsia" w:ascii="仿宋" w:hAnsi="仿宋" w:eastAsia="仿宋" w:cs="仿宋"/>
          <w:sz w:val="28"/>
          <w:szCs w:val="28"/>
          <w:lang w:eastAsia="zh-CN"/>
        </w:rPr>
        <w:t>甲方指定地点。</w:t>
      </w:r>
    </w:p>
    <w:p w14:paraId="376E4DC9">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八、双方的责任义务</w:t>
      </w:r>
    </w:p>
    <w:p w14:paraId="11CD82C2">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1.乙方服务内容应与政府采购招投标文件及本合同所指明的服务内容相一致，确保本项目正常交付使用，并负责后期服务。</w:t>
      </w:r>
    </w:p>
    <w:p w14:paraId="17E98094">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2.甲方应按合同约定的付款方式向乙方支付相关费用。</w:t>
      </w:r>
    </w:p>
    <w:p w14:paraId="62F542F5">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3.如需乙方提供现场支持服务的，甲方应当尽合理努力为乙方提供办公场所、网络等便利条件。</w:t>
      </w:r>
    </w:p>
    <w:p w14:paraId="1729ABED">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4.乙方确认，甲乙双方不建立劳务派遣关系或类似关系，乙方应向其员工承担用人单位的全部责任。乙方应与其员工签署劳动合同，依法缴纳社会保险，对员工承担用人单位的全部法定责任。</w:t>
      </w:r>
    </w:p>
    <w:p w14:paraId="28E59484">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乙方员工工作期间受到伤害或发生安全责任事故的，由乙方负责处理，并由乙方承担全部法律责任。</w:t>
      </w:r>
    </w:p>
    <w:p w14:paraId="5B975CF4">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5.甲方不对乙方员工承担任何用人单位或劳务派遣用工单位的责任。无论因任何原因导致甲方向乙方员工或雇员承担任何责任的，甲方有权向乙方追偿。</w:t>
      </w:r>
    </w:p>
    <w:p w14:paraId="4FAD8262">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6.甲乙双方不构成代理关系，乙方不得以甲方名义对外签署或发布任何文件、制度等。</w:t>
      </w:r>
    </w:p>
    <w:p w14:paraId="23979B84">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7</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5A0D66DF">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九、验收</w:t>
      </w:r>
    </w:p>
    <w:p w14:paraId="4E6F1140">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服务期满，经甲方验收合格后，确定项目完成。</w:t>
      </w:r>
    </w:p>
    <w:p w14:paraId="34D5B9DD">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十、保密</w:t>
      </w:r>
    </w:p>
    <w:p w14:paraId="2642C7EC">
      <w:pPr>
        <w:tabs>
          <w:tab w:val="left" w:pos="1080"/>
        </w:tabs>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对工作中了解到的甲方的技术、机密等进行严格保密，不得向他人泄漏。本合同的解除或终止不免除乙方应承担的保密义务。</w:t>
      </w:r>
    </w:p>
    <w:p w14:paraId="55487863">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十一、知识产权</w:t>
      </w:r>
    </w:p>
    <w:p w14:paraId="47D4063A">
      <w:pPr>
        <w:adjustRightIn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4ABA33DC">
      <w:pPr>
        <w:adjustRightIn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21D02CFE">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十二、合同争议的解决</w:t>
      </w:r>
    </w:p>
    <w:p w14:paraId="038A0CF9">
      <w:pPr>
        <w:tabs>
          <w:tab w:val="left" w:pos="498"/>
        </w:tabs>
        <w:adjustRightInd/>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合同执行中发生争议的，当事人双方应协商解决，协商达不成一致时，可向甲方所在地人民法院提请诉讼。</w:t>
      </w:r>
    </w:p>
    <w:p w14:paraId="6467806B">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十三、不可抗力情况下的免责约定</w:t>
      </w:r>
    </w:p>
    <w:p w14:paraId="612BF10B">
      <w:pPr>
        <w:tabs>
          <w:tab w:val="left" w:pos="498"/>
        </w:tabs>
        <w:adjustRightInd/>
        <w:spacing w:line="5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568739FD">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十四、终止合同</w:t>
      </w:r>
    </w:p>
    <w:p w14:paraId="6584C085">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除本合同约定，合同一经签订，不得擅自变更、中止或者终止合同。对确需变更、调整或者中止、终止合同的，应按规定履行相应的手续。</w:t>
      </w:r>
    </w:p>
    <w:p w14:paraId="02A36A2E">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十五、违约责任</w:t>
      </w:r>
    </w:p>
    <w:p w14:paraId="213EE4C9">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1.按《中华人民共和国民法典》中的相关条款和本合同的约定执行。</w:t>
      </w:r>
    </w:p>
    <w:p w14:paraId="1E51FE1D">
      <w:pPr>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554D38B4">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66433B86">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4.甲方的违约责任</w:t>
      </w:r>
    </w:p>
    <w:p w14:paraId="598DE745">
      <w:pPr>
        <w:adjustRightInd/>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甲方因自身原因不按合同约定向乙方付款，每逾期一天，须按迟延付款额的</w:t>
      </w:r>
      <w:r>
        <w:rPr>
          <w:rFonts w:hint="eastAsia" w:ascii="仿宋" w:hAnsi="仿宋" w:eastAsia="仿宋" w:cs="仿宋"/>
          <w:kern w:val="0"/>
          <w:sz w:val="28"/>
          <w:szCs w:val="28"/>
          <w:u w:val="single"/>
        </w:rPr>
        <w:t>0.01%</w:t>
      </w:r>
      <w:r>
        <w:rPr>
          <w:rFonts w:hint="eastAsia" w:ascii="仿宋" w:hAnsi="仿宋" w:eastAsia="仿宋" w:cs="仿宋"/>
          <w:kern w:val="0"/>
          <w:sz w:val="28"/>
          <w:szCs w:val="28"/>
        </w:rPr>
        <w:t>向乙方支付延期付款的违约金。</w:t>
      </w:r>
    </w:p>
    <w:p w14:paraId="2716D5C4">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甲方不按照合同约定提供相关资料及其它协作事项的，应提前7日书面通知乙方，项目完成时间予以顺延。</w:t>
      </w:r>
    </w:p>
    <w:p w14:paraId="32D35236">
      <w:pPr>
        <w:tabs>
          <w:tab w:val="left" w:pos="1080"/>
        </w:tabs>
        <w:wordWrap w:val="0"/>
        <w:adjustRightInd/>
        <w:spacing w:line="360" w:lineRule="auto"/>
        <w:ind w:left="759" w:leftChars="228" w:hanging="280" w:hangingChars="100"/>
        <w:outlineLvl w:val="1"/>
        <w:rPr>
          <w:rFonts w:hint="eastAsia" w:ascii="仿宋" w:hAnsi="仿宋" w:eastAsia="仿宋" w:cs="仿宋"/>
          <w:kern w:val="0"/>
          <w:sz w:val="28"/>
          <w:szCs w:val="28"/>
        </w:rPr>
      </w:pPr>
      <w:r>
        <w:rPr>
          <w:rFonts w:hint="eastAsia" w:ascii="仿宋" w:hAnsi="仿宋" w:eastAsia="仿宋" w:cs="仿宋"/>
          <w:kern w:val="0"/>
          <w:sz w:val="28"/>
          <w:szCs w:val="28"/>
        </w:rPr>
        <w:t>5.乙方的违约责任</w:t>
      </w:r>
    </w:p>
    <w:p w14:paraId="7E1516C0">
      <w:pPr>
        <w:tabs>
          <w:tab w:val="left" w:pos="1080"/>
        </w:tabs>
        <w:wordWrap w:val="0"/>
        <w:adjustRightInd/>
        <w:spacing w:line="360" w:lineRule="auto"/>
        <w:ind w:left="19" w:leftChars="9" w:firstLine="534" w:firstLineChars="191"/>
        <w:outlineLvl w:val="1"/>
        <w:rPr>
          <w:rFonts w:hint="eastAsia" w:ascii="仿宋" w:hAnsi="仿宋" w:eastAsia="仿宋" w:cs="仿宋"/>
          <w:kern w:val="0"/>
          <w:sz w:val="28"/>
          <w:szCs w:val="28"/>
        </w:rPr>
      </w:pPr>
      <w:r>
        <w:rPr>
          <w:rFonts w:hint="eastAsia" w:ascii="仿宋" w:hAnsi="仿宋" w:eastAsia="仿宋" w:cs="仿宋"/>
          <w:kern w:val="0"/>
          <w:sz w:val="28"/>
          <w:szCs w:val="28"/>
        </w:rPr>
        <w:t>乙方未按照本合同约定保质保量提供产品或服务，经甲方催告后履行仍不符合合同约定的，甲方有权解除本合同，同时有权要求乙方按照合同价款的</w:t>
      </w:r>
      <w:r>
        <w:rPr>
          <w:rFonts w:hint="eastAsia" w:ascii="仿宋" w:hAnsi="仿宋" w:eastAsia="仿宋" w:cs="仿宋"/>
          <w:kern w:val="0"/>
          <w:sz w:val="28"/>
          <w:szCs w:val="28"/>
          <w:u w:val="single"/>
        </w:rPr>
        <w:t>10%</w:t>
      </w:r>
      <w:r>
        <w:rPr>
          <w:rFonts w:hint="eastAsia" w:ascii="仿宋" w:hAnsi="仿宋" w:eastAsia="仿宋" w:cs="仿宋"/>
          <w:kern w:val="0"/>
          <w:sz w:val="28"/>
          <w:szCs w:val="28"/>
        </w:rPr>
        <w:t>承担违约金。甲方维权支付的诉讼费、保全费、律师费等费用由乙方承担。</w:t>
      </w:r>
    </w:p>
    <w:p w14:paraId="35BC3916">
      <w:pPr>
        <w:tabs>
          <w:tab w:val="left" w:pos="1080"/>
        </w:tabs>
        <w:wordWrap w:val="0"/>
        <w:adjustRightInd/>
        <w:spacing w:line="360" w:lineRule="auto"/>
        <w:ind w:left="19" w:leftChars="9" w:firstLine="534" w:firstLineChars="191"/>
        <w:outlineLvl w:val="1"/>
        <w:rPr>
          <w:rFonts w:hint="eastAsia" w:ascii="仿宋" w:hAnsi="仿宋" w:eastAsia="仿宋" w:cs="仿宋"/>
          <w:kern w:val="0"/>
          <w:sz w:val="28"/>
          <w:szCs w:val="28"/>
        </w:rPr>
      </w:pPr>
      <w:r>
        <w:rPr>
          <w:rFonts w:hint="eastAsia" w:ascii="仿宋" w:hAnsi="仿宋" w:eastAsia="仿宋" w:cs="仿宋"/>
          <w:kern w:val="0"/>
          <w:sz w:val="28"/>
          <w:szCs w:val="28"/>
        </w:rPr>
        <w:t>合同履行期限结束，乙方未能按期完成服务期限的内容，乙方应继续履行自身义务直至符合合同约定。同时从合同履行期限届满之日开始起算，每逾期一天按合同总金额的</w:t>
      </w:r>
      <w:r>
        <w:rPr>
          <w:rFonts w:hint="eastAsia" w:ascii="仿宋" w:hAnsi="仿宋" w:eastAsia="仿宋" w:cs="仿宋"/>
          <w:kern w:val="0"/>
          <w:sz w:val="28"/>
          <w:szCs w:val="28"/>
          <w:u w:val="single"/>
        </w:rPr>
        <w:t>0.03%</w:t>
      </w:r>
      <w:r>
        <w:rPr>
          <w:rFonts w:hint="eastAsia" w:ascii="仿宋" w:hAnsi="仿宋" w:eastAsia="仿宋" w:cs="仿宋"/>
          <w:kern w:val="0"/>
          <w:sz w:val="28"/>
          <w:szCs w:val="28"/>
        </w:rPr>
        <w:t>向甲方支付违约金。</w:t>
      </w:r>
    </w:p>
    <w:p w14:paraId="101B9FE4">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若本项目经甲方验收不合格，甲方有权要求乙方在10日内整改完善，乙方必须予以整改完善。因此导致成果逾期提交的，履行期限不予顺延，每逾期一天，应按合同总金额的</w:t>
      </w:r>
      <w:r>
        <w:rPr>
          <w:rFonts w:hint="eastAsia" w:ascii="仿宋" w:hAnsi="仿宋" w:eastAsia="仿宋" w:cs="仿宋"/>
          <w:kern w:val="0"/>
          <w:sz w:val="28"/>
          <w:szCs w:val="28"/>
          <w:u w:val="single"/>
        </w:rPr>
        <w:t>0.03%</w:t>
      </w:r>
      <w:r>
        <w:rPr>
          <w:rFonts w:hint="eastAsia" w:ascii="仿宋" w:hAnsi="仿宋" w:eastAsia="仿宋" w:cs="仿宋"/>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仿宋" w:hAnsi="仿宋" w:eastAsia="仿宋" w:cs="仿宋"/>
          <w:kern w:val="0"/>
          <w:sz w:val="28"/>
          <w:szCs w:val="28"/>
          <w:u w:val="single"/>
        </w:rPr>
        <w:t>30%</w:t>
      </w:r>
      <w:r>
        <w:rPr>
          <w:rFonts w:hint="eastAsia" w:ascii="仿宋" w:hAnsi="仿宋" w:eastAsia="仿宋" w:cs="仿宋"/>
          <w:kern w:val="0"/>
          <w:sz w:val="28"/>
          <w:szCs w:val="28"/>
        </w:rPr>
        <w:t>，但甲方的实际损失超过合同总金额</w:t>
      </w:r>
      <w:r>
        <w:rPr>
          <w:rFonts w:hint="eastAsia" w:ascii="仿宋" w:hAnsi="仿宋" w:eastAsia="仿宋" w:cs="仿宋"/>
          <w:kern w:val="0"/>
          <w:sz w:val="28"/>
          <w:szCs w:val="28"/>
          <w:u w:val="single"/>
        </w:rPr>
        <w:t>30%</w:t>
      </w:r>
      <w:r>
        <w:rPr>
          <w:rFonts w:hint="eastAsia" w:ascii="仿宋" w:hAnsi="仿宋" w:eastAsia="仿宋" w:cs="仿宋"/>
          <w:kern w:val="0"/>
          <w:sz w:val="28"/>
          <w:szCs w:val="28"/>
        </w:rPr>
        <w:t>的，乙方应当承担补足责任。</w:t>
      </w:r>
    </w:p>
    <w:p w14:paraId="538BE917">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甲乙双方任何一方违反保密义务的，违约方应向对方支付合同总金额</w:t>
      </w:r>
      <w:r>
        <w:rPr>
          <w:rFonts w:hint="eastAsia" w:ascii="仿宋" w:hAnsi="仿宋" w:eastAsia="仿宋" w:cs="仿宋"/>
          <w:kern w:val="0"/>
          <w:sz w:val="28"/>
          <w:szCs w:val="28"/>
          <w:u w:val="single"/>
        </w:rPr>
        <w:t>10%</w:t>
      </w:r>
      <w:r>
        <w:rPr>
          <w:rFonts w:hint="eastAsia" w:ascii="仿宋" w:hAnsi="仿宋" w:eastAsia="仿宋" w:cs="仿宋"/>
          <w:kern w:val="0"/>
          <w:sz w:val="28"/>
          <w:szCs w:val="28"/>
        </w:rPr>
        <w:t>的违约金，违约金不足以弥补对方损失的还应当承担补足责任。</w:t>
      </w:r>
    </w:p>
    <w:p w14:paraId="366B9F3D">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仿宋" w:hAnsi="仿宋" w:eastAsia="仿宋" w:cs="仿宋"/>
          <w:kern w:val="0"/>
          <w:sz w:val="28"/>
          <w:szCs w:val="28"/>
          <w:u w:val="single"/>
        </w:rPr>
        <w:t>10%</w:t>
      </w:r>
      <w:r>
        <w:rPr>
          <w:rFonts w:hint="eastAsia" w:ascii="仿宋" w:hAnsi="仿宋" w:eastAsia="仿宋" w:cs="仿宋"/>
          <w:kern w:val="0"/>
          <w:sz w:val="28"/>
          <w:szCs w:val="28"/>
        </w:rPr>
        <w:t>支付违约金。若甲方全部终止合同的，乙方应按合同总金额</w:t>
      </w:r>
      <w:r>
        <w:rPr>
          <w:rFonts w:hint="eastAsia" w:ascii="仿宋" w:hAnsi="仿宋" w:eastAsia="仿宋" w:cs="仿宋"/>
          <w:kern w:val="0"/>
          <w:sz w:val="28"/>
          <w:szCs w:val="28"/>
          <w:u w:val="single"/>
        </w:rPr>
        <w:t>30%</w:t>
      </w:r>
      <w:r>
        <w:rPr>
          <w:rFonts w:hint="eastAsia" w:ascii="仿宋" w:hAnsi="仿宋" w:eastAsia="仿宋" w:cs="仿宋"/>
          <w:kern w:val="0"/>
          <w:sz w:val="28"/>
          <w:szCs w:val="28"/>
        </w:rPr>
        <w:t>的支付违约金。同时甲方的实际损失超过合同总金额</w:t>
      </w:r>
      <w:r>
        <w:rPr>
          <w:rFonts w:hint="eastAsia" w:ascii="仿宋" w:hAnsi="仿宋" w:eastAsia="仿宋" w:cs="仿宋"/>
          <w:kern w:val="0"/>
          <w:sz w:val="28"/>
          <w:szCs w:val="28"/>
          <w:u w:val="single"/>
        </w:rPr>
        <w:t>30%</w:t>
      </w:r>
      <w:r>
        <w:rPr>
          <w:rFonts w:hint="eastAsia" w:ascii="仿宋" w:hAnsi="仿宋" w:eastAsia="仿宋" w:cs="仿宋"/>
          <w:kern w:val="0"/>
          <w:sz w:val="28"/>
          <w:szCs w:val="28"/>
        </w:rPr>
        <w:t>的，乙方应当承担补足责任。</w:t>
      </w:r>
    </w:p>
    <w:p w14:paraId="077F604A">
      <w:pPr>
        <w:tabs>
          <w:tab w:val="left" w:pos="1080"/>
        </w:tabs>
        <w:adjustRightInd/>
        <w:spacing w:line="360" w:lineRule="auto"/>
        <w:ind w:firstLine="560" w:firstLineChars="200"/>
        <w:outlineLvl w:val="1"/>
        <w:rPr>
          <w:rFonts w:hint="eastAsia" w:ascii="仿宋" w:hAnsi="仿宋" w:eastAsia="仿宋" w:cs="仿宋"/>
          <w:kern w:val="0"/>
          <w:sz w:val="28"/>
          <w:szCs w:val="28"/>
        </w:rPr>
      </w:pPr>
      <w:r>
        <w:rPr>
          <w:rFonts w:hint="eastAsia" w:ascii="仿宋" w:hAnsi="仿宋" w:eastAsia="仿宋" w:cs="仿宋"/>
          <w:kern w:val="0"/>
          <w:sz w:val="28"/>
          <w:szCs w:val="28"/>
        </w:rPr>
        <w:t>乙方违反合同约定的其它责任、义务视为违约，需向甲方支付合同总价款的</w:t>
      </w:r>
      <w:r>
        <w:rPr>
          <w:rFonts w:hint="eastAsia" w:ascii="仿宋" w:hAnsi="仿宋" w:eastAsia="仿宋" w:cs="仿宋"/>
          <w:kern w:val="0"/>
          <w:sz w:val="28"/>
          <w:szCs w:val="28"/>
          <w:u w:val="single"/>
        </w:rPr>
        <w:t>30%</w:t>
      </w:r>
      <w:r>
        <w:rPr>
          <w:rFonts w:hint="eastAsia" w:ascii="仿宋" w:hAnsi="仿宋" w:eastAsia="仿宋" w:cs="仿宋"/>
          <w:kern w:val="0"/>
          <w:sz w:val="28"/>
          <w:szCs w:val="28"/>
        </w:rPr>
        <w:t>违约金。同时甲方的实际损失超过合同总金额</w:t>
      </w:r>
      <w:r>
        <w:rPr>
          <w:rFonts w:hint="eastAsia" w:ascii="仿宋" w:hAnsi="仿宋" w:eastAsia="仿宋" w:cs="仿宋"/>
          <w:kern w:val="0"/>
          <w:sz w:val="28"/>
          <w:szCs w:val="28"/>
          <w:u w:val="single"/>
        </w:rPr>
        <w:t>30%</w:t>
      </w:r>
      <w:r>
        <w:rPr>
          <w:rFonts w:hint="eastAsia" w:ascii="仿宋" w:hAnsi="仿宋" w:eastAsia="仿宋" w:cs="仿宋"/>
          <w:kern w:val="0"/>
          <w:sz w:val="28"/>
          <w:szCs w:val="28"/>
        </w:rPr>
        <w:t>的，乙方应当承担补足责任。</w:t>
      </w:r>
    </w:p>
    <w:p w14:paraId="73F40A24">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十六、反商业贿赂</w:t>
      </w:r>
    </w:p>
    <w:p w14:paraId="5E107D35">
      <w:pPr>
        <w:adjustRightInd/>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7332E6F1">
      <w:pPr>
        <w:adjustRightInd/>
        <w:spacing w:line="500" w:lineRule="exact"/>
        <w:rPr>
          <w:rFonts w:hint="eastAsia" w:ascii="仿宋" w:hAnsi="仿宋" w:eastAsia="仿宋" w:cs="仿宋"/>
          <w:b/>
          <w:sz w:val="28"/>
          <w:szCs w:val="28"/>
        </w:rPr>
      </w:pPr>
      <w:r>
        <w:rPr>
          <w:rFonts w:hint="eastAsia" w:ascii="仿宋" w:hAnsi="仿宋" w:eastAsia="仿宋" w:cs="仿宋"/>
          <w:b/>
          <w:sz w:val="28"/>
          <w:szCs w:val="28"/>
        </w:rPr>
        <w:t>十七、其他</w:t>
      </w:r>
    </w:p>
    <w:p w14:paraId="16A17471">
      <w:pPr>
        <w:tabs>
          <w:tab w:val="left" w:pos="980"/>
        </w:tabs>
        <w:kinsoku w:val="0"/>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1.本合同签订时同步签订保密协议,详见附件。附件是本合同的一部分，具有与本合同同等的法律效力。</w:t>
      </w:r>
    </w:p>
    <w:p w14:paraId="203650D9">
      <w:pPr>
        <w:tabs>
          <w:tab w:val="left" w:pos="980"/>
        </w:tabs>
        <w:kinsoku w:val="0"/>
        <w:adjustRightInd/>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2.本合同一式四份，具有同等法律效力，双方各执一份，监管部门备案一份、采购代理机构存档一份。各方签字盖章后生效。</w:t>
      </w:r>
    </w:p>
    <w:p w14:paraId="37DDE5E7">
      <w:pPr>
        <w:autoSpaceDE w:val="0"/>
        <w:autoSpaceDN w:val="0"/>
        <w:adjustRightInd/>
        <w:spacing w:line="240" w:lineRule="auto"/>
        <w:ind w:firstLine="560" w:firstLineChars="200"/>
        <w:rPr>
          <w:rFonts w:hint="eastAsia" w:ascii="仿宋" w:hAnsi="仿宋" w:eastAsia="仿宋" w:cs="仿宋"/>
          <w:sz w:val="28"/>
          <w:szCs w:val="28"/>
        </w:rPr>
      </w:pPr>
    </w:p>
    <w:p w14:paraId="4D3FFB80">
      <w:pPr>
        <w:adjustRightInd/>
        <w:spacing w:line="240" w:lineRule="auto"/>
        <w:rPr>
          <w:rFonts w:hint="eastAsia" w:ascii="仿宋" w:hAnsi="仿宋" w:eastAsia="仿宋" w:cs="仿宋"/>
          <w:sz w:val="28"/>
          <w:szCs w:val="28"/>
        </w:rPr>
      </w:pPr>
    </w:p>
    <w:p w14:paraId="0A7D6FA6">
      <w:pPr>
        <w:adjustRightInd w:val="0"/>
        <w:snapToGrid w:val="0"/>
        <w:spacing w:line="540" w:lineRule="exact"/>
        <w:rPr>
          <w:rFonts w:hint="eastAsia" w:ascii="仿宋" w:hAnsi="仿宋" w:eastAsia="仿宋" w:cs="仿宋"/>
          <w:sz w:val="28"/>
          <w:szCs w:val="28"/>
          <w:u w:val="single"/>
        </w:rPr>
      </w:pPr>
      <w:r>
        <w:rPr>
          <w:rFonts w:hint="eastAsia" w:ascii="仿宋" w:hAnsi="仿宋" w:eastAsia="仿宋" w:cs="仿宋"/>
          <w:sz w:val="28"/>
          <w:szCs w:val="28"/>
        </w:rPr>
        <w:t>采购人（甲方）：</w:t>
      </w:r>
      <w:r>
        <w:rPr>
          <w:rFonts w:hint="eastAsia" w:ascii="仿宋" w:hAnsi="仿宋" w:eastAsia="仿宋" w:cs="仿宋"/>
          <w:sz w:val="28"/>
          <w:szCs w:val="28"/>
          <w:u w:val="single"/>
        </w:rPr>
        <w:t xml:space="preserve">   （盖章）       </w:t>
      </w:r>
      <w:r>
        <w:rPr>
          <w:rFonts w:hint="eastAsia" w:ascii="仿宋" w:hAnsi="仿宋" w:eastAsia="仿宋" w:cs="仿宋"/>
          <w:sz w:val="28"/>
          <w:szCs w:val="28"/>
        </w:rPr>
        <w:t>供应商（乙方）：</w:t>
      </w:r>
      <w:r>
        <w:rPr>
          <w:rFonts w:hint="eastAsia" w:ascii="仿宋" w:hAnsi="仿宋" w:eastAsia="仿宋" w:cs="仿宋"/>
          <w:sz w:val="28"/>
          <w:szCs w:val="28"/>
          <w:u w:val="single"/>
        </w:rPr>
        <w:t xml:space="preserve">   （盖章）         </w:t>
      </w:r>
    </w:p>
    <w:p w14:paraId="2DF1DECD">
      <w:pPr>
        <w:adjustRightInd/>
        <w:spacing w:line="540" w:lineRule="exact"/>
        <w:rPr>
          <w:rFonts w:hint="eastAsia" w:ascii="仿宋" w:hAnsi="仿宋" w:eastAsia="仿宋" w:cs="仿宋"/>
          <w:sz w:val="28"/>
          <w:szCs w:val="28"/>
        </w:rPr>
      </w:pPr>
      <w:r>
        <w:rPr>
          <w:rFonts w:hint="eastAsia" w:ascii="仿宋" w:hAnsi="仿宋" w:eastAsia="仿宋" w:cs="仿宋"/>
          <w:sz w:val="28"/>
          <w:szCs w:val="28"/>
        </w:rPr>
        <w:t>地址：                           地址：</w:t>
      </w:r>
    </w:p>
    <w:p w14:paraId="5173850D">
      <w:pPr>
        <w:adjustRightInd w:val="0"/>
        <w:snapToGrid w:val="0"/>
        <w:spacing w:line="540" w:lineRule="exact"/>
        <w:rPr>
          <w:rFonts w:hint="eastAsia" w:ascii="仿宋" w:hAnsi="仿宋" w:eastAsia="仿宋" w:cs="仿宋"/>
          <w:b/>
          <w:bCs/>
          <w:sz w:val="28"/>
          <w:szCs w:val="28"/>
        </w:rPr>
      </w:pPr>
      <w:r>
        <w:rPr>
          <w:rFonts w:hint="eastAsia" w:ascii="仿宋" w:hAnsi="仿宋" w:eastAsia="仿宋" w:cs="仿宋"/>
          <w:sz w:val="28"/>
          <w:szCs w:val="28"/>
        </w:rPr>
        <w:t>法定代表人或                     法定代表人或</w:t>
      </w:r>
    </w:p>
    <w:p w14:paraId="4DB05ED6">
      <w:pPr>
        <w:adjustRightInd w:val="0"/>
        <w:snapToGrid w:val="0"/>
        <w:spacing w:line="540" w:lineRule="exact"/>
        <w:rPr>
          <w:rFonts w:hint="eastAsia" w:ascii="仿宋" w:hAnsi="仿宋" w:eastAsia="仿宋" w:cs="仿宋"/>
          <w:sz w:val="28"/>
          <w:szCs w:val="28"/>
        </w:rPr>
      </w:pPr>
      <w:r>
        <w:rPr>
          <w:rFonts w:hint="eastAsia" w:ascii="仿宋" w:hAnsi="仿宋" w:eastAsia="仿宋" w:cs="仿宋"/>
          <w:sz w:val="28"/>
          <w:szCs w:val="28"/>
        </w:rPr>
        <w:t>其授权的代理人                   其授权的代理人</w:t>
      </w:r>
    </w:p>
    <w:p w14:paraId="368F0B87">
      <w:pPr>
        <w:adjustRightInd w:val="0"/>
        <w:snapToGrid w:val="0"/>
        <w:spacing w:line="540" w:lineRule="exact"/>
        <w:rPr>
          <w:rFonts w:hint="eastAsia" w:ascii="仿宋" w:hAnsi="仿宋" w:eastAsia="仿宋" w:cs="仿宋"/>
          <w:sz w:val="28"/>
          <w:szCs w:val="28"/>
        </w:rPr>
      </w:pPr>
      <w:r>
        <w:rPr>
          <w:rFonts w:hint="eastAsia" w:ascii="仿宋" w:hAnsi="仿宋" w:eastAsia="仿宋" w:cs="仿宋"/>
          <w:sz w:val="28"/>
          <w:szCs w:val="28"/>
        </w:rPr>
        <w:t>（签字或盖章）：                 （签字或盖章）：</w:t>
      </w:r>
    </w:p>
    <w:p w14:paraId="59C20127">
      <w:pPr>
        <w:adjustRightInd/>
        <w:spacing w:line="360" w:lineRule="auto"/>
        <w:rPr>
          <w:rFonts w:hint="eastAsia" w:ascii="仿宋" w:hAnsi="仿宋" w:eastAsia="仿宋" w:cs="仿宋"/>
          <w:sz w:val="28"/>
          <w:szCs w:val="28"/>
          <w:lang w:eastAsia="zh-Hans"/>
        </w:rPr>
      </w:pPr>
      <w:r>
        <w:rPr>
          <w:rFonts w:hint="eastAsia" w:ascii="仿宋" w:hAnsi="仿宋" w:eastAsia="仿宋" w:cs="仿宋"/>
          <w:sz w:val="28"/>
          <w:szCs w:val="28"/>
          <w:lang w:eastAsia="zh-Hans"/>
        </w:rPr>
        <w:t xml:space="preserve">订立时间： 年月日       </w:t>
      </w:r>
      <w:r>
        <w:rPr>
          <w:rFonts w:hint="eastAsia" w:ascii="仿宋" w:hAnsi="仿宋" w:eastAsia="仿宋" w:cs="仿宋"/>
          <w:sz w:val="28"/>
          <w:szCs w:val="28"/>
        </w:rPr>
        <w:t xml:space="preserve">   </w:t>
      </w:r>
      <w:r>
        <w:rPr>
          <w:rFonts w:hint="eastAsia" w:ascii="仿宋" w:hAnsi="仿宋" w:eastAsia="仿宋" w:cs="仿宋"/>
          <w:sz w:val="28"/>
          <w:szCs w:val="28"/>
          <w:lang w:eastAsia="zh-Hans"/>
        </w:rPr>
        <w:t xml:space="preserve">      订立时间：年月日 </w:t>
      </w:r>
    </w:p>
    <w:p w14:paraId="2ED09EE4">
      <w:pPr>
        <w:adjustRightInd/>
        <w:spacing w:line="240" w:lineRule="auto"/>
        <w:rPr>
          <w:rFonts w:hint="eastAsia" w:ascii="仿宋" w:hAnsi="仿宋" w:eastAsia="仿宋" w:cs="仿宋"/>
          <w:sz w:val="28"/>
          <w:szCs w:val="28"/>
        </w:rPr>
      </w:pPr>
      <w:r>
        <w:rPr>
          <w:rFonts w:hint="eastAsia" w:ascii="仿宋" w:hAnsi="仿宋" w:eastAsia="仿宋" w:cs="仿宋"/>
          <w:sz w:val="28"/>
          <w:szCs w:val="28"/>
        </w:rPr>
        <w:br w:type="page"/>
      </w:r>
    </w:p>
    <w:p w14:paraId="0F679390">
      <w:pPr>
        <w:adjustRightInd/>
        <w:spacing w:line="240" w:lineRule="auto"/>
        <w:jc w:val="left"/>
        <w:rPr>
          <w:rFonts w:hint="eastAsia" w:ascii="仿宋" w:hAnsi="仿宋" w:eastAsia="仿宋" w:cs="仿宋"/>
          <w:sz w:val="28"/>
          <w:szCs w:val="28"/>
        </w:rPr>
      </w:pPr>
      <w:r>
        <w:rPr>
          <w:rFonts w:hint="eastAsia" w:ascii="仿宋" w:hAnsi="仿宋" w:eastAsia="仿宋" w:cs="仿宋"/>
          <w:sz w:val="28"/>
          <w:szCs w:val="28"/>
        </w:rPr>
        <w:t>附件：</w:t>
      </w:r>
    </w:p>
    <w:p w14:paraId="48FD09EA">
      <w:pPr>
        <w:adjustRightInd/>
        <w:spacing w:before="3120" w:beforeLines="1000" w:after="5616" w:afterLines="1800"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u w:val="single"/>
          <w:lang w:eastAsia="zh-CN"/>
        </w:rPr>
        <w:t>厅政务办公系统维护</w:t>
      </w:r>
      <w:r>
        <w:rPr>
          <w:rFonts w:hint="eastAsia" w:ascii="仿宋" w:hAnsi="仿宋" w:eastAsia="仿宋" w:cs="仿宋"/>
          <w:b/>
          <w:sz w:val="28"/>
          <w:szCs w:val="28"/>
          <w:highlight w:val="none"/>
        </w:rPr>
        <w:t>项目保密协议</w:t>
      </w:r>
    </w:p>
    <w:p w14:paraId="5F71BEA8">
      <w:pPr>
        <w:adjustRightInd/>
        <w:spacing w:line="240" w:lineRule="auto"/>
        <w:ind w:firstLine="6"/>
        <w:jc w:val="center"/>
        <w:rPr>
          <w:rFonts w:hint="eastAsia" w:ascii="仿宋" w:hAnsi="仿宋" w:eastAsia="仿宋" w:cs="仿宋"/>
          <w:sz w:val="28"/>
          <w:szCs w:val="28"/>
        </w:rPr>
      </w:pPr>
      <w:r>
        <w:rPr>
          <w:rFonts w:hint="eastAsia" w:ascii="仿宋" w:hAnsi="仿宋" w:eastAsia="仿宋" w:cs="仿宋"/>
          <w:sz w:val="28"/>
          <w:szCs w:val="28"/>
        </w:rPr>
        <w:t xml:space="preserve">   甲  方：</w:t>
      </w:r>
      <w:r>
        <w:rPr>
          <w:rFonts w:hint="eastAsia" w:ascii="仿宋" w:hAnsi="仿宋" w:eastAsia="仿宋" w:cs="仿宋"/>
          <w:sz w:val="28"/>
          <w:szCs w:val="28"/>
          <w:u w:val="single"/>
        </w:rPr>
        <w:t>陕西省交通运行监测中心</w:t>
      </w:r>
    </w:p>
    <w:p w14:paraId="73D8AD42">
      <w:pPr>
        <w:adjustRightInd/>
        <w:spacing w:line="360" w:lineRule="auto"/>
        <w:ind w:firstLine="2240" w:firstLineChars="800"/>
        <w:rPr>
          <w:rFonts w:hint="eastAsia" w:ascii="仿宋" w:hAnsi="仿宋" w:eastAsia="仿宋" w:cs="仿宋"/>
          <w:b/>
          <w:sz w:val="28"/>
          <w:szCs w:val="28"/>
        </w:rPr>
      </w:pPr>
      <w:r>
        <w:rPr>
          <w:rFonts w:hint="eastAsia" w:ascii="仿宋" w:hAnsi="仿宋" w:eastAsia="仿宋" w:cs="仿宋"/>
          <w:sz w:val="28"/>
          <w:szCs w:val="28"/>
        </w:rPr>
        <w:t>乙  方：</w:t>
      </w:r>
      <w:r>
        <w:rPr>
          <w:rFonts w:hint="eastAsia" w:ascii="仿宋" w:hAnsi="仿宋" w:eastAsia="仿宋" w:cs="仿宋"/>
          <w:b/>
          <w:sz w:val="28"/>
          <w:szCs w:val="28"/>
        </w:rPr>
        <w:br w:type="page"/>
      </w:r>
    </w:p>
    <w:p w14:paraId="201A61CA">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b/>
          <w:sz w:val="28"/>
          <w:szCs w:val="28"/>
        </w:rPr>
        <w:t>陕西省交通运行监测中心</w:t>
      </w:r>
    </w:p>
    <w:p w14:paraId="570110B1">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地址：西安市唐延路6号</w:t>
      </w:r>
      <w:r>
        <w:rPr>
          <w:rFonts w:hint="eastAsia" w:ascii="仿宋" w:hAnsi="仿宋" w:eastAsia="仿宋" w:cs="仿宋"/>
          <w:sz w:val="28"/>
          <w:szCs w:val="28"/>
        </w:rPr>
        <w:tab/>
      </w:r>
      <w:r>
        <w:rPr>
          <w:rFonts w:hint="eastAsia" w:ascii="仿宋" w:hAnsi="仿宋" w:eastAsia="仿宋" w:cs="仿宋"/>
          <w:sz w:val="28"/>
          <w:szCs w:val="28"/>
        </w:rPr>
        <w:tab/>
      </w:r>
    </w:p>
    <w:p w14:paraId="4A2EE198">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邮编：710075</w:t>
      </w:r>
      <w:r>
        <w:rPr>
          <w:rFonts w:hint="eastAsia" w:ascii="仿宋" w:hAnsi="仿宋" w:eastAsia="仿宋" w:cs="仿宋"/>
          <w:sz w:val="28"/>
          <w:szCs w:val="28"/>
        </w:rPr>
        <w:tab/>
      </w:r>
    </w:p>
    <w:p w14:paraId="7A599257">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电话：</w:t>
      </w:r>
    </w:p>
    <w:p w14:paraId="2164F443">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w:t>
      </w:r>
    </w:p>
    <w:p w14:paraId="2196CD35">
      <w:pPr>
        <w:adjustRightInd/>
        <w:spacing w:line="360" w:lineRule="auto"/>
        <w:ind w:firstLine="560" w:firstLineChars="200"/>
        <w:rPr>
          <w:rFonts w:hint="eastAsia" w:ascii="仿宋" w:hAnsi="仿宋" w:eastAsia="仿宋" w:cs="仿宋"/>
          <w:bCs/>
          <w:sz w:val="28"/>
          <w:szCs w:val="28"/>
        </w:rPr>
      </w:pPr>
      <w:r>
        <w:rPr>
          <w:rFonts w:hint="eastAsia" w:ascii="仿宋" w:hAnsi="仿宋" w:eastAsia="仿宋" w:cs="仿宋"/>
          <w:sz w:val="28"/>
          <w:szCs w:val="28"/>
        </w:rPr>
        <w:t>地址：</w:t>
      </w:r>
    </w:p>
    <w:p w14:paraId="24126C96">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邮编：           </w:t>
      </w:r>
    </w:p>
    <w:p w14:paraId="7668D8CB">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电话：</w:t>
      </w:r>
    </w:p>
    <w:p w14:paraId="5985B1B2">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依据《中华人民共和国民法典》的规定，</w:t>
      </w:r>
      <w:r>
        <w:rPr>
          <w:rFonts w:hint="eastAsia" w:ascii="仿宋" w:hAnsi="仿宋" w:eastAsia="仿宋" w:cs="仿宋"/>
          <w:sz w:val="28"/>
          <w:szCs w:val="28"/>
          <w:highlight w:val="none"/>
        </w:rPr>
        <w:t>就乙方履行合同《</w:t>
      </w:r>
      <w:r>
        <w:rPr>
          <w:rFonts w:hint="eastAsia" w:ascii="仿宋" w:hAnsi="仿宋" w:eastAsia="仿宋" w:cs="仿宋"/>
          <w:sz w:val="28"/>
          <w:szCs w:val="28"/>
          <w:highlight w:val="none"/>
          <w:lang w:eastAsia="zh-CN"/>
        </w:rPr>
        <w:t>厅政务办公系统维护</w:t>
      </w:r>
      <w:r>
        <w:rPr>
          <w:rFonts w:hint="eastAsia" w:ascii="仿宋" w:hAnsi="仿宋" w:eastAsia="仿宋" w:cs="仿宋"/>
          <w:sz w:val="28"/>
          <w:szCs w:val="28"/>
          <w:highlight w:val="none"/>
        </w:rPr>
        <w:t>》期间，乙方所接触到的甲方</w:t>
      </w:r>
      <w:r>
        <w:rPr>
          <w:rFonts w:hint="eastAsia" w:ascii="仿宋" w:hAnsi="仿宋" w:eastAsia="仿宋" w:cs="仿宋"/>
          <w:sz w:val="28"/>
          <w:szCs w:val="28"/>
        </w:rPr>
        <w:t>各种技术内容、会议信息和其他秘密的保守事项，经协商一致，签订本协议。</w:t>
      </w:r>
    </w:p>
    <w:p w14:paraId="205684CD">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一、保密范围和秘密定义</w:t>
      </w:r>
    </w:p>
    <w:p w14:paraId="78989C19">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1.本协议提及的技术秘密，包括但不限于：技术方案、设备配置、技术指标、技术报告、检测报告、试验结果、操作手册、技术文档、相关的函电，等等。</w:t>
      </w:r>
    </w:p>
    <w:p w14:paraId="6F6848A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2C8AC130">
      <w:pPr>
        <w:adjustRightInd/>
        <w:spacing w:line="360" w:lineRule="auto"/>
        <w:ind w:firstLine="560" w:firstLineChars="200"/>
        <w:rPr>
          <w:rFonts w:hint="eastAsia" w:ascii="仿宋" w:hAnsi="仿宋" w:eastAsia="仿宋" w:cs="仿宋"/>
          <w:sz w:val="30"/>
          <w:szCs w:val="22"/>
        </w:rPr>
      </w:pPr>
      <w:r>
        <w:rPr>
          <w:rFonts w:hint="eastAsia" w:ascii="仿宋" w:hAnsi="仿宋" w:eastAsia="仿宋" w:cs="仿宋"/>
          <w:sz w:val="28"/>
          <w:szCs w:val="28"/>
        </w:rPr>
        <w:t>3.保密期限：自合同签订之日起至乙方技术服务结束之日起五年。</w:t>
      </w:r>
    </w:p>
    <w:p w14:paraId="4BF3998E">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二、甲方的权利和义务</w:t>
      </w:r>
    </w:p>
    <w:p w14:paraId="24235118">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甲方应指定专人定期督导和检查乙方关于秘密保守的执行情况。</w:t>
      </w:r>
    </w:p>
    <w:p w14:paraId="6EFFA307">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三、乙方的权利和义务</w:t>
      </w:r>
    </w:p>
    <w:p w14:paraId="770FFE55">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1.乙方在甲方单位服务期间，必须遵守甲方规定的任何成文或不成文的保密规章、制度，履行与其工作相应的保密职责。</w:t>
      </w:r>
    </w:p>
    <w:p w14:paraId="35E6537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2.乙方承诺，甲方的保密规章、制度没有规定或者规定不明确之处，乙方亦应本着谨慎、诚实的态度，维护其于服务期间知悉的技术秘密或其他秘密信息，以保持其机密性。</w:t>
      </w:r>
    </w:p>
    <w:p w14:paraId="4C0D06B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3.除了履行服务职责的需要之外，乙方承诺，未经甲方同意，不得以任何方式向甲方指定人员以外的其他任何人或单位传递属于甲方的秘密。</w:t>
      </w:r>
    </w:p>
    <w:p w14:paraId="2CA92882">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4.乙方服务结束之后仍对其在甲方服务期间接触、知悉的属于甲方的技术秘密和其他秘密信息，承担如同服务期间一样的保密义务，而无论乙方因何种原因结束技术服务。</w:t>
      </w:r>
    </w:p>
    <w:p w14:paraId="74F1736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5.乙方承诺，在为甲方履行技术服务时，不得擅自使用任何属于他人的技术秘密或其他秘密信息。</w:t>
      </w:r>
    </w:p>
    <w:p w14:paraId="06DFBAEB">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6.乙方因工作上的需要所持有或保管的一切记录着甲方秘密信息的文件、资料、图表、笔记、报告、信件、磁带、磁盘、仪器以及其他任何形式的载体，均归甲方所有。</w:t>
      </w:r>
    </w:p>
    <w:p w14:paraId="02FBAEDE">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7.乙方应当于技术服务结束时，或者于甲方提出请求时，返还全部记载着甲方秘密信息的一切载体。</w:t>
      </w:r>
    </w:p>
    <w:p w14:paraId="159A1074">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四、违约责任</w:t>
      </w:r>
    </w:p>
    <w:p w14:paraId="4CF09BD5">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1.双方因履行本协议而引起的争议或与本协议有关的争议，双方通过友好协商解决。如果无法达成一致意见，任何一方均有权限据本协议向甲方所在地人民法院提起诉讼解决。</w:t>
      </w:r>
    </w:p>
    <w:p w14:paraId="201B021F">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2.一方违反本协议时，另一方有权终止本协议，并有权向违约方主张合同总金额20%的违约金。</w:t>
      </w:r>
    </w:p>
    <w:p w14:paraId="505AD2BD">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五、协议的变更和解除</w:t>
      </w:r>
    </w:p>
    <w:p w14:paraId="3A2A0308">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1.在协议履行期内，甲乙双方均不得擅自变更或解除本协议。但经双方友好协商可对本协议条款进行变更或解除本协议。在技术服务合同期限内，甲乙双方不得终止本协议。</w:t>
      </w:r>
    </w:p>
    <w:p w14:paraId="75375EEA">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2.因客观原因，一方要求变更本协议时，须提前7天通知另一方，并征得的另一方的同意。</w:t>
      </w:r>
    </w:p>
    <w:p w14:paraId="35480021">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3.因一方严重违约使本协议不能履行，另一方可单方面解除本协议，同时由违约方应承担违约责任，并对因违约所造成的损失予以赔偿。</w:t>
      </w:r>
    </w:p>
    <w:p w14:paraId="591A08B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4.本协议未尽事宜由甲乙双方协商解决，并以书面备忘录形式加以补充规定，备忘录与本协议具有同等的法律效力。</w:t>
      </w:r>
    </w:p>
    <w:p w14:paraId="46EDB263">
      <w:pPr>
        <w:adjustRightInd/>
        <w:spacing w:line="360" w:lineRule="auto"/>
        <w:rPr>
          <w:rFonts w:hint="eastAsia" w:ascii="仿宋" w:hAnsi="仿宋" w:eastAsia="仿宋" w:cs="仿宋"/>
          <w:b/>
          <w:sz w:val="28"/>
          <w:szCs w:val="28"/>
        </w:rPr>
      </w:pPr>
      <w:r>
        <w:rPr>
          <w:rFonts w:hint="eastAsia" w:ascii="仿宋" w:hAnsi="仿宋" w:eastAsia="仿宋" w:cs="仿宋"/>
          <w:b/>
          <w:sz w:val="28"/>
          <w:szCs w:val="28"/>
        </w:rPr>
        <w:t>六、其它</w:t>
      </w:r>
    </w:p>
    <w:p w14:paraId="7564D6A1">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1.未尽事宜，双方本着友好精神，另行协商。</w:t>
      </w:r>
    </w:p>
    <w:p w14:paraId="44A7E11E">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2.本协议一式肆份，甲方贰份，乙方贰份，具有同等效力。</w:t>
      </w:r>
    </w:p>
    <w:p w14:paraId="46C730D0">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0E306C4C">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4.本协议自双方签字、盖章完成之日起生效。</w:t>
      </w:r>
    </w:p>
    <w:p w14:paraId="05C161D4">
      <w:pPr>
        <w:adjustRightInd/>
        <w:spacing w:line="360" w:lineRule="auto"/>
        <w:ind w:left="426"/>
        <w:rPr>
          <w:rFonts w:hint="eastAsia" w:ascii="仿宋" w:hAnsi="仿宋" w:eastAsia="仿宋" w:cs="仿宋"/>
          <w:sz w:val="28"/>
          <w:szCs w:val="28"/>
        </w:rPr>
      </w:pPr>
    </w:p>
    <w:p w14:paraId="2608A3C1">
      <w:pPr>
        <w:adjustRightInd/>
        <w:spacing w:line="360" w:lineRule="auto"/>
        <w:jc w:val="left"/>
        <w:rPr>
          <w:rFonts w:hint="eastAsia" w:ascii="仿宋" w:hAnsi="仿宋" w:eastAsia="仿宋" w:cs="仿宋"/>
          <w:sz w:val="28"/>
          <w:szCs w:val="28"/>
        </w:rPr>
      </w:pPr>
    </w:p>
    <w:tbl>
      <w:tblPr>
        <w:tblStyle w:val="3"/>
        <w:tblW w:w="9066" w:type="dxa"/>
        <w:jc w:val="center"/>
        <w:tblLayout w:type="fixed"/>
        <w:tblCellMar>
          <w:top w:w="0" w:type="dxa"/>
          <w:left w:w="284" w:type="dxa"/>
          <w:bottom w:w="0" w:type="dxa"/>
          <w:right w:w="0" w:type="dxa"/>
        </w:tblCellMar>
      </w:tblPr>
      <w:tblGrid>
        <w:gridCol w:w="4533"/>
        <w:gridCol w:w="4533"/>
      </w:tblGrid>
      <w:tr w14:paraId="27B9196A">
        <w:tblPrEx>
          <w:tblCellMar>
            <w:top w:w="0" w:type="dxa"/>
            <w:left w:w="284" w:type="dxa"/>
            <w:bottom w:w="0" w:type="dxa"/>
            <w:right w:w="0" w:type="dxa"/>
          </w:tblCellMar>
        </w:tblPrEx>
        <w:trPr>
          <w:trHeight w:val="1265" w:hRule="atLeast"/>
          <w:jc w:val="center"/>
        </w:trPr>
        <w:tc>
          <w:tcPr>
            <w:tcW w:w="4533" w:type="dxa"/>
          </w:tcPr>
          <w:p w14:paraId="68191423">
            <w:pPr>
              <w:widowControl/>
              <w:adjustRightInd/>
              <w:spacing w:line="360" w:lineRule="auto"/>
              <w:ind w:right="-31"/>
              <w:jc w:val="left"/>
              <w:rPr>
                <w:rFonts w:hint="eastAsia" w:ascii="仿宋" w:hAnsi="仿宋" w:eastAsia="仿宋" w:cs="仿宋"/>
                <w:sz w:val="28"/>
                <w:szCs w:val="28"/>
              </w:rPr>
            </w:pPr>
            <w:r>
              <w:rPr>
                <w:rFonts w:hint="eastAsia" w:ascii="仿宋" w:hAnsi="仿宋" w:eastAsia="仿宋" w:cs="仿宋"/>
                <w:sz w:val="28"/>
                <w:szCs w:val="28"/>
              </w:rPr>
              <w:t>甲方：陕西省交通运行监测中心（公章）</w:t>
            </w:r>
          </w:p>
        </w:tc>
        <w:tc>
          <w:tcPr>
            <w:tcW w:w="4533" w:type="dxa"/>
          </w:tcPr>
          <w:p w14:paraId="464A5732">
            <w:pPr>
              <w:widowControl/>
              <w:adjustRightInd/>
              <w:spacing w:line="360" w:lineRule="auto"/>
              <w:ind w:left="700" w:right="102" w:hanging="700" w:hangingChars="250"/>
              <w:jc w:val="left"/>
              <w:rPr>
                <w:rFonts w:hint="eastAsia" w:ascii="仿宋" w:hAnsi="仿宋" w:eastAsia="仿宋" w:cs="仿宋"/>
                <w:sz w:val="28"/>
                <w:szCs w:val="28"/>
              </w:rPr>
            </w:pPr>
            <w:r>
              <w:rPr>
                <w:rFonts w:hint="eastAsia" w:ascii="仿宋" w:hAnsi="仿宋" w:eastAsia="仿宋" w:cs="仿宋"/>
                <w:sz w:val="28"/>
                <w:szCs w:val="28"/>
              </w:rPr>
              <w:t>乙方： （公章）</w:t>
            </w:r>
          </w:p>
        </w:tc>
      </w:tr>
      <w:tr w14:paraId="358C5BB2">
        <w:tblPrEx>
          <w:tblCellMar>
            <w:top w:w="0" w:type="dxa"/>
            <w:left w:w="284" w:type="dxa"/>
            <w:bottom w:w="0" w:type="dxa"/>
            <w:right w:w="0" w:type="dxa"/>
          </w:tblCellMar>
        </w:tblPrEx>
        <w:trPr>
          <w:trHeight w:val="2684" w:hRule="atLeast"/>
          <w:jc w:val="center"/>
        </w:trPr>
        <w:tc>
          <w:tcPr>
            <w:tcW w:w="4533" w:type="dxa"/>
          </w:tcPr>
          <w:p w14:paraId="0624D9A0">
            <w:pPr>
              <w:widowControl/>
              <w:adjustRightInd/>
              <w:spacing w:line="360" w:lineRule="auto"/>
              <w:ind w:left="100"/>
              <w:rPr>
                <w:rFonts w:hint="eastAsia" w:ascii="仿宋" w:hAnsi="仿宋" w:eastAsia="仿宋" w:cs="仿宋"/>
                <w:sz w:val="28"/>
                <w:szCs w:val="28"/>
              </w:rPr>
            </w:pPr>
            <w:r>
              <w:rPr>
                <w:rFonts w:hint="eastAsia" w:ascii="仿宋" w:hAnsi="仿宋" w:eastAsia="仿宋" w:cs="仿宋"/>
                <w:sz w:val="28"/>
                <w:szCs w:val="28"/>
              </w:rPr>
              <w:t>法定代表人</w:t>
            </w:r>
          </w:p>
          <w:p w14:paraId="45465C21">
            <w:pPr>
              <w:widowControl/>
              <w:adjustRightInd/>
              <w:spacing w:line="360" w:lineRule="auto"/>
              <w:ind w:left="100"/>
              <w:rPr>
                <w:rFonts w:hint="eastAsia" w:ascii="仿宋" w:hAnsi="仿宋" w:eastAsia="仿宋" w:cs="仿宋"/>
                <w:sz w:val="28"/>
                <w:szCs w:val="28"/>
              </w:rPr>
            </w:pPr>
            <w:r>
              <w:rPr>
                <w:rFonts w:hint="eastAsia" w:ascii="仿宋" w:hAnsi="仿宋" w:eastAsia="仿宋" w:cs="仿宋"/>
                <w:sz w:val="28"/>
                <w:szCs w:val="28"/>
              </w:rPr>
              <w:t>或授权代表人：</w:t>
            </w:r>
          </w:p>
          <w:p w14:paraId="1440E7B2">
            <w:pPr>
              <w:widowControl/>
              <w:adjustRightInd/>
              <w:spacing w:line="360" w:lineRule="auto"/>
              <w:ind w:left="100" w:firstLine="280" w:firstLineChars="100"/>
              <w:rPr>
                <w:rFonts w:hint="eastAsia" w:ascii="仿宋" w:hAnsi="仿宋" w:eastAsia="仿宋" w:cs="仿宋"/>
                <w:sz w:val="28"/>
                <w:szCs w:val="28"/>
              </w:rPr>
            </w:pPr>
            <w:r>
              <w:rPr>
                <w:rFonts w:hint="eastAsia" w:ascii="仿宋" w:hAnsi="仿宋" w:eastAsia="仿宋" w:cs="仿宋"/>
                <w:sz w:val="28"/>
                <w:szCs w:val="28"/>
              </w:rPr>
              <w:t>（签章）</w:t>
            </w:r>
          </w:p>
        </w:tc>
        <w:tc>
          <w:tcPr>
            <w:tcW w:w="4533" w:type="dxa"/>
          </w:tcPr>
          <w:p w14:paraId="1602BD1E">
            <w:pPr>
              <w:widowControl/>
              <w:adjustRightInd/>
              <w:spacing w:line="360" w:lineRule="auto"/>
              <w:ind w:left="100"/>
              <w:rPr>
                <w:rFonts w:hint="eastAsia" w:ascii="仿宋" w:hAnsi="仿宋" w:eastAsia="仿宋" w:cs="仿宋"/>
                <w:sz w:val="28"/>
                <w:szCs w:val="28"/>
              </w:rPr>
            </w:pPr>
            <w:r>
              <w:rPr>
                <w:rFonts w:hint="eastAsia" w:ascii="仿宋" w:hAnsi="仿宋" w:eastAsia="仿宋" w:cs="仿宋"/>
                <w:sz w:val="28"/>
                <w:szCs w:val="28"/>
              </w:rPr>
              <w:t>法定代表人</w:t>
            </w:r>
          </w:p>
          <w:p w14:paraId="230FBD6C">
            <w:pPr>
              <w:widowControl/>
              <w:adjustRightInd/>
              <w:spacing w:line="360" w:lineRule="auto"/>
              <w:ind w:left="100"/>
              <w:rPr>
                <w:rFonts w:hint="eastAsia" w:ascii="仿宋" w:hAnsi="仿宋" w:eastAsia="仿宋" w:cs="仿宋"/>
                <w:sz w:val="28"/>
                <w:szCs w:val="28"/>
              </w:rPr>
            </w:pPr>
            <w:r>
              <w:rPr>
                <w:rFonts w:hint="eastAsia" w:ascii="仿宋" w:hAnsi="仿宋" w:eastAsia="仿宋" w:cs="仿宋"/>
                <w:sz w:val="28"/>
                <w:szCs w:val="28"/>
              </w:rPr>
              <w:t>或授权代表人：</w:t>
            </w:r>
          </w:p>
          <w:p w14:paraId="7D2B7860">
            <w:pPr>
              <w:widowControl/>
              <w:adjustRightInd/>
              <w:spacing w:line="360" w:lineRule="auto"/>
              <w:ind w:left="100" w:firstLine="280" w:firstLineChars="100"/>
              <w:rPr>
                <w:rFonts w:hint="eastAsia" w:ascii="仿宋" w:hAnsi="仿宋" w:eastAsia="仿宋" w:cs="仿宋"/>
                <w:sz w:val="28"/>
                <w:szCs w:val="28"/>
              </w:rPr>
            </w:pPr>
            <w:r>
              <w:rPr>
                <w:rFonts w:hint="eastAsia" w:ascii="仿宋" w:hAnsi="仿宋" w:eastAsia="仿宋" w:cs="仿宋"/>
                <w:sz w:val="28"/>
                <w:szCs w:val="28"/>
              </w:rPr>
              <w:t>（签章）</w:t>
            </w:r>
          </w:p>
        </w:tc>
      </w:tr>
      <w:tr w14:paraId="21EF7046">
        <w:tblPrEx>
          <w:tblCellMar>
            <w:top w:w="0" w:type="dxa"/>
            <w:left w:w="284" w:type="dxa"/>
            <w:bottom w:w="0" w:type="dxa"/>
            <w:right w:w="0" w:type="dxa"/>
          </w:tblCellMar>
        </w:tblPrEx>
        <w:trPr>
          <w:trHeight w:val="590" w:hRule="atLeast"/>
          <w:jc w:val="center"/>
        </w:trPr>
        <w:tc>
          <w:tcPr>
            <w:tcW w:w="9066" w:type="dxa"/>
            <w:gridSpan w:val="2"/>
          </w:tcPr>
          <w:p w14:paraId="2CB2DB2C">
            <w:pPr>
              <w:widowControl/>
              <w:wordWrap w:val="0"/>
              <w:adjustRightInd/>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订立时间：        年      月      日          </w:t>
            </w:r>
          </w:p>
        </w:tc>
      </w:tr>
    </w:tbl>
    <w:p w14:paraId="3A6D290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0746D8"/>
    <w:rsid w:val="70D249AC"/>
    <w:rsid w:val="7C8C6A2C"/>
    <w:rsid w:val="7F6F6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2969</Words>
  <Characters>3116</Characters>
  <Lines>0</Lines>
  <Paragraphs>0</Paragraphs>
  <TotalTime>0</TotalTime>
  <ScaleCrop>false</ScaleCrop>
  <LinksUpToDate>false</LinksUpToDate>
  <CharactersWithSpaces>3232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2026-06-02T13:25:00Z</dcterms:created>
  <dc:creator>pc</dc:creator>
  <cp:lastModifiedBy>肖肖</cp:lastModifiedBy>
  <dcterms:modified xsi:type="dcterms:W3CDTF">2026-06-02T13:34:51Z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F24D01F51845499BA55365E89C314C58_12</vt:lpwstr>
  </property>
</Properties>
</file>