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版本号：DX2026--14420260623001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2026年至2027年“网观西安（网信西安）”新媒体矩阵运维服务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DX2026--144</w:t>
      </w:r>
      <w:r>
        <w:br/>
      </w:r>
      <w:r>
        <w:br/>
      </w:r>
      <w:r>
        <w:br/>
      </w:r>
    </w:p>
    <w:p>
      <w:pPr>
        <w:pStyle w:val="null3"/>
        <w:jc w:val="center"/>
        <w:outlineLvl w:val="2"/>
      </w:pPr>
      <w:r>
        <w:rPr>
          <w:rFonts w:ascii="仿宋_GB2312" w:hAnsi="仿宋_GB2312" w:cs="仿宋_GB2312" w:eastAsia="仿宋_GB2312"/>
          <w:sz w:val="28"/>
          <w:b/>
        </w:rPr>
        <w:t>中共西安市委网络安全和信息化委员会办公室</w:t>
      </w:r>
    </w:p>
    <w:p>
      <w:pPr>
        <w:pStyle w:val="null3"/>
        <w:jc w:val="center"/>
        <w:outlineLvl w:val="2"/>
      </w:pPr>
      <w:r>
        <w:rPr>
          <w:rFonts w:ascii="仿宋_GB2312" w:hAnsi="仿宋_GB2312" w:cs="仿宋_GB2312" w:eastAsia="仿宋_GB2312"/>
          <w:sz w:val="28"/>
          <w:b/>
        </w:rPr>
        <w:t>陕西笃信招标有限公司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陕西笃信招标有限公司</w:t>
      </w:r>
      <w:r>
        <w:rPr>
          <w:rFonts w:ascii="仿宋_GB2312" w:hAnsi="仿宋_GB2312" w:cs="仿宋_GB2312" w:eastAsia="仿宋_GB2312"/>
        </w:rPr>
        <w:t>（以下简称“代理机构”）受</w:t>
      </w:r>
      <w:r>
        <w:rPr>
          <w:rFonts w:ascii="仿宋_GB2312" w:hAnsi="仿宋_GB2312" w:cs="仿宋_GB2312" w:eastAsia="仿宋_GB2312"/>
        </w:rPr>
        <w:t>中共西安市委网络安全和信息化委员会办公室</w:t>
      </w:r>
      <w:r>
        <w:rPr>
          <w:rFonts w:ascii="仿宋_GB2312" w:hAnsi="仿宋_GB2312" w:cs="仿宋_GB2312" w:eastAsia="仿宋_GB2312"/>
        </w:rPr>
        <w:t>委托，拟对</w:t>
      </w:r>
      <w:r>
        <w:rPr>
          <w:rFonts w:ascii="仿宋_GB2312" w:hAnsi="仿宋_GB2312" w:cs="仿宋_GB2312" w:eastAsia="仿宋_GB2312"/>
        </w:rPr>
        <w:t>2026年至2027年“网观西安（网信西安）”新媒体矩阵运维服务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DX2026--144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2026年至2027年“网观西安（网信西安）”新媒体矩阵运维服务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中共西安市委网络安全和信息化委员会办公室2026年至2027年“网观西安（网信西安）”新媒体矩阵运维服务。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采购包1（2026年至2027年“网观西安（网信西安）”新媒体矩阵运维服务）：属于专门面向中小企业采购。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1、政府采购法第二十二条规定：1、营业执照等主体资格证明文件：提供统一社会信用代码的营业执照或其他组织经营的合法凭证或自然人的提供身份证明文件。 2、财务状况报告：提供具有财务审计资质单位出具的2024或2025年度财务报告或开标前六个月内其基本账户银行出具的资信证明或财政部门认可的政府采购专业担保机构出具的担保函，以上形式的证明资料提供任何一种即可。 3、税收缴纳证明：提供已缴纳的2025年6月1日以来任意时间段的纳税证明或完税证明，纳税证明或完税证明上应有代收机构或税务机关的公章或业务专用章。依法免税的供应商应提供相关文件证明。 4、社保缴纳证明：提供已缴存的2025年6月1日以来任意时间段的社会保障资金缴存单据或社保机构开具的社会保险参保缴费情况证明。成立时间至提交响应文件截止时间不足一个月或依法不需要缴纳社会保障资金的供应商应提供相关文件证明。 5、书面声明：①出具履行合同所必需的设备和专业技术能力的书面声明；②出具参加本次政府采购活动的书面声明。</w:t>
      </w:r>
    </w:p>
    <w:p>
      <w:pPr>
        <w:pStyle w:val="null3"/>
      </w:pPr>
      <w:r>
        <w:rPr>
          <w:rFonts w:ascii="仿宋_GB2312" w:hAnsi="仿宋_GB2312" w:cs="仿宋_GB2312" w:eastAsia="仿宋_GB2312"/>
        </w:rPr>
        <w:t>2、法定代表人授权委托书：法定代表人直接参加的须出具法人身份证明并与营业执照信息一致，法定代表人授权代表参加的须出具法定代表人授权书及被授权人本单位证明（投标截止前六个月内投标供应商为其缴纳的任意一个月的养老保险缴纳证明）。</w:t>
      </w:r>
    </w:p>
    <w:p>
      <w:pPr>
        <w:pStyle w:val="null3"/>
      </w:pPr>
      <w:r>
        <w:rPr>
          <w:rFonts w:ascii="仿宋_GB2312" w:hAnsi="仿宋_GB2312" w:cs="仿宋_GB2312" w:eastAsia="仿宋_GB2312"/>
        </w:rPr>
        <w:t>3、信用记录：经查，供应商未被列入“信用中国”网站记录的“失信被执行人”或“重大税收违法失信主体”名单；不处于“中国政府采购网”记录的“政府采购严重违法失信行为记录名单”中的禁止参加政府采购活动期间。（以评审现场查询记录为准）</w:t>
      </w:r>
    </w:p>
    <w:p>
      <w:pPr>
        <w:pStyle w:val="null3"/>
      </w:pPr>
      <w:r>
        <w:rPr>
          <w:rFonts w:ascii="仿宋_GB2312" w:hAnsi="仿宋_GB2312" w:cs="仿宋_GB2312" w:eastAsia="仿宋_GB2312"/>
        </w:rPr>
        <w:t>4、承诺函：本项目不接受联合体投标，不得转包、分包或以其它联营挂靠形式分包给其他单位或个人，提供承诺函（格式自拟）。</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中共西安市委网络安全和信息化委员会办公室</w:t>
      </w:r>
    </w:p>
    <w:p>
      <w:pPr>
        <w:pStyle w:val="null3"/>
      </w:pPr>
      <w:r>
        <w:rPr>
          <w:rFonts w:ascii="仿宋_GB2312" w:hAnsi="仿宋_GB2312" w:cs="仿宋_GB2312" w:eastAsia="仿宋_GB2312"/>
        </w:rPr>
        <w:t xml:space="preserve"> 地址： </w:t>
      </w:r>
      <w:r>
        <w:rPr>
          <w:rFonts w:ascii="仿宋_GB2312" w:hAnsi="仿宋_GB2312" w:cs="仿宋_GB2312" w:eastAsia="仿宋_GB2312"/>
        </w:rPr>
        <w:t>凤城八路99号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常老师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029-86782958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陕西笃信招标有限公司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西安市经济技术开发区凤城十一路与文景路十字文景商务广场B座8层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张亚娜、刘艳娇、聂肖、王雪艳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029-86253389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采购包1：1,325,000.00元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采购代理机构参照国家计委关于《国家发展改革委办公厅关于招标代理服务收费有关问题的通知》（发改价格[2003]857号）、《国家发展改革委关于进一步放开建设项目专业服务价格的通知》收取。注：代理服务费不足6000元的，按6000元收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中共西安市委网络安全和信息化委员会办公室</w:t>
      </w:r>
      <w:r>
        <w:rPr>
          <w:rFonts w:ascii="仿宋_GB2312" w:hAnsi="仿宋_GB2312" w:cs="仿宋_GB2312" w:eastAsia="仿宋_GB2312"/>
        </w:rPr>
        <w:t>和</w:t>
      </w:r>
      <w:r>
        <w:rPr>
          <w:rFonts w:ascii="仿宋_GB2312" w:hAnsi="仿宋_GB2312" w:cs="仿宋_GB2312" w:eastAsia="仿宋_GB2312"/>
        </w:rPr>
        <w:t>陕西笃信招标有限公司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中共西安市委网络安全和信息化委员会办公室</w:t>
      </w:r>
      <w:r>
        <w:rPr>
          <w:rFonts w:ascii="仿宋_GB2312" w:hAnsi="仿宋_GB2312" w:cs="仿宋_GB2312" w:eastAsia="仿宋_GB2312"/>
        </w:rPr>
        <w:t>负责解释。除上述磋商文件内容，其他内容由</w:t>
      </w:r>
      <w:r>
        <w:rPr>
          <w:rFonts w:ascii="仿宋_GB2312" w:hAnsi="仿宋_GB2312" w:cs="仿宋_GB2312" w:eastAsia="仿宋_GB2312"/>
        </w:rPr>
        <w:t>陕西笃信招标有限公司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中共西安市委网络安全和信息化委员会办公室</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陕西笃信招标有限公司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详⻅采购合同附件。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陕西笃信招标有限公司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陕西笃信招标有限公司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陕西笃信招标有限公司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联系人：张亚娜、刘艳娇、聂肖</w:t>
      </w:r>
    </w:p>
    <w:p>
      <w:pPr>
        <w:pStyle w:val="null3"/>
      </w:pPr>
      <w:r>
        <w:rPr>
          <w:rFonts w:ascii="仿宋_GB2312" w:hAnsi="仿宋_GB2312" w:cs="仿宋_GB2312" w:eastAsia="仿宋_GB2312"/>
        </w:rPr>
        <w:t>联系电话：029-86253389</w:t>
      </w:r>
    </w:p>
    <w:p>
      <w:pPr>
        <w:pStyle w:val="null3"/>
      </w:pPr>
      <w:r>
        <w:rPr>
          <w:rFonts w:ascii="仿宋_GB2312" w:hAnsi="仿宋_GB2312" w:cs="仿宋_GB2312" w:eastAsia="仿宋_GB2312"/>
        </w:rPr>
        <w:t>地址：西安市经济技术开发区凤城十一路与文景路十字文景商务广场B座8层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中共西安市委网络安全和信息化委员会办公室2026年至2027年“网观西安（网信西安）”新媒体矩阵运维服务。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1,325,000.00</w:t>
      </w:r>
    </w:p>
    <w:p>
      <w:pPr>
        <w:pStyle w:val="null3"/>
      </w:pPr>
      <w:r>
        <w:rPr>
          <w:rFonts w:ascii="仿宋_GB2312" w:hAnsi="仿宋_GB2312" w:cs="仿宋_GB2312" w:eastAsia="仿宋_GB2312"/>
        </w:rPr>
        <w:t>采购包最高限价（元）: 1,325,000.00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2026年至2027年“网观西安（网信西安）”新媒体矩阵运维服务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1,325,000.00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标的名称：2026年至2027年“网观西安（网信西安）”新媒体矩阵运维服务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b/>
              </w:rPr>
              <w:t>一、活动主题</w:t>
            </w:r>
          </w:p>
          <w:p>
            <w:pPr>
              <w:pStyle w:val="null3"/>
            </w:pPr>
            <w:r>
              <w:rPr>
                <w:rFonts w:ascii="仿宋_GB2312" w:hAnsi="仿宋_GB2312" w:cs="仿宋_GB2312" w:eastAsia="仿宋_GB2312"/>
                <w:sz w:val="21"/>
              </w:rPr>
              <w:t>2026年至2027年“网观西安（网信西安）”新媒体矩阵运维服务</w:t>
            </w:r>
          </w:p>
          <w:p>
            <w:pPr>
              <w:pStyle w:val="null3"/>
            </w:pPr>
            <w:r>
              <w:rPr>
                <w:rFonts w:ascii="仿宋_GB2312" w:hAnsi="仿宋_GB2312" w:cs="仿宋_GB2312" w:eastAsia="仿宋_GB2312"/>
                <w:sz w:val="21"/>
                <w:b/>
              </w:rPr>
              <w:t>二、</w:t>
            </w:r>
            <w:r>
              <w:rPr>
                <w:rFonts w:ascii="仿宋_GB2312" w:hAnsi="仿宋_GB2312" w:cs="仿宋_GB2312" w:eastAsia="仿宋_GB2312"/>
                <w:sz w:val="21"/>
                <w:b/>
              </w:rPr>
              <w:t>项目要求</w:t>
            </w:r>
          </w:p>
          <w:p>
            <w:pPr>
              <w:pStyle w:val="null3"/>
            </w:pPr>
            <w:r>
              <w:rPr>
                <w:rFonts w:ascii="仿宋_GB2312" w:hAnsi="仿宋_GB2312" w:cs="仿宋_GB2312" w:eastAsia="仿宋_GB2312"/>
                <w:sz w:val="21"/>
                <w:b/>
              </w:rPr>
              <w:t>（一）网观西安</w:t>
            </w:r>
          </w:p>
          <w:p>
            <w:pPr>
              <w:pStyle w:val="null3"/>
            </w:pPr>
            <w:r>
              <w:rPr>
                <w:rFonts w:ascii="仿宋_GB2312" w:hAnsi="仿宋_GB2312" w:cs="仿宋_GB2312" w:eastAsia="仿宋_GB2312"/>
                <w:sz w:val="21"/>
              </w:rPr>
              <w:t>1. 运维时间：2026年7月至2027年6月</w:t>
            </w:r>
          </w:p>
          <w:p>
            <w:pPr>
              <w:pStyle w:val="null3"/>
            </w:pPr>
            <w:r>
              <w:rPr>
                <w:rFonts w:ascii="仿宋_GB2312" w:hAnsi="仿宋_GB2312" w:cs="仿宋_GB2312" w:eastAsia="仿宋_GB2312"/>
                <w:sz w:val="21"/>
              </w:rPr>
              <w:t>2. 基本思路：全面落实网络意识形态工作责任制，对标学习“浙江宣传”，紧扣全市中心工作与网络热点，立足“紧扣时代脉搏、把准政治方向，聚焦西安发展、服务市民需求”理念，坚守“主动设题、精准引导、敢于亮剑、亲民共情”姿态，在网络舆论场主动作为、彰显担当，努力打造网友信赖的城市网络家园。着力打造展示西安经济社会发展成果的权威宣传平台，引领全市意识形态与网上舆论的重要传播平台，服务市民群众与凝聚社会共识的公共内容平台。持续提升传播力、引导力、影响力、公信力，为西安十五五开局、高质量发展营造清朗网络空间与良好舆论氛围。</w:t>
            </w:r>
          </w:p>
          <w:p>
            <w:pPr>
              <w:pStyle w:val="null3"/>
            </w:pPr>
            <w:r>
              <w:rPr>
                <w:rFonts w:ascii="仿宋_GB2312" w:hAnsi="仿宋_GB2312" w:cs="仿宋_GB2312" w:eastAsia="仿宋_GB2312"/>
                <w:sz w:val="21"/>
                <w:b/>
              </w:rPr>
              <w:t>3. 提升方向：</w:t>
            </w:r>
          </w:p>
          <w:p>
            <w:pPr>
              <w:pStyle w:val="null3"/>
            </w:pPr>
            <w:r>
              <w:rPr>
                <w:rFonts w:ascii="仿宋_GB2312" w:hAnsi="仿宋_GB2312" w:cs="仿宋_GB2312" w:eastAsia="仿宋_GB2312"/>
                <w:sz w:val="21"/>
              </w:rPr>
              <w:t>经过三年持续运营，“网观西安”已形成鲜明特色与稳定受众基础。结合当前新媒体深度融合发展趋势、政务宣传规范化要求与群众信息需求新变化，依托专业服务商力量，重点从以下5方面提质增效：</w:t>
            </w:r>
          </w:p>
          <w:p>
            <w:pPr>
              <w:pStyle w:val="null3"/>
            </w:pPr>
            <w:r>
              <w:rPr>
                <w:rFonts w:ascii="仿宋_GB2312" w:hAnsi="仿宋_GB2312" w:cs="仿宋_GB2312" w:eastAsia="仿宋_GB2312"/>
                <w:sz w:val="21"/>
              </w:rPr>
              <w:t>①稿源拓展提质：以不少于3名专职主笔为核心支撑，健全优质内容激励机制，持续开展“特约撰稿人计划”，稳定5名特约撰稿人长期供稿，对外扩大全网征稿覆盖面，吸纳专家学者、媒体人士、网络达人、基层骨干等多元力量，构建稳定高效供稿社群。精准采写中心工作和网络热点稿件，强化多元表达、开放思维、群众语言，构建“权威解读+民生视角+社会参与”的立体化内容供给体系。</w:t>
            </w:r>
          </w:p>
          <w:p>
            <w:pPr>
              <w:pStyle w:val="null3"/>
            </w:pPr>
            <w:r>
              <w:rPr>
                <w:rFonts w:ascii="仿宋_GB2312" w:hAnsi="仿宋_GB2312" w:cs="仿宋_GB2312" w:eastAsia="仿宋_GB2312"/>
                <w:sz w:val="21"/>
              </w:rPr>
              <w:t>②选题策划提效：建立周调度、月研判、重大议题专题部署工作机制，结合办内指令、粉丝反馈、网络热点分析，全面提升选题时效性、敏感性、政治性、精准性。推动正能量与网感深度融合，实现中心工作热词、社会关切焦点、网络流行议题全覆盖。健全热点事件48小时引导闭环机制，做到快速响应、权威解读、理性引导、有效处置，切实发挥政务新媒体舆论“压舱石”“风向标”作用，牢牢掌握舆论引导主动权。</w:t>
            </w:r>
          </w:p>
          <w:p>
            <w:pPr>
              <w:pStyle w:val="null3"/>
            </w:pPr>
            <w:r>
              <w:rPr>
                <w:rFonts w:ascii="仿宋_GB2312" w:hAnsi="仿宋_GB2312" w:cs="仿宋_GB2312" w:eastAsia="仿宋_GB2312"/>
                <w:sz w:val="21"/>
              </w:rPr>
              <w:t>③品牌影响力提升：坚守“内容为王、品质为基”，强化账号品牌塑造与IP化运营，常态化开展线上互动、粉丝回馈、主题策划等活动，破解粉丝增长瓶颈，提升用户黏性与活跃度。深化微信、视频号、头条号等多平台协同传播，扩大传播半径与覆盖人群，2027年合同期内核心平台“网观西安”微信号粉丝规模稳步提升至20万，“网观西安”各平台总粉丝提升至25万，网观西安（网信西安）矩阵总粉丝超40万，10万+稿件视频达到60篇，持续巩固全省政务新媒体第一梯队地位，打造辨识度高、口碑过硬、群众认可的城市宣传品牌。</w:t>
            </w:r>
          </w:p>
          <w:p>
            <w:pPr>
              <w:pStyle w:val="null3"/>
            </w:pPr>
            <w:r>
              <w:rPr>
                <w:rFonts w:ascii="仿宋_GB2312" w:hAnsi="仿宋_GB2312" w:cs="仿宋_GB2312" w:eastAsia="仿宋_GB2312"/>
                <w:sz w:val="21"/>
              </w:rPr>
              <w:t>④融媒展现形式创新：顺应短视频主导、可视化传播、AI智能化呈现新趋势，在舆论引导上实现短视频突破。持续开展“数字人计划”，充分运用数字人主播“核心观点”视频化。丰富高清新闻图片、主题海报、信息长图、可视化解读、轻直播等多元形式供给，推动“一文多态、一稿多端”传播，全面适配媒体深度融合发展潮流，提升内容吸引力、感染力与传播效能。</w:t>
            </w:r>
          </w:p>
          <w:p>
            <w:pPr>
              <w:pStyle w:val="null3"/>
            </w:pPr>
            <w:r>
              <w:rPr>
                <w:rFonts w:ascii="仿宋_GB2312" w:hAnsi="仿宋_GB2312" w:cs="仿宋_GB2312" w:eastAsia="仿宋_GB2312"/>
                <w:sz w:val="21"/>
              </w:rPr>
              <w:t>⑤大数据驱动精准运营：构建以阅读量、点赞量、转发量、收藏量、留言互动量、粉丝净增量、用户画像为核心的多维度数据分析研判体系，实现运营效果可量化、可追踪、可优化。定期开展用户调研、问卷调查、留言分析，精准把握受众需求、阅读习惯与评价反馈，以数据驱动内容选题、发布节奏、传播策略动态调整，推动运营从“经验驱动”向数据驱动、精准施策转变，不断提升服务质效与群众满意度。</w:t>
            </w:r>
          </w:p>
          <w:p>
            <w:pPr>
              <w:pStyle w:val="null3"/>
            </w:pPr>
            <w:r>
              <w:rPr>
                <w:rFonts w:ascii="仿宋_GB2312" w:hAnsi="仿宋_GB2312" w:cs="仿宋_GB2312" w:eastAsia="仿宋_GB2312"/>
                <w:sz w:val="21"/>
                <w:b/>
              </w:rPr>
              <w:t>4.运维保障：</w:t>
            </w:r>
          </w:p>
          <w:p>
            <w:pPr>
              <w:pStyle w:val="null3"/>
            </w:pPr>
            <w:r>
              <w:rPr>
                <w:rFonts w:ascii="仿宋_GB2312" w:hAnsi="仿宋_GB2312" w:cs="仿宋_GB2312" w:eastAsia="仿宋_GB2312"/>
                <w:sz w:val="21"/>
              </w:rPr>
              <w:t>①保障原创稿件日常发布。坚持“守正创新”和“内容为王”，以“原创稿件”为市场占有的立身之本，持续稳定、高质输出西安市深度思考解读文章。每周微信号推送不少于5篇高质量深度新媒体稿件，全年采写刊发不少于260篇聚焦解读西安市重点工作和舆论热点的深度文章；视频号全年推送不少于900部精品短视频。</w:t>
            </w:r>
          </w:p>
          <w:p>
            <w:pPr>
              <w:pStyle w:val="null3"/>
            </w:pPr>
            <w:r>
              <w:rPr>
                <w:rFonts w:ascii="仿宋_GB2312" w:hAnsi="仿宋_GB2312" w:cs="仿宋_GB2312" w:eastAsia="仿宋_GB2312"/>
                <w:sz w:val="21"/>
              </w:rPr>
              <w:t>②确保传播力稳中有升。持续提升平台关注度和文章传播率，网观西安微信粉丝目标不少于20万人，网观西安各平台目标粉丝不少于25万人，网观西安（网信西安）矩阵总粉丝目标不少于40万人，网观西安微信公众号全年阅读量不低于450万次，总矩阵10万+稿件视频不少于60篇（部）；</w:t>
            </w:r>
          </w:p>
          <w:p>
            <w:pPr>
              <w:pStyle w:val="null3"/>
            </w:pPr>
            <w:r>
              <w:rPr>
                <w:rFonts w:ascii="仿宋_GB2312" w:hAnsi="仿宋_GB2312" w:cs="仿宋_GB2312" w:eastAsia="仿宋_GB2312"/>
                <w:sz w:val="21"/>
              </w:rPr>
              <w:t>③完善全网稿件征集机制。进一步完善有偿约稿机制，面向高校专家学者、媒体资深人士、网络名人等社会各界人士征集优质作品，坚持“供稿社区”和“特约撰稿人”，全年征集并刊发不少于60篇。</w:t>
            </w:r>
          </w:p>
          <w:p>
            <w:pPr>
              <w:pStyle w:val="null3"/>
            </w:pPr>
            <w:r>
              <w:rPr>
                <w:rFonts w:ascii="仿宋_GB2312" w:hAnsi="仿宋_GB2312" w:cs="仿宋_GB2312" w:eastAsia="仿宋_GB2312"/>
                <w:sz w:val="21"/>
              </w:rPr>
              <w:t>④提升热点选题时效性。在严格保障三审三校和内容准确权威基础上，热点话题、突发类稿件尝试实现“24小时”“48小时”推送。任务类稿件、日常稿件尝试实现72小时推送。</w:t>
            </w:r>
          </w:p>
          <w:p>
            <w:pPr>
              <w:pStyle w:val="null3"/>
            </w:pPr>
            <w:r>
              <w:rPr>
                <w:rFonts w:ascii="仿宋_GB2312" w:hAnsi="仿宋_GB2312" w:cs="仿宋_GB2312" w:eastAsia="仿宋_GB2312"/>
                <w:sz w:val="21"/>
              </w:rPr>
              <w:t>⑤多元融媒表达呈现。全年制作并多平台刊发不少于45部原创短视频、200条音频、20张原创海报、5部原创H5或长图等其他原创新媒体产品。用好“数字人”“人工智能剪辑”等方式提升融媒传播效果。</w:t>
            </w:r>
          </w:p>
          <w:p>
            <w:pPr>
              <w:pStyle w:val="null3"/>
            </w:pPr>
            <w:r>
              <w:rPr>
                <w:rFonts w:ascii="仿宋_GB2312" w:hAnsi="仿宋_GB2312" w:cs="仿宋_GB2312" w:eastAsia="仿宋_GB2312"/>
                <w:sz w:val="21"/>
              </w:rPr>
              <w:t>⑥加强活动营销推广。筹备不少于4次线上“宠粉”活动，以节庆、假期为主要引导，增强粉丝黏性和平台话题性。设计制作系列文创产品和互动礼物，通过系列活动、座谈、创作沙龙、读者见面会进行发放。</w:t>
            </w:r>
          </w:p>
          <w:p>
            <w:pPr>
              <w:pStyle w:val="null3"/>
            </w:pPr>
            <w:r>
              <w:rPr>
                <w:rFonts w:ascii="仿宋_GB2312" w:hAnsi="仿宋_GB2312" w:cs="仿宋_GB2312" w:eastAsia="仿宋_GB2312"/>
                <w:sz w:val="21"/>
                <w:b/>
              </w:rPr>
              <w:t>5.</w:t>
            </w:r>
            <w:r>
              <w:rPr>
                <w:rFonts w:ascii="仿宋_GB2312" w:hAnsi="仿宋_GB2312" w:cs="仿宋_GB2312" w:eastAsia="仿宋_GB2312"/>
                <w:sz w:val="21"/>
                <w:b/>
              </w:rPr>
              <w:t>团队保障：</w:t>
            </w:r>
          </w:p>
          <w:p>
            <w:pPr>
              <w:pStyle w:val="null3"/>
            </w:pPr>
            <w:r>
              <w:rPr>
                <w:rFonts w:ascii="仿宋_GB2312" w:hAnsi="仿宋_GB2312" w:cs="仿宋_GB2312" w:eastAsia="仿宋_GB2312"/>
                <w:sz w:val="21"/>
              </w:rPr>
              <w:t>①“网观西安（网信西安）”编辑部专职化运维，向市委网信办负责。编辑部设主任1名，3名专职主笔，3名编辑人员，包括视频编辑、排版编辑和视觉编辑。</w:t>
            </w:r>
          </w:p>
          <w:p>
            <w:pPr>
              <w:pStyle w:val="null3"/>
            </w:pPr>
            <w:r>
              <w:rPr>
                <w:rFonts w:ascii="仿宋_GB2312" w:hAnsi="仿宋_GB2312" w:cs="仿宋_GB2312" w:eastAsia="仿宋_GB2312"/>
                <w:sz w:val="21"/>
              </w:rPr>
              <w:t>②保障后端人员专业化，负责后台校对、美工、技术等人员不少于3名，常备专业摄影师、摄像师供重要会议、重大活动图片视频采集。</w:t>
            </w:r>
          </w:p>
          <w:p>
            <w:pPr>
              <w:pStyle w:val="null3"/>
            </w:pPr>
            <w:r>
              <w:rPr>
                <w:rFonts w:ascii="仿宋_GB2312" w:hAnsi="仿宋_GB2312" w:cs="仿宋_GB2312" w:eastAsia="仿宋_GB2312"/>
                <w:sz w:val="21"/>
              </w:rPr>
              <w:t>③保障前端人员驻场，确保1名前端市委网信办派驻人员负责信息指令传达和相关协调工作。</w:t>
            </w:r>
          </w:p>
          <w:p>
            <w:pPr>
              <w:pStyle w:val="null3"/>
            </w:pPr>
            <w:r>
              <w:rPr>
                <w:rFonts w:ascii="仿宋_GB2312" w:hAnsi="仿宋_GB2312" w:cs="仿宋_GB2312" w:eastAsia="仿宋_GB2312"/>
                <w:sz w:val="21"/>
              </w:rPr>
              <w:t>④保障人员素质高标准，中心人员严格筛选，具有较强文字、策划和相关采编制作能力，具备较强政治性、新闻敏感性和新媒体创新能力，以中共党员、入党积极分子为主。</w:t>
            </w:r>
          </w:p>
          <w:p>
            <w:pPr>
              <w:pStyle w:val="null3"/>
            </w:pPr>
            <w:r>
              <w:rPr>
                <w:rFonts w:ascii="仿宋_GB2312" w:hAnsi="仿宋_GB2312" w:cs="仿宋_GB2312" w:eastAsia="仿宋_GB2312"/>
                <w:sz w:val="21"/>
              </w:rPr>
              <w:t>⑤落实考核一揽子机制，建立绩效考核、专款专用、奖励惩处等一揽子具有可操作性的实施机制，市委网信办为考核主体、确定考核标准，编辑部为考核对象，确保实现平台运维目标。</w:t>
            </w:r>
          </w:p>
          <w:p>
            <w:pPr>
              <w:pStyle w:val="null3"/>
            </w:pPr>
            <w:r>
              <w:rPr>
                <w:rFonts w:ascii="仿宋_GB2312" w:hAnsi="仿宋_GB2312" w:cs="仿宋_GB2312" w:eastAsia="仿宋_GB2312"/>
                <w:sz w:val="21"/>
              </w:rPr>
              <w:t>⑥严格落实“三审三校”制度，严格按照《网观西安（网信西安）融媒体中心审核校对推送流程》进行稿件、视频等相关内容审核推送。编辑部稿件视频采编三审三校责任到人，落实专职校对人员，监督全程、确保稿件和新媒体产品准确、安全。留言区域、粉丝群专人负责，确保及时互动、准确无误。</w:t>
            </w:r>
          </w:p>
          <w:p>
            <w:pPr>
              <w:pStyle w:val="null3"/>
            </w:pPr>
            <w:r>
              <w:rPr>
                <w:rFonts w:ascii="仿宋_GB2312" w:hAnsi="仿宋_GB2312" w:cs="仿宋_GB2312" w:eastAsia="仿宋_GB2312"/>
                <w:sz w:val="21"/>
              </w:rPr>
              <w:t>⑦保障版权权益，运维团队具备符合版权规定的图库、视频库、字体库、音乐库及其他涉及版权内容的合作或授权，确保不发生侵权问题。</w:t>
            </w:r>
          </w:p>
          <w:p>
            <w:pPr>
              <w:pStyle w:val="null3"/>
            </w:pPr>
            <w:r>
              <w:rPr>
                <w:rFonts w:ascii="仿宋_GB2312" w:hAnsi="仿宋_GB2312" w:cs="仿宋_GB2312" w:eastAsia="仿宋_GB2312"/>
                <w:sz w:val="21"/>
                <w:b/>
              </w:rPr>
              <w:t>（二）网信西安</w:t>
            </w:r>
          </w:p>
          <w:p>
            <w:pPr>
              <w:pStyle w:val="null3"/>
            </w:pPr>
            <w:r>
              <w:rPr>
                <w:rFonts w:ascii="仿宋_GB2312" w:hAnsi="仿宋_GB2312" w:cs="仿宋_GB2312" w:eastAsia="仿宋_GB2312"/>
                <w:sz w:val="21"/>
              </w:rPr>
              <w:t>1.</w:t>
            </w:r>
            <w:r>
              <w:rPr>
                <w:rFonts w:ascii="仿宋_GB2312" w:hAnsi="仿宋_GB2312" w:cs="仿宋_GB2312" w:eastAsia="仿宋_GB2312"/>
                <w:sz w:val="21"/>
                <w:b/>
              </w:rPr>
              <w:t>运维时间</w:t>
            </w:r>
            <w:r>
              <w:rPr>
                <w:rFonts w:ascii="仿宋_GB2312" w:hAnsi="仿宋_GB2312" w:cs="仿宋_GB2312" w:eastAsia="仿宋_GB2312"/>
                <w:sz w:val="21"/>
              </w:rPr>
              <w:t>：2026年7月至2027年6月</w:t>
            </w:r>
          </w:p>
          <w:p>
            <w:pPr>
              <w:pStyle w:val="null3"/>
            </w:pPr>
            <w:r>
              <w:rPr>
                <w:rFonts w:ascii="仿宋_GB2312" w:hAnsi="仿宋_GB2312" w:cs="仿宋_GB2312" w:eastAsia="仿宋_GB2312"/>
                <w:sz w:val="21"/>
                <w:b/>
              </w:rPr>
              <w:t>2.基本思路</w:t>
            </w:r>
            <w:r>
              <w:rPr>
                <w:rFonts w:ascii="仿宋_GB2312" w:hAnsi="仿宋_GB2312" w:cs="仿宋_GB2312" w:eastAsia="仿宋_GB2312"/>
                <w:sz w:val="21"/>
              </w:rPr>
              <w:t>：严格落实网络意识形态工作责任制与网络安全工作责任制，对标学习“网信中国”及全国先进城市网信政务新媒体成熟经验，紧扣全市网信工作核心任务，坚持权威发布、政策解读、舆论引导、服务群众定位，以“信息流”快发，全时段响应为运营路径。聚焦网络生态治理、网络安全保障、互联网行业监管、网络文明建设、政务信息公开等主责主业，构建权威、及时、规范、亲民的网信政务传播体系。</w:t>
            </w:r>
          </w:p>
          <w:p>
            <w:pPr>
              <w:pStyle w:val="null3"/>
            </w:pPr>
            <w:r>
              <w:rPr>
                <w:rFonts w:ascii="仿宋_GB2312" w:hAnsi="仿宋_GB2312" w:cs="仿宋_GB2312" w:eastAsia="仿宋_GB2312"/>
                <w:sz w:val="21"/>
              </w:rPr>
              <w:t>与“网观西安”形成“深度解读+即时资讯、评论引导+动态发布、品牌IP+政务公开”的差异化、互补式传播矩阵，全力打造全市网信系统政策首发平台、信息公开平台、舆论引导平台、为民服务平台，切实维护清朗网络空间，不断提升政务公开质效与群众获得感、满意度。</w:t>
            </w:r>
          </w:p>
          <w:p>
            <w:pPr>
              <w:pStyle w:val="null3"/>
            </w:pPr>
            <w:r>
              <w:rPr>
                <w:rFonts w:ascii="仿宋_GB2312" w:hAnsi="仿宋_GB2312" w:cs="仿宋_GB2312" w:eastAsia="仿宋_GB2312"/>
                <w:sz w:val="21"/>
                <w:b/>
              </w:rPr>
              <w:t>3. 提升方向</w:t>
            </w:r>
            <w:r>
              <w:rPr>
                <w:rFonts w:ascii="仿宋_GB2312" w:hAnsi="仿宋_GB2312" w:cs="仿宋_GB2312" w:eastAsia="仿宋_GB2312"/>
                <w:sz w:val="21"/>
              </w:rPr>
              <w:t>：</w:t>
            </w:r>
          </w:p>
          <w:p>
            <w:pPr>
              <w:pStyle w:val="null3"/>
            </w:pPr>
            <w:r>
              <w:rPr>
                <w:rFonts w:ascii="仿宋_GB2312" w:hAnsi="仿宋_GB2312" w:cs="仿宋_GB2312" w:eastAsia="仿宋_GB2312"/>
                <w:sz w:val="21"/>
              </w:rPr>
              <w:t>立足全市网信工作新形势新任务，顺应政务新媒体规范化、轻量化、融合化发展趋势，围绕发布更权威、传播更高效、服务更精准、运营更安全目标，依托专业服务商力量，重点从五方面迭代升级：</w:t>
            </w:r>
          </w:p>
          <w:p>
            <w:pPr>
              <w:pStyle w:val="null3"/>
            </w:pPr>
            <w:r>
              <w:rPr>
                <w:rFonts w:ascii="仿宋_GB2312" w:hAnsi="仿宋_GB2312" w:cs="仿宋_GB2312" w:eastAsia="仿宋_GB2312"/>
                <w:sz w:val="21"/>
              </w:rPr>
              <w:t>①信息发布提质增效：聚焦中央及省市网信重大决策部署、重要政策文件、重点专项行动、典型案例通报，建立重要信息即时审、重点政策深度解、热点动态发布机制，确保权威声音第一时间抵达网民。优化信息流发布结构，提升原创解读、政策图解、案例警示比例，减少简单转载，增强信息权威性、可读性、实用性，打造网民“愿看、可信、有用”的网信政务信息源。</w:t>
            </w:r>
          </w:p>
          <w:p>
            <w:pPr>
              <w:pStyle w:val="null3"/>
            </w:pPr>
            <w:r>
              <w:rPr>
                <w:rFonts w:ascii="仿宋_GB2312" w:hAnsi="仿宋_GB2312" w:cs="仿宋_GB2312" w:eastAsia="仿宋_GB2312"/>
                <w:sz w:val="21"/>
              </w:rPr>
              <w:t>②选题策划精准聚焦：围绕网络综合治理、“清朗”系列专项行动、网络安全宣传周、个人信息保护、网络谣言治理、算法治理、未成年人网络保护、网络文明建设等年度重点工作，建立热点预警、专题策划工作模式。提升选题政治性、专业性、时效性、贴近性，做到中心工作有呼应、社会关切有回应、网络乱象有声音，切实发挥网信政务新媒体舆论引导与政策普及作用。</w:t>
            </w:r>
          </w:p>
          <w:p>
            <w:pPr>
              <w:pStyle w:val="null3"/>
            </w:pPr>
            <w:r>
              <w:rPr>
                <w:rFonts w:ascii="仿宋_GB2312" w:hAnsi="仿宋_GB2312" w:cs="仿宋_GB2312" w:eastAsia="仿宋_GB2312"/>
                <w:sz w:val="21"/>
              </w:rPr>
              <w:t>③传播力影响力提档升级：强化微信公众号、视频号、人民号、头条号多平台协同运营，推动“一次策划、多端生成、全域传播”。针对短视频传播规律，加大网信主题短视频、海报、长图等轻量化产品供给，提升传播覆盖面与触达率。通过权威内容输出、合规互动运营、精准推送分发，实现各平台粉丝总量稳步提升、阅读量与互动率持续增长。</w:t>
            </w:r>
          </w:p>
          <w:p>
            <w:pPr>
              <w:pStyle w:val="null3"/>
            </w:pPr>
            <w:r>
              <w:rPr>
                <w:rFonts w:ascii="仿宋_GB2312" w:hAnsi="仿宋_GB2312" w:cs="仿宋_GB2312" w:eastAsia="仿宋_GB2312"/>
                <w:sz w:val="21"/>
              </w:rPr>
              <w:t>④规范运营与安全保障：严格落实政务新媒体管理条例，健全三审三校、审看审发、留言管理、应急处置全流程制度体系，坚决防范内容风险、导向风险、舆论风险。定期分析阅读、转发、留言、粉丝增长等核心数据，动态优化运营策略。强化版权合规、人员管理，确保平台安全平稳、规范高效、持续健康运行，全面提升政务新媒体规范化管理水平。</w:t>
            </w:r>
          </w:p>
          <w:p>
            <w:pPr>
              <w:pStyle w:val="null3"/>
            </w:pPr>
            <w:r>
              <w:rPr>
                <w:rFonts w:ascii="仿宋_GB2312" w:hAnsi="仿宋_GB2312" w:cs="仿宋_GB2312" w:eastAsia="仿宋_GB2312"/>
                <w:sz w:val="21"/>
              </w:rPr>
              <w:t>⑤运维目标保障：</w:t>
            </w:r>
          </w:p>
          <w:p>
            <w:pPr>
              <w:pStyle w:val="null3"/>
            </w:pPr>
            <w:r>
              <w:rPr>
                <w:rFonts w:ascii="仿宋_GB2312" w:hAnsi="仿宋_GB2312" w:cs="仿宋_GB2312" w:eastAsia="仿宋_GB2312"/>
                <w:sz w:val="21"/>
              </w:rPr>
              <w:t>以“网观西安（网信西安）”融媒体中心成员为依托，向市委网信办负责，单设1名统筹、1名专职编辑，不少于3名工作人员配合做好视频、校对、视觉等工作。</w:t>
            </w:r>
          </w:p>
          <w:p>
            <w:pPr>
              <w:pStyle w:val="null3"/>
            </w:pPr>
            <w:r>
              <w:rPr>
                <w:rFonts w:ascii="仿宋_GB2312" w:hAnsi="仿宋_GB2312" w:cs="仿宋_GB2312" w:eastAsia="仿宋_GB2312"/>
                <w:sz w:val="21"/>
              </w:rPr>
              <w:t>工作日信息以单条形式，每天不低于6篇新媒体稿件推送和5部短视频推送，微信公众号全年推送不少于1000篇稿件，结合全市中心工作和网信中心工作，阶段性策划推出系列专题稿件。视频号全年推送不少于900部短视频。全年制作不少于25部原创短视频、10张原创海报、5部原创H5或长图等其他原创新媒体产品。</w:t>
            </w:r>
          </w:p>
          <w:p>
            <w:pPr>
              <w:pStyle w:val="null3"/>
            </w:pPr>
            <w:r>
              <w:rPr>
                <w:rFonts w:ascii="仿宋_GB2312" w:hAnsi="仿宋_GB2312" w:cs="仿宋_GB2312" w:eastAsia="仿宋_GB2312"/>
                <w:sz w:val="21"/>
              </w:rPr>
              <w:t>“网信西安”矩阵粉丝总数提升20%以上，微信号稿件阅读量平均阅读提升至1500人次以上。</w:t>
            </w:r>
          </w:p>
          <w:p>
            <w:pPr>
              <w:pStyle w:val="null3"/>
            </w:pPr>
            <w:r>
              <w:rPr>
                <w:rFonts w:ascii="仿宋_GB2312" w:hAnsi="仿宋_GB2312" w:cs="仿宋_GB2312" w:eastAsia="仿宋_GB2312"/>
                <w:sz w:val="21"/>
                <w:b/>
              </w:rPr>
              <w:t>四</w:t>
            </w:r>
            <w:r>
              <w:rPr>
                <w:rFonts w:ascii="仿宋_GB2312" w:hAnsi="仿宋_GB2312" w:cs="仿宋_GB2312" w:eastAsia="仿宋_GB2312"/>
                <w:sz w:val="21"/>
                <w:b/>
              </w:rPr>
              <w:t>、项目要求</w:t>
            </w:r>
          </w:p>
          <w:p>
            <w:pPr>
              <w:pStyle w:val="null3"/>
            </w:pPr>
            <w:r>
              <w:rPr>
                <w:rFonts w:ascii="仿宋_GB2312" w:hAnsi="仿宋_GB2312" w:cs="仿宋_GB2312" w:eastAsia="仿宋_GB2312"/>
                <w:sz w:val="21"/>
              </w:rPr>
              <w:t>1.符合相关文件规定，服务商符合中央网信办对政务新媒体运维服务要求。</w:t>
            </w:r>
          </w:p>
          <w:p>
            <w:pPr>
              <w:pStyle w:val="null3"/>
            </w:pPr>
            <w:r>
              <w:rPr>
                <w:rFonts w:ascii="仿宋_GB2312" w:hAnsi="仿宋_GB2312" w:cs="仿宋_GB2312" w:eastAsia="仿宋_GB2312"/>
                <w:sz w:val="21"/>
              </w:rPr>
              <w:t>2.满足原创稿件采编和融媒体采编要求：团队配备人员具备较强的融媒体策划和采编实力，具有较深厚的新媒体运维经验，在图文采编方面有专业团队支撑，在短视频、海报、动画、H5等设计制作方面有足够的创新和落实能力。至少3位熟练掌握新语态表达的专职主笔采写原创稿件。</w:t>
            </w:r>
          </w:p>
          <w:p>
            <w:pPr>
              <w:pStyle w:val="null3"/>
            </w:pPr>
            <w:r>
              <w:rPr>
                <w:rFonts w:ascii="仿宋_GB2312" w:hAnsi="仿宋_GB2312" w:cs="仿宋_GB2312" w:eastAsia="仿宋_GB2312"/>
                <w:sz w:val="21"/>
              </w:rPr>
              <w:t>3.具备较强政治把关能力：团队配备人员有较为丰富的政务报道和政务新媒体运维经验，编辑部主任、主笔、责编具备较强的政治把关能力，采编人员具备较强的政策纪律观念，全面履行意识形态工作责任制，有效规避“网观西安（网信西安）”新媒体多平台政治风险。</w:t>
            </w:r>
          </w:p>
          <w:p>
            <w:pPr>
              <w:pStyle w:val="null3"/>
            </w:pPr>
            <w:r>
              <w:rPr>
                <w:rFonts w:ascii="仿宋_GB2312" w:hAnsi="仿宋_GB2312" w:cs="仿宋_GB2312" w:eastAsia="仿宋_GB2312"/>
                <w:sz w:val="21"/>
              </w:rPr>
              <w:t>4.严格稿件流转步骤：严格按照《网观西安（网信西安）融媒体中心审核校对推送流程》进行稿件、视频等相关内容审核推送。</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按照采购需求配备服务项目专业技术人员。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供应商根据采购需求提供所需的相应设备。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2026年7月至2027年6月。</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完成合同约定的稿件数量、视频数量和粉丝数量，达到平台预设目标。</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预付款，合同签订且供应商开具增值税正式发票后，达到付款条件起10个工作日内，支付合同总金额的50.0%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进度款，2026年11月供应商提供阶段性结案报告，经市委网信办验收合格出具验收报告后，开具增值税正式发票后，达到付款条件起10个工作日内，支付合同总金额的20.0%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进度款，2027年5月供应商提供结案报告，经市委网信办验收合格出具验收报告和绩效目标后，达到付款条件起10个工作日内，支付合同总金额的30.0%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详⻅采购合同附件。</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1.本项目通过电子化交易系统协商，供应商需在电子化交易系统上传响应的文件。成交供应商领取中标（成交）通知书时，向采购代理机构提供纸质响应文件叁份。 2.供应商应自协商文件递交截止时间起至磋商结束，保持在线状态。 3.响应文件中凡是需要法定代表人盖章之处，由分支机构参与磋商时，单位负责人均参照执行（法定代表人授权书由单位负责人签授）。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供应商资格证明文件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供应商企业关系关联承诺书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提供政府采购政策等证明材料</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政府采购法第二十二条规定</w:t>
            </w:r>
          </w:p>
        </w:tc>
        <w:tc>
          <w:tcPr>
            <w:tcW w:type="dxa" w:w="3322"/>
          </w:tcPr>
          <w:p>
            <w:pPr>
              <w:pStyle w:val="null3"/>
            </w:pPr>
            <w:r>
              <w:rPr>
                <w:rFonts w:ascii="仿宋_GB2312" w:hAnsi="仿宋_GB2312" w:cs="仿宋_GB2312" w:eastAsia="仿宋_GB2312"/>
              </w:rPr>
              <w:t>1、营业执照等主体资格证明文件：提供统一社会信用代码的营业执照或其他组织经营的合法凭证或自然人的提供身份证明文件。 2、财务状况报告：提供具有财务审计资质单位出具的2024或2025年度财务报告或开标前六个月内其基本账户银行出具的资信证明或财政部门认可的政府采购专业担保机构出具的担保函，以上形式的证明资料提供任何一种即可。 3、税收缴纳证明：提供已缴纳的2025年6月1日以来任意时间段的纳税证明或完税证明，纳税证明或完税证明上应有代收机构或税务机关的公章或业务专用章。依法免税的供应商应提供相关文件证明。 4、社保缴纳证明：提供已缴存的2025年6月1日以来任意时间段的社会保障资金缴存单据或社保机构开具的社会保险参保缴费情况证明。成立时间至提交响应文件截止时间不足一个月或依法不需要缴纳社会保障资金的供应商应提供相关文件证明。 5、书面声明：①出具履行合同所必需的设备和专业技术能力的书面声明；②出具参加本次政府采购活动的书面声明。</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的须出具法人身份证明并与营业执照信息一致，法定代表人授权代表参加的须出具法定代表人授权书及被授权人本单位证明（投标截止前六个月内投标供应商为其缴纳的任意一个月的养老保险缴纳证明）。</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经查，供应商未被列入“信用中国”网站记录的“失信被执行人”或“重大税收违法失信主体”名单；不处于“中国政府采购网”记录的“政府采购严重违法失信行为记录名单”中的禁止参加政府采购活动期间。（以评审现场查询记录为准）</w:t>
            </w:r>
          </w:p>
        </w:tc>
        <w:tc>
          <w:tcPr>
            <w:tcW w:type="dxa" w:w="1661"/>
          </w:tcPr>
          <w:p>
            <w:pPr>
              <w:pStyle w:val="null3"/>
            </w:pPr>
            <w:r>
              <w:rPr>
                <w:rFonts w:ascii="仿宋_GB2312" w:hAnsi="仿宋_GB2312" w:cs="仿宋_GB2312" w:eastAsia="仿宋_GB2312"/>
              </w:rPr>
              <w:t>供应商资格证明文件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本项目不接受联合体投标，不得转包、分包或以其它联营挂靠形式分包给其他单位或个人，提供承诺函（格式自拟）。</w:t>
            </w:r>
          </w:p>
        </w:tc>
        <w:tc>
          <w:tcPr>
            <w:tcW w:type="dxa" w:w="1661"/>
          </w:tcPr>
          <w:p>
            <w:pPr>
              <w:pStyle w:val="null3"/>
            </w:pPr>
            <w:r>
              <w:rPr>
                <w:rFonts w:ascii="仿宋_GB2312" w:hAnsi="仿宋_GB2312" w:cs="仿宋_GB2312" w:eastAsia="仿宋_GB2312"/>
              </w:rPr>
              <w:t>供应商资格证明文件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一、评审中出现下列情形之一的，磋商小组应当启动异常低价投标审查程序： 1.磋商报价低于全部通过符合性审查供应商磋商报价平均值50%的，即磋商报价&lt;全部通过符合性审查供应商磋商报价平均值×50%； 2.磋商报价低于通过符合性审查的次低报价供应商磋商报价50%的，即磋商报价&lt;通过符合性审查的次低报价供应商磋商报价×50%； 3.磋商报价低于采购项目最高限价45%的，即磋商报价&lt;采购项目最高限价×45%； 4.磋商小组基于专业判断，认为供应商报价过低，有可能影响产品质量或者不能诚信履约的其他情形。 相关法律法规对供应商报价有规定的，从其规定。 二、磋商小组应当要求相关供应商在评审现场合理的时间内对磋商价格作出解释，提供项目具体成本测算等与报价合理性相关的书面说明及必要的证明材料，包括但不限于原材料成本、人工成本、制造费用等，给予相关供应商的合理时间一般不少于30分钟。磋商小组依据专业经验，参考同类项目中标（成交）价格、类似产品市场价格水平、行业人工费用标准、国家有关部门指导行业协会发布的行业平均成本等情况，对报价合理性进行判断。 三、磋商小组提交的相关说明和证明材料，应当加盖供应商（法定名称）电子印章，在磋商小组要求的时间内通过项目电子化交易系统进行提交，否则提交的相关证明材料无效。供应商不能提供书面说明、证明材料，或者提供的书面说明、证明材料不能证明其报价合理性的，磋商小组应当将其作为无效投标处理。</w:t>
            </w:r>
          </w:p>
        </w:tc>
        <w:tc>
          <w:tcPr>
            <w:tcW w:type="dxa" w:w="1661"/>
          </w:tcPr>
          <w:p>
            <w:pPr>
              <w:pStyle w:val="null3"/>
            </w:pPr>
            <w:r>
              <w:rPr>
                <w:rFonts w:ascii="仿宋_GB2312" w:hAnsi="仿宋_GB2312" w:cs="仿宋_GB2312" w:eastAsia="仿宋_GB2312"/>
              </w:rPr>
              <w:t>费用组成明细表 第一次磋商报价表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响应文件语言及有效期</w:t>
            </w:r>
          </w:p>
        </w:tc>
        <w:tc>
          <w:tcPr>
            <w:tcW w:type="dxa" w:w="3322"/>
          </w:tcPr>
          <w:p>
            <w:pPr>
              <w:pStyle w:val="null3"/>
            </w:pPr>
            <w:r>
              <w:rPr>
                <w:rFonts w:ascii="仿宋_GB2312" w:hAnsi="仿宋_GB2312" w:cs="仿宋_GB2312" w:eastAsia="仿宋_GB2312"/>
              </w:rPr>
              <w:t>响应文件语言及有效期符合磋商文件要求。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磋商报价表</w:t>
            </w:r>
          </w:p>
        </w:tc>
        <w:tc>
          <w:tcPr>
            <w:tcW w:type="dxa" w:w="3322"/>
          </w:tcPr>
          <w:p>
            <w:pPr>
              <w:pStyle w:val="null3"/>
            </w:pPr>
            <w:r>
              <w:rPr>
                <w:rFonts w:ascii="仿宋_GB2312" w:hAnsi="仿宋_GB2312" w:cs="仿宋_GB2312" w:eastAsia="仿宋_GB2312"/>
              </w:rPr>
              <w:t>1.磋商报价符合唯一性要求； 2.磋商报价表填写符合要求； 3.计量单位、报价货币均符合磋商文件要求； 4.未超出采购预算或磋商文件规定的最高限价。</w:t>
            </w:r>
          </w:p>
        </w:tc>
        <w:tc>
          <w:tcPr>
            <w:tcW w:type="dxa" w:w="1661"/>
          </w:tcPr>
          <w:p>
            <w:pPr>
              <w:pStyle w:val="null3"/>
            </w:pPr>
            <w:r>
              <w:rPr>
                <w:rFonts w:ascii="仿宋_GB2312" w:hAnsi="仿宋_GB2312" w:cs="仿宋_GB2312" w:eastAsia="仿宋_GB2312"/>
              </w:rPr>
              <w:t>费用组成明细表 第一次磋商报价表 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供应商承诺书</w:t>
            </w:r>
          </w:p>
        </w:tc>
        <w:tc>
          <w:tcPr>
            <w:tcW w:type="dxa" w:w="3322"/>
          </w:tcPr>
          <w:p>
            <w:pPr>
              <w:pStyle w:val="null3"/>
            </w:pPr>
            <w:r>
              <w:rPr>
                <w:rFonts w:ascii="仿宋_GB2312" w:hAnsi="仿宋_GB2312" w:cs="仿宋_GB2312" w:eastAsia="仿宋_GB2312"/>
              </w:rPr>
              <w:t>1.完全理解并接受《供应商廉洁自律承诺书》内容； 2.完全理解并接受《供应商企业关系关联承诺书》内容； 3.完全理解并接受《承诺书》内容。</w:t>
            </w:r>
          </w:p>
        </w:tc>
        <w:tc>
          <w:tcPr>
            <w:tcW w:type="dxa" w:w="1661"/>
          </w:tcPr>
          <w:p>
            <w:pPr>
              <w:pStyle w:val="null3"/>
            </w:pPr>
            <w:r>
              <w:rPr>
                <w:rFonts w:ascii="仿宋_GB2312" w:hAnsi="仿宋_GB2312" w:cs="仿宋_GB2312" w:eastAsia="仿宋_GB2312"/>
              </w:rPr>
              <w:t>供应商企业关系关联承诺书 承诺书 供应商廉洁自律承诺书</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无其他磋商文件或法规明确规定响应无效的事项</w:t>
            </w:r>
          </w:p>
        </w:tc>
        <w:tc>
          <w:tcPr>
            <w:tcW w:type="dxa" w:w="3322"/>
          </w:tcPr>
          <w:p>
            <w:pPr>
              <w:pStyle w:val="null3"/>
            </w:pPr>
            <w:r>
              <w:rPr>
                <w:rFonts w:ascii="仿宋_GB2312" w:hAnsi="仿宋_GB2312" w:cs="仿宋_GB2312" w:eastAsia="仿宋_GB2312"/>
              </w:rPr>
              <w:t>无其他磋商文件或法规明确规定响应无效的事项，没有不符合磋商文件规定的被视为无效响应的其他条款。</w:t>
            </w:r>
          </w:p>
        </w:tc>
        <w:tc>
          <w:tcPr>
            <w:tcW w:type="dxa" w:w="1661"/>
          </w:tcPr>
          <w:p>
            <w:pPr>
              <w:pStyle w:val="null3"/>
            </w:pPr>
            <w:r>
              <w:rPr>
                <w:rFonts w:ascii="仿宋_GB2312" w:hAnsi="仿宋_GB2312" w:cs="仿宋_GB2312" w:eastAsia="仿宋_GB2312"/>
              </w:rPr>
              <w:t>供应商认为有必要补充说明的事项</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商务条款响应程度</w:t>
            </w:r>
          </w:p>
        </w:tc>
        <w:tc>
          <w:tcPr>
            <w:tcW w:type="dxa" w:w="2492"/>
          </w:tcPr>
          <w:p>
            <w:pPr>
              <w:pStyle w:val="null3"/>
            </w:pPr>
            <w:r>
              <w:rPr>
                <w:rFonts w:ascii="仿宋_GB2312" w:hAnsi="仿宋_GB2312" w:cs="仿宋_GB2312" w:eastAsia="仿宋_GB2312"/>
              </w:rPr>
              <w:t>供应商对响应文件质量保证、服务期限、合同条款等商务要求进行响应，完全满足采购需求得2分，不满足或存在负偏离不得分。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商务条款响应偏差表</w:t>
            </w:r>
          </w:p>
          <w:p>
            <w:pPr>
              <w:pStyle w:val="null3"/>
            </w:pPr>
            <w:r>
              <w:rPr>
                <w:rFonts w:ascii="仿宋_GB2312" w:hAnsi="仿宋_GB2312" w:cs="仿宋_GB2312" w:eastAsia="仿宋_GB2312"/>
              </w:rPr>
              <w:t>服务内容响应偏差表</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一、评审内容 针对本项目提供详细的实施方案，包括但不限于： ①对项目的理解及重难点分析； ②“网观西安”实施计划； ③“网信西安”实施计划； ④线上线下活动方案； ⑤工作流程及各环节部署方案； ⑥内容发布、审核流程方案； ⑦项目预估成果方案。 二、评审标准 1、完善性：方案必须全面，对评审内容中的各项要求有详细阐述； 2、可实施性：切合本项目实际情况，提出步骤清晰、合理的方案； 3、针对性：方案能够紧扣项目实际情况，内容科学合理。 上述七项评审内容全部满足评审标准得21分，每有一个评审内容缺项扣3分，评审内容每存在一处缺陷扣1分，扣完为止。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21.0000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保障措施</w:t>
            </w:r>
          </w:p>
        </w:tc>
        <w:tc>
          <w:tcPr>
            <w:tcW w:type="dxa" w:w="2492"/>
          </w:tcPr>
          <w:p>
            <w:pPr>
              <w:pStyle w:val="null3"/>
            </w:pPr>
            <w:r>
              <w:rPr>
                <w:rFonts w:ascii="仿宋_GB2312" w:hAnsi="仿宋_GB2312" w:cs="仿宋_GB2312" w:eastAsia="仿宋_GB2312"/>
              </w:rPr>
              <w:t>一、评审内容 ①项目质量保障措施； ②进度控制措施； ③响应时效保障措施； ④系统运维安全保障方案； ⑤针对本项目的应急预案。 二、评审标准 1、完善性：方案必须全面，对评审内容中的各项要求有详细阐述； 2、可实施性：切合本项目实际情况，提出步骤清晰、合理的方案； 3、针对性：方案能够紧扣项目实际情况，内容科学合理。 上述五项评审内容全部满足评审标准得15分，每有一个评审内容缺项扣3分，评审内容每存在一处缺陷扣1分，扣完为止。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一、评审内容 ①项目负责人具有三年以上的新媒体运维经验，提供简历表，证书及业绩证明资料，资料完全满足要求得6分， 资料不完善，缺任一项扣2分，扣完为止。 ②项目团队人员; （1）配置编辑主任1名，得2分；未提供不得分； （2）配置协调人员1名，得2分；未提供不得分； （2）配置主笔专职人员至少3名，满足要求得3分，每少一名扣1分，扣完为止； （3）配置编辑人员至少3名，满足要求得3分，每少一名扣1分，扣完为止； （4）配置校对、美工、技术专职人员至少3名，满足基础要求得3分，缺少一人扣1分，扣完为止 注：提供上述人员近六个月任意一个月本单位社保缴纳证明。</w:t>
            </w:r>
          </w:p>
        </w:tc>
        <w:tc>
          <w:tcPr>
            <w:tcW w:type="dxa" w:w="831"/>
          </w:tcPr>
          <w:p>
            <w:pPr>
              <w:pStyle w:val="null3"/>
              <w:jc w:val="right"/>
            </w:pPr>
            <w:r>
              <w:rPr>
                <w:rFonts w:ascii="仿宋_GB2312" w:hAnsi="仿宋_GB2312" w:cs="仿宋_GB2312" w:eastAsia="仿宋_GB2312"/>
              </w:rPr>
              <w:t>19.0000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设备配置</w:t>
            </w:r>
          </w:p>
        </w:tc>
        <w:tc>
          <w:tcPr>
            <w:tcW w:type="dxa" w:w="2492"/>
          </w:tcPr>
          <w:p>
            <w:pPr>
              <w:pStyle w:val="null3"/>
            </w:pPr>
            <w:r>
              <w:rPr>
                <w:rFonts w:ascii="仿宋_GB2312" w:hAnsi="仿宋_GB2312" w:cs="仿宋_GB2312" w:eastAsia="仿宋_GB2312"/>
              </w:rPr>
              <w:t>配套设备满足以下全部条件得10分，缺一项扣2.5分： 1.4K摄像设备2台及以上； 2.专业直播收音、补光套装； 3.高性能剪辑工作站； 4.便携式直播设备； 注：投标人须提供自有/长期租赁设备佐证材料（加盖公章）：包含设备采购发票或长期设备租赁协议、对应设备实拍图；高性能剪辑工作站额外提供设备硬件配置截图。未提供有效证明的，对应设备视为不满足，按缺项扣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 针对本项目提供具体可行的服务承诺及质量保障； 二、评审标准： 1、完善性：方案必须全面，对评审内容中的各项要求有详细阐述； 2、可实施性：切合本项目实际情况，提出步骤清晰、合理的方案； 3、针对性：方案能够紧扣项目实际情况，内容科学合理。 上述评审内容中： 评审内容全部满足评审标准得3分，评审内容每存在一处缺陷扣1分，扣完为止。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一、评审内容 针对本项目提供合理化建议。 二、评审标准： 1.建议合理可以，贴合项目实际情况，有针对性，实操性强得5分， 2.建议符合项目方向，对项目的改善作用有限得3分 3.虽有建议，缺乏可行性与实操性得1分； 4.未提供建议得0分。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供应商提供2023年6月1日至今类似项目业绩合同（以合同签订时间为准）；一个业绩得2分，最高得10分； 评审依据：提供完整合同复印件并加盖公章。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近年业绩的有关证明材料</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第一次磋商报价表</w:t>
            </w:r>
          </w:p>
          <w:p>
            <w:pPr>
              <w:pStyle w:val="null3"/>
            </w:pPr>
            <w:r>
              <w:rPr>
                <w:rFonts w:ascii="仿宋_GB2312" w:hAnsi="仿宋_GB2312" w:cs="仿宋_GB2312" w:eastAsia="仿宋_GB2312"/>
              </w:rPr>
              <w:t>费用组成明细表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满足磋商文件要求,以本次最低有效磋商报价总价为基准价，其价格分为满分。报价得分=（评审基准价／总报价）×15%×100。</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第一次磋商报价表</w:t>
            </w:r>
          </w:p>
          <w:p>
            <w:pPr>
              <w:pStyle w:val="null3"/>
            </w:pPr>
            <w:r>
              <w:rPr>
                <w:rFonts w:ascii="仿宋_GB2312" w:hAnsi="仿宋_GB2312" w:cs="仿宋_GB2312" w:eastAsia="仿宋_GB2312"/>
              </w:rPr>
              <w:t>费用组成明细表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详见附件：第一次磋商报价表</w:t>
      </w:r>
    </w:p>
    <w:p>
      <w:pPr>
        <w:pStyle w:val="null3"/>
        <w:ind w:firstLine="960"/>
      </w:pPr>
      <w:r>
        <w:rPr>
          <w:rFonts w:ascii="仿宋_GB2312" w:hAnsi="仿宋_GB2312" w:cs="仿宋_GB2312" w:eastAsia="仿宋_GB2312"/>
        </w:rPr>
        <w:t>详见附件：费用组成明细表</w:t>
      </w:r>
    </w:p>
    <w:p>
      <w:pPr>
        <w:pStyle w:val="null3"/>
        <w:ind w:firstLine="960"/>
      </w:pPr>
      <w:r>
        <w:rPr>
          <w:rFonts w:ascii="仿宋_GB2312" w:hAnsi="仿宋_GB2312" w:cs="仿宋_GB2312" w:eastAsia="仿宋_GB2312"/>
        </w:rPr>
        <w:t>详见附件：供应商资格证明文件</w:t>
      </w:r>
    </w:p>
    <w:p>
      <w:pPr>
        <w:pStyle w:val="null3"/>
        <w:ind w:firstLine="960"/>
      </w:pPr>
      <w:r>
        <w:rPr>
          <w:rFonts w:ascii="仿宋_GB2312" w:hAnsi="仿宋_GB2312" w:cs="仿宋_GB2312" w:eastAsia="仿宋_GB2312"/>
        </w:rPr>
        <w:t>详见附件：提供政府采购政策等证明材料</w:t>
      </w:r>
    </w:p>
    <w:p>
      <w:pPr>
        <w:pStyle w:val="null3"/>
        <w:ind w:firstLine="960"/>
      </w:pPr>
      <w:r>
        <w:rPr>
          <w:rFonts w:ascii="仿宋_GB2312" w:hAnsi="仿宋_GB2312" w:cs="仿宋_GB2312" w:eastAsia="仿宋_GB2312"/>
        </w:rPr>
        <w:t>详见附件：商务条款响应偏差表</w:t>
      </w:r>
    </w:p>
    <w:p>
      <w:pPr>
        <w:pStyle w:val="null3"/>
        <w:ind w:firstLine="960"/>
      </w:pPr>
      <w:r>
        <w:rPr>
          <w:rFonts w:ascii="仿宋_GB2312" w:hAnsi="仿宋_GB2312" w:cs="仿宋_GB2312" w:eastAsia="仿宋_GB2312"/>
        </w:rPr>
        <w:t>详见附件：服务内容响应偏差表</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详见附件：近年业绩的有关证明材料</w:t>
      </w:r>
    </w:p>
    <w:p>
      <w:pPr>
        <w:pStyle w:val="null3"/>
        <w:ind w:firstLine="960"/>
      </w:pPr>
      <w:r>
        <w:rPr>
          <w:rFonts w:ascii="仿宋_GB2312" w:hAnsi="仿宋_GB2312" w:cs="仿宋_GB2312" w:eastAsia="仿宋_GB2312"/>
        </w:rPr>
        <w:t>详见附件：供应商企业关系关联承诺书</w:t>
      </w:r>
    </w:p>
    <w:p>
      <w:pPr>
        <w:pStyle w:val="null3"/>
        <w:ind w:firstLine="960"/>
      </w:pPr>
      <w:r>
        <w:rPr>
          <w:rFonts w:ascii="仿宋_GB2312" w:hAnsi="仿宋_GB2312" w:cs="仿宋_GB2312" w:eastAsia="仿宋_GB2312"/>
        </w:rPr>
        <w:t>详见附件：供应商廉洁自律承诺书</w:t>
      </w:r>
    </w:p>
    <w:p>
      <w:pPr>
        <w:pStyle w:val="null3"/>
        <w:ind w:firstLine="960"/>
      </w:pPr>
      <w:r>
        <w:rPr>
          <w:rFonts w:ascii="仿宋_GB2312" w:hAnsi="仿宋_GB2312" w:cs="仿宋_GB2312" w:eastAsia="仿宋_GB2312"/>
        </w:rPr>
        <w:t>详见附件：承诺书</w:t>
      </w:r>
    </w:p>
    <w:p>
      <w:pPr>
        <w:pStyle w:val="null3"/>
        <w:ind w:firstLine="960"/>
      </w:pPr>
      <w:r>
        <w:rPr>
          <w:rFonts w:ascii="仿宋_GB2312" w:hAnsi="仿宋_GB2312" w:cs="仿宋_GB2312" w:eastAsia="仿宋_GB2312"/>
        </w:rPr>
        <w:t>详见附件：供应商认为有必要补充说明的事项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