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BE99EE">
      <w:pPr>
        <w:bidi w:val="0"/>
        <w:jc w:val="center"/>
        <w:rPr>
          <w:rFonts w:hint="eastAsia" w:ascii="仿宋" w:hAnsi="仿宋" w:eastAsia="仿宋" w:cs="仿宋"/>
          <w:b/>
          <w:color w:val="auto"/>
          <w:sz w:val="48"/>
          <w:szCs w:val="48"/>
          <w:highlight w:val="none"/>
          <w:lang w:val="en-US" w:eastAsia="zh-CN"/>
        </w:rPr>
      </w:pPr>
      <w:r>
        <w:rPr>
          <w:rFonts w:hint="eastAsia" w:ascii="仿宋" w:hAnsi="仿宋" w:eastAsia="仿宋" w:cs="仿宋"/>
          <w:b/>
          <w:color w:val="auto"/>
          <w:sz w:val="48"/>
          <w:szCs w:val="48"/>
          <w:highlight w:val="none"/>
          <w:lang w:val="en-US" w:eastAsia="zh-CN"/>
        </w:rPr>
        <w:t>合同条款及格式</w:t>
      </w:r>
    </w:p>
    <w:p w14:paraId="6F196484">
      <w:pPr>
        <w:spacing w:line="440" w:lineRule="exact"/>
        <w:ind w:firstLine="480" w:firstLineChars="200"/>
        <w:rPr>
          <w:rFonts w:hint="eastAsia" w:ascii="仿宋" w:hAnsi="仿宋" w:eastAsia="仿宋" w:cs="仿宋"/>
          <w:color w:val="auto"/>
          <w:sz w:val="24"/>
          <w:highlight w:val="none"/>
        </w:rPr>
      </w:pPr>
    </w:p>
    <w:p w14:paraId="2912A368">
      <w:pPr>
        <w:pStyle w:val="7"/>
        <w:rPr>
          <w:rFonts w:hint="eastAsia" w:ascii="仿宋" w:hAnsi="仿宋" w:eastAsia="仿宋" w:cs="仿宋"/>
          <w:color w:val="auto"/>
          <w:highlight w:val="none"/>
        </w:rPr>
      </w:pPr>
    </w:p>
    <w:p w14:paraId="6C188308">
      <w:pPr>
        <w:rPr>
          <w:rFonts w:hint="eastAsia" w:ascii="仿宋" w:hAnsi="仿宋" w:eastAsia="仿宋" w:cs="仿宋"/>
          <w:color w:val="auto"/>
          <w:highlight w:val="none"/>
        </w:rPr>
      </w:pPr>
    </w:p>
    <w:p w14:paraId="218B7724">
      <w:pPr>
        <w:pStyle w:val="7"/>
        <w:rPr>
          <w:rFonts w:hint="eastAsia" w:ascii="仿宋" w:hAnsi="仿宋" w:eastAsia="仿宋" w:cs="仿宋"/>
          <w:color w:val="auto"/>
          <w:highlight w:val="none"/>
        </w:rPr>
      </w:pPr>
    </w:p>
    <w:p w14:paraId="0C343EE9">
      <w:pPr>
        <w:rPr>
          <w:rFonts w:hint="eastAsia" w:ascii="仿宋" w:hAnsi="仿宋" w:eastAsia="仿宋" w:cs="仿宋"/>
          <w:color w:val="auto"/>
          <w:highlight w:val="none"/>
        </w:rPr>
      </w:pPr>
    </w:p>
    <w:p w14:paraId="676C0DA1">
      <w:pPr>
        <w:bidi w:val="0"/>
        <w:jc w:val="center"/>
        <w:rPr>
          <w:rFonts w:hint="eastAsia" w:ascii="仿宋" w:hAnsi="仿宋" w:eastAsia="仿宋" w:cs="仿宋"/>
          <w:b/>
          <w:color w:val="auto"/>
          <w:sz w:val="48"/>
          <w:szCs w:val="48"/>
          <w:highlight w:val="none"/>
          <w:lang w:val="en-US" w:eastAsia="zh-CN"/>
        </w:rPr>
      </w:pPr>
    </w:p>
    <w:p w14:paraId="2B941FF7">
      <w:pPr>
        <w:bidi w:val="0"/>
        <w:jc w:val="center"/>
        <w:rPr>
          <w:rFonts w:hint="eastAsia" w:ascii="仿宋" w:hAnsi="仿宋" w:eastAsia="仿宋" w:cs="仿宋"/>
          <w:b/>
          <w:bCs/>
          <w:color w:val="auto"/>
          <w:sz w:val="44"/>
          <w:szCs w:val="44"/>
          <w:highlight w:val="none"/>
          <w:lang w:eastAsia="zh-CN"/>
        </w:rPr>
      </w:pPr>
      <w:r>
        <w:rPr>
          <w:rFonts w:hint="eastAsia" w:ascii="仿宋" w:hAnsi="仿宋" w:eastAsia="仿宋" w:cs="仿宋"/>
          <w:b/>
          <w:color w:val="auto"/>
          <w:sz w:val="48"/>
          <w:szCs w:val="48"/>
          <w:highlight w:val="none"/>
          <w:lang w:val="en-US" w:eastAsia="zh-CN"/>
        </w:rPr>
        <w:t>2026年至2027年“网观西安（网信西安）”新媒体矩阵运维服务</w:t>
      </w:r>
    </w:p>
    <w:p w14:paraId="4B6B34BB">
      <w:pPr>
        <w:pStyle w:val="7"/>
        <w:rPr>
          <w:rFonts w:hint="eastAsia" w:ascii="仿宋" w:hAnsi="仿宋" w:eastAsia="仿宋" w:cs="仿宋"/>
          <w:b/>
          <w:bCs/>
          <w:color w:val="auto"/>
          <w:sz w:val="44"/>
          <w:szCs w:val="44"/>
          <w:highlight w:val="none"/>
          <w:lang w:eastAsia="zh-CN"/>
        </w:rPr>
      </w:pPr>
    </w:p>
    <w:p w14:paraId="750AEE8D">
      <w:pPr>
        <w:pStyle w:val="7"/>
        <w:rPr>
          <w:rFonts w:hint="eastAsia" w:ascii="仿宋" w:hAnsi="仿宋" w:eastAsia="仿宋" w:cs="仿宋"/>
          <w:b/>
          <w:bCs/>
          <w:color w:val="auto"/>
          <w:sz w:val="44"/>
          <w:szCs w:val="44"/>
          <w:highlight w:val="none"/>
          <w:lang w:eastAsia="zh-CN"/>
        </w:rPr>
      </w:pPr>
    </w:p>
    <w:p w14:paraId="2EFABEF3">
      <w:pPr>
        <w:rPr>
          <w:rFonts w:hint="eastAsia" w:ascii="仿宋" w:hAnsi="仿宋" w:eastAsia="仿宋" w:cs="仿宋"/>
          <w:b/>
          <w:bCs/>
          <w:color w:val="auto"/>
          <w:sz w:val="44"/>
          <w:szCs w:val="44"/>
          <w:highlight w:val="none"/>
          <w:lang w:eastAsia="zh-CN"/>
        </w:rPr>
      </w:pPr>
    </w:p>
    <w:p w14:paraId="5F77BA51">
      <w:pPr>
        <w:pStyle w:val="7"/>
        <w:rPr>
          <w:rFonts w:hint="eastAsia" w:ascii="仿宋" w:hAnsi="仿宋" w:eastAsia="仿宋" w:cs="仿宋"/>
          <w:b/>
          <w:bCs/>
          <w:color w:val="auto"/>
          <w:sz w:val="44"/>
          <w:szCs w:val="44"/>
          <w:highlight w:val="none"/>
          <w:lang w:eastAsia="zh-CN"/>
        </w:rPr>
      </w:pPr>
    </w:p>
    <w:p w14:paraId="5F94949C">
      <w:pPr>
        <w:jc w:val="center"/>
        <w:rPr>
          <w:rFonts w:hint="eastAsia" w:ascii="仿宋" w:hAnsi="仿宋" w:eastAsia="仿宋" w:cs="仿宋"/>
          <w:b/>
          <w:bCs/>
          <w:color w:val="auto"/>
          <w:sz w:val="44"/>
          <w:szCs w:val="44"/>
          <w:highlight w:val="none"/>
          <w:lang w:val="en-US" w:eastAsia="zh-CN"/>
        </w:rPr>
      </w:pPr>
      <w:r>
        <w:rPr>
          <w:rFonts w:hint="eastAsia" w:ascii="仿宋" w:hAnsi="仿宋" w:eastAsia="仿宋" w:cs="仿宋"/>
          <w:b/>
          <w:bCs/>
          <w:color w:val="auto"/>
          <w:sz w:val="44"/>
          <w:szCs w:val="44"/>
          <w:highlight w:val="none"/>
          <w:lang w:val="en-US" w:eastAsia="zh-CN"/>
        </w:rPr>
        <w:t>服务合同</w:t>
      </w:r>
    </w:p>
    <w:p w14:paraId="1A53BC1F">
      <w:pPr>
        <w:pStyle w:val="7"/>
        <w:rPr>
          <w:rFonts w:hint="eastAsia" w:ascii="仿宋" w:hAnsi="仿宋" w:eastAsia="仿宋" w:cs="仿宋"/>
          <w:b/>
          <w:bCs/>
          <w:color w:val="auto"/>
          <w:sz w:val="44"/>
          <w:szCs w:val="44"/>
          <w:highlight w:val="none"/>
          <w:lang w:val="en-US" w:eastAsia="zh-CN"/>
        </w:rPr>
      </w:pPr>
    </w:p>
    <w:p w14:paraId="0C11D8BE">
      <w:pPr>
        <w:rPr>
          <w:rFonts w:hint="eastAsia" w:ascii="仿宋" w:hAnsi="仿宋" w:eastAsia="仿宋" w:cs="仿宋"/>
          <w:b/>
          <w:bCs/>
          <w:color w:val="auto"/>
          <w:sz w:val="44"/>
          <w:szCs w:val="44"/>
          <w:highlight w:val="none"/>
          <w:lang w:val="en-US" w:eastAsia="zh-CN"/>
        </w:rPr>
      </w:pPr>
    </w:p>
    <w:p w14:paraId="2AEF8AF8">
      <w:pPr>
        <w:pStyle w:val="7"/>
        <w:rPr>
          <w:rFonts w:hint="eastAsia" w:ascii="仿宋" w:hAnsi="仿宋" w:eastAsia="仿宋" w:cs="仿宋"/>
          <w:b/>
          <w:bCs/>
          <w:color w:val="auto"/>
          <w:sz w:val="44"/>
          <w:szCs w:val="44"/>
          <w:highlight w:val="none"/>
          <w:lang w:val="en-US" w:eastAsia="zh-CN"/>
        </w:rPr>
      </w:pPr>
    </w:p>
    <w:p w14:paraId="212C99CB">
      <w:pPr>
        <w:rPr>
          <w:rFonts w:hint="eastAsia" w:ascii="仿宋" w:hAnsi="仿宋" w:eastAsia="仿宋" w:cs="仿宋"/>
          <w:color w:val="auto"/>
          <w:highlight w:val="none"/>
          <w:lang w:val="en-US" w:eastAsia="zh-CN"/>
        </w:rPr>
      </w:pPr>
    </w:p>
    <w:p w14:paraId="2FC6ED43">
      <w:pPr>
        <w:pStyle w:val="7"/>
        <w:rPr>
          <w:rFonts w:hint="eastAsia" w:ascii="仿宋" w:hAnsi="仿宋" w:eastAsia="仿宋" w:cs="仿宋"/>
          <w:b/>
          <w:bCs/>
          <w:color w:val="auto"/>
          <w:sz w:val="44"/>
          <w:szCs w:val="44"/>
          <w:highlight w:val="none"/>
          <w:lang w:val="en-US" w:eastAsia="zh-CN"/>
        </w:rPr>
      </w:pPr>
    </w:p>
    <w:p w14:paraId="4D88E069">
      <w:pPr>
        <w:spacing w:line="500" w:lineRule="exact"/>
        <w:ind w:firstLine="1120" w:firstLineChars="4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合  同  编  号：</w:t>
      </w:r>
    </w:p>
    <w:p w14:paraId="629617C7">
      <w:pPr>
        <w:spacing w:line="500" w:lineRule="exact"/>
        <w:ind w:firstLine="1120" w:firstLineChars="4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项  目  名  称：</w:t>
      </w:r>
    </w:p>
    <w:p w14:paraId="0A93D504">
      <w:pPr>
        <w:spacing w:line="500" w:lineRule="exact"/>
        <w:ind w:firstLine="1120" w:firstLineChars="4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采购人（</w:t>
      </w:r>
      <w:r>
        <w:rPr>
          <w:rFonts w:hint="eastAsia" w:ascii="仿宋" w:hAnsi="仿宋" w:eastAsia="仿宋" w:cs="仿宋"/>
          <w:color w:val="auto"/>
          <w:sz w:val="28"/>
          <w:szCs w:val="28"/>
          <w:highlight w:val="none"/>
          <w:lang w:eastAsia="zh-CN"/>
        </w:rPr>
        <w:t>甲方</w:t>
      </w:r>
      <w:r>
        <w:rPr>
          <w:rFonts w:hint="eastAsia" w:ascii="仿宋" w:hAnsi="仿宋" w:eastAsia="仿宋" w:cs="仿宋"/>
          <w:color w:val="auto"/>
          <w:sz w:val="28"/>
          <w:szCs w:val="28"/>
          <w:highlight w:val="none"/>
        </w:rPr>
        <w:t>）：</w:t>
      </w:r>
    </w:p>
    <w:p w14:paraId="0D5FE128">
      <w:pPr>
        <w:spacing w:line="500" w:lineRule="exact"/>
        <w:ind w:firstLine="1120" w:firstLineChars="4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成交人（</w:t>
      </w:r>
      <w:r>
        <w:rPr>
          <w:rFonts w:hint="eastAsia" w:ascii="仿宋" w:hAnsi="仿宋" w:eastAsia="仿宋" w:cs="仿宋"/>
          <w:color w:val="auto"/>
          <w:sz w:val="28"/>
          <w:szCs w:val="28"/>
          <w:highlight w:val="none"/>
          <w:lang w:val="en-US" w:eastAsia="zh-CN"/>
        </w:rPr>
        <w:t>乙</w:t>
      </w:r>
      <w:r>
        <w:rPr>
          <w:rFonts w:hint="eastAsia" w:ascii="仿宋" w:hAnsi="仿宋" w:eastAsia="仿宋" w:cs="仿宋"/>
          <w:color w:val="auto"/>
          <w:sz w:val="28"/>
          <w:szCs w:val="28"/>
          <w:highlight w:val="none"/>
        </w:rPr>
        <w:t>方）：</w:t>
      </w:r>
    </w:p>
    <w:p w14:paraId="7F88EA2F">
      <w:pPr>
        <w:spacing w:line="500" w:lineRule="exact"/>
        <w:ind w:firstLine="1120" w:firstLineChars="4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签</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订</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地</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 xml:space="preserve">点： </w:t>
      </w:r>
    </w:p>
    <w:p w14:paraId="3713FC02">
      <w:pPr>
        <w:spacing w:line="500" w:lineRule="exact"/>
        <w:ind w:firstLine="1120" w:firstLineChars="4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签</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订</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时</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间：</w:t>
      </w:r>
    </w:p>
    <w:p w14:paraId="353AAF9C">
      <w:pPr>
        <w:pStyle w:val="7"/>
        <w:rPr>
          <w:rFonts w:hint="eastAsia" w:ascii="仿宋" w:hAnsi="仿宋" w:eastAsia="仿宋" w:cs="仿宋"/>
          <w:color w:val="auto"/>
          <w:highlight w:val="none"/>
        </w:rPr>
        <w:sectPr>
          <w:footerReference r:id="rId3" w:type="default"/>
          <w:pgSz w:w="11907" w:h="16840"/>
          <w:pgMar w:top="1418" w:right="1417" w:bottom="1417" w:left="1417" w:header="907" w:footer="654" w:gutter="0"/>
          <w:cols w:space="720" w:num="1"/>
          <w:titlePg/>
          <w:docGrid w:linePitch="312" w:charSpace="0"/>
        </w:sectPr>
      </w:pPr>
    </w:p>
    <w:p w14:paraId="772A524E">
      <w:pPr>
        <w:pStyle w:val="8"/>
        <w:keepNext w:val="0"/>
        <w:keepLines w:val="0"/>
        <w:pageBreakBefore w:val="0"/>
        <w:kinsoku/>
        <w:wordWrap/>
        <w:overflowPunct/>
        <w:topLinePunct w:val="0"/>
        <w:autoSpaceDE/>
        <w:autoSpaceDN/>
        <w:bidi w:val="0"/>
        <w:adjustRightInd w:val="0"/>
        <w:snapToGrid w:val="0"/>
        <w:spacing w:line="360" w:lineRule="auto"/>
        <w:ind w:firstLine="21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（本格式条款供双方签订合同参考，采购人可根据项目的实际情况增减条款和内容（实质性条款除外））</w:t>
      </w:r>
    </w:p>
    <w:p w14:paraId="57FAA3D4">
      <w:pPr>
        <w:spacing w:line="360" w:lineRule="auto"/>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u w:val="single"/>
        </w:rPr>
        <w:t xml:space="preserve">             </w:t>
      </w:r>
    </w:p>
    <w:p w14:paraId="1071CB6B">
      <w:pPr>
        <w:spacing w:line="360" w:lineRule="auto"/>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1F98A072">
      <w:pPr>
        <w:spacing w:line="360" w:lineRule="auto"/>
        <w:ind w:firstLine="480" w:firstLineChars="20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根据《中华人民共和国</w:t>
      </w:r>
      <w:r>
        <w:rPr>
          <w:rFonts w:hint="eastAsia" w:ascii="仿宋" w:hAnsi="仿宋" w:eastAsia="仿宋" w:cs="仿宋"/>
          <w:color w:val="auto"/>
          <w:sz w:val="24"/>
          <w:szCs w:val="24"/>
          <w:highlight w:val="none"/>
          <w:lang w:eastAsia="zh-CN"/>
        </w:rPr>
        <w:t>民法典</w:t>
      </w:r>
      <w:r>
        <w:rPr>
          <w:rFonts w:hint="eastAsia" w:ascii="仿宋" w:hAnsi="仿宋" w:eastAsia="仿宋" w:cs="仿宋"/>
          <w:color w:val="auto"/>
          <w:sz w:val="24"/>
          <w:szCs w:val="24"/>
          <w:highlight w:val="none"/>
        </w:rPr>
        <w:t>》、《中华人民共和国政府采购法》与项目行业有关的法律法规，以及本项目（</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rPr>
        <w:t>）相关采购要求的规定，合同双方就乙方向采购方提供</w:t>
      </w:r>
      <w:r>
        <w:rPr>
          <w:rFonts w:hint="eastAsia" w:ascii="仿宋" w:hAnsi="仿宋" w:eastAsia="仿宋" w:cs="仿宋"/>
          <w:color w:val="auto"/>
          <w:sz w:val="24"/>
          <w:szCs w:val="24"/>
          <w:highlight w:val="none"/>
          <w:lang w:eastAsia="zh-CN"/>
        </w:rPr>
        <w:t>参加</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rPr>
        <w:t>协商达成一致，确立本合同。</w:t>
      </w:r>
      <w:bookmarkStart w:id="0" w:name="_Toc21714"/>
      <w:bookmarkStart w:id="1" w:name="_Toc21110"/>
      <w:bookmarkStart w:id="2" w:name="_Toc24406"/>
      <w:bookmarkStart w:id="3" w:name="_Toc21171"/>
    </w:p>
    <w:p w14:paraId="402874DF">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2" w:firstLineChars="200"/>
        <w:textAlignment w:val="auto"/>
        <w:outlineLvl w:val="9"/>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val="en-US" w:eastAsia="zh-CN"/>
        </w:rPr>
        <w:t>一、</w:t>
      </w:r>
      <w:r>
        <w:rPr>
          <w:rFonts w:hint="eastAsia" w:ascii="仿宋" w:hAnsi="仿宋" w:eastAsia="仿宋" w:cs="仿宋"/>
          <w:b/>
          <w:bCs/>
          <w:color w:val="auto"/>
          <w:sz w:val="24"/>
          <w:szCs w:val="24"/>
          <w:highlight w:val="none"/>
          <w:lang w:eastAsia="zh-CN"/>
        </w:rPr>
        <w:t xml:space="preserve"> 合同标的及合同价</w:t>
      </w:r>
    </w:p>
    <w:p w14:paraId="3F3D04F2">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1.合同标的及标的物</w:t>
      </w:r>
    </w:p>
    <w:p w14:paraId="28E74224">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2026年至2027年“网观西安（网信西安）”新媒体矩阵运维服务</w:t>
      </w:r>
    </w:p>
    <w:p w14:paraId="2793DABD">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2.含税合同价</w:t>
      </w:r>
    </w:p>
    <w:p w14:paraId="32C48C73">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(人民币大写:</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lang w:eastAsia="zh-CN"/>
        </w:rPr>
        <w:t>元整)，(人民币小写:</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lang w:eastAsia="zh-CN"/>
        </w:rPr>
        <w:t>元)</w:t>
      </w:r>
    </w:p>
    <w:p w14:paraId="1C8DF910">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2" w:firstLineChars="200"/>
        <w:textAlignment w:val="auto"/>
        <w:outlineLvl w:val="9"/>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val="en-US" w:eastAsia="zh-CN"/>
        </w:rPr>
        <w:t>二、</w:t>
      </w:r>
      <w:r>
        <w:rPr>
          <w:rFonts w:hint="eastAsia" w:ascii="仿宋" w:hAnsi="仿宋" w:eastAsia="仿宋" w:cs="仿宋"/>
          <w:b/>
          <w:bCs/>
          <w:color w:val="auto"/>
          <w:sz w:val="24"/>
          <w:szCs w:val="24"/>
          <w:highlight w:val="none"/>
          <w:lang w:eastAsia="zh-CN"/>
        </w:rPr>
        <w:t xml:space="preserve"> 服务期限</w:t>
      </w:r>
    </w:p>
    <w:p w14:paraId="4FCB278C">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2026年7月至2027年6月</w:t>
      </w:r>
      <w:r>
        <w:rPr>
          <w:rFonts w:hint="eastAsia" w:ascii="仿宋" w:hAnsi="仿宋" w:eastAsia="仿宋" w:cs="仿宋"/>
          <w:color w:val="auto"/>
          <w:sz w:val="24"/>
          <w:szCs w:val="24"/>
          <w:highlight w:val="none"/>
          <w:lang w:eastAsia="zh-CN"/>
        </w:rPr>
        <w:t>。</w:t>
      </w:r>
    </w:p>
    <w:p w14:paraId="36DE0F42">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2" w:firstLineChars="200"/>
        <w:textAlignment w:val="auto"/>
        <w:outlineLvl w:val="9"/>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val="en-US" w:eastAsia="zh-CN"/>
        </w:rPr>
        <w:t>三、</w:t>
      </w:r>
      <w:r>
        <w:rPr>
          <w:rFonts w:hint="eastAsia" w:ascii="仿宋" w:hAnsi="仿宋" w:eastAsia="仿宋" w:cs="仿宋"/>
          <w:b/>
          <w:bCs/>
          <w:color w:val="auto"/>
          <w:sz w:val="24"/>
          <w:szCs w:val="24"/>
          <w:highlight w:val="none"/>
          <w:lang w:eastAsia="zh-CN"/>
        </w:rPr>
        <w:t>服务内容</w:t>
      </w:r>
    </w:p>
    <w:p w14:paraId="1879A108">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具体内容以项目采购文件、项目运维目标、项目考核办法为准。</w:t>
      </w:r>
    </w:p>
    <w:p w14:paraId="768D4618">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2" w:firstLineChars="200"/>
        <w:textAlignment w:val="auto"/>
        <w:outlineLvl w:val="9"/>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四、付款方式和程序</w:t>
      </w:r>
    </w:p>
    <w:p w14:paraId="6B4607DA">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1.按下列比例支付价款:</w:t>
      </w:r>
    </w:p>
    <w:p w14:paraId="0936509F">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）合同签订且供应商开具增值税正式发票后的10个工作日内，以银行转账形式向其支付本合同总费用的</w:t>
      </w:r>
      <w:r>
        <w:rPr>
          <w:rFonts w:hint="eastAsia" w:ascii="仿宋" w:hAnsi="仿宋" w:eastAsia="仿宋" w:cs="仿宋"/>
          <w:color w:val="auto"/>
          <w:sz w:val="24"/>
          <w:szCs w:val="24"/>
          <w:highlight w:val="none"/>
          <w:lang w:val="en-US" w:eastAsia="zh-CN"/>
        </w:rPr>
        <w:t>50</w:t>
      </w:r>
      <w:r>
        <w:rPr>
          <w:rFonts w:hint="eastAsia" w:ascii="仿宋" w:hAnsi="仿宋" w:eastAsia="仿宋" w:cs="仿宋"/>
          <w:color w:val="auto"/>
          <w:sz w:val="24"/>
          <w:szCs w:val="24"/>
          <w:highlight w:val="none"/>
          <w:lang w:eastAsia="zh-CN"/>
        </w:rPr>
        <w:t>%；</w:t>
      </w:r>
    </w:p>
    <w:p w14:paraId="4C53BA27">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2026年11月</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lang w:val="en-US" w:eastAsia="zh-CN"/>
        </w:rPr>
        <w:t>提供阶段性结案报告，</w:t>
      </w:r>
      <w:r>
        <w:rPr>
          <w:rFonts w:hint="eastAsia" w:ascii="仿宋" w:hAnsi="仿宋" w:eastAsia="仿宋" w:cs="仿宋"/>
          <w:color w:val="auto"/>
          <w:sz w:val="24"/>
          <w:szCs w:val="24"/>
          <w:highlight w:val="none"/>
          <w:lang w:eastAsia="zh-CN"/>
        </w:rPr>
        <w:t>经市委网信办验收合格出具验收报告</w:t>
      </w:r>
      <w:r>
        <w:rPr>
          <w:rFonts w:hint="eastAsia" w:ascii="仿宋" w:hAnsi="仿宋" w:eastAsia="仿宋" w:cs="仿宋"/>
          <w:color w:val="auto"/>
          <w:sz w:val="24"/>
          <w:szCs w:val="24"/>
          <w:highlight w:val="none"/>
          <w:lang w:val="en-US" w:eastAsia="zh-CN"/>
        </w:rPr>
        <w:t>后，</w:t>
      </w:r>
      <w:r>
        <w:rPr>
          <w:rFonts w:hint="eastAsia" w:ascii="仿宋" w:hAnsi="仿宋" w:eastAsia="仿宋" w:cs="仿宋"/>
          <w:color w:val="auto"/>
          <w:sz w:val="24"/>
          <w:szCs w:val="24"/>
          <w:highlight w:val="none"/>
          <w:lang w:eastAsia="zh-CN"/>
        </w:rPr>
        <w:t>开具增值税正式发票后的10个工作日内，以银行转账形式向其支付本合同总费用的</w:t>
      </w: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lang w:eastAsia="zh-CN"/>
        </w:rPr>
        <w:t>%；</w:t>
      </w:r>
    </w:p>
    <w:p w14:paraId="04F9A15D">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（3）2027年5月供应商提供结案报告，经市委网信办验收合格出具验收报告和绩效目标后,达到付款条件起10个工作日内，支付合同总金额的30.0%。</w:t>
      </w:r>
    </w:p>
    <w:p w14:paraId="0F54D1E5">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2.支付方式:银行转账。</w:t>
      </w:r>
      <w:bookmarkEnd w:id="0"/>
      <w:bookmarkEnd w:id="1"/>
      <w:bookmarkEnd w:id="2"/>
      <w:bookmarkEnd w:id="3"/>
    </w:p>
    <w:p w14:paraId="0DB25CAA">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(1)乙方指定收款账号:</w:t>
      </w:r>
    </w:p>
    <w:p w14:paraId="4AD7C9E3">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账户名称:</w:t>
      </w:r>
    </w:p>
    <w:p w14:paraId="33D471DA">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银行账号:</w:t>
      </w:r>
    </w:p>
    <w:p w14:paraId="04FA9D4C">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开户银行:</w:t>
      </w:r>
    </w:p>
    <w:p w14:paraId="6581A47B">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乙方指定的上述收款账户信息不得轻易发生变更，若确实需要发生变更则需要至少提前7个工作日书面征求甲方的同意，否则由此产生的后果全部由乙方自行承担。</w:t>
      </w:r>
    </w:p>
    <w:p w14:paraId="70C9FCEF">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(2)甲方付款前，乙方应按甲方要求向甲方提供合规的等额增值税发票，否则甲方有权拒绝付款而无需承担任何责任。</w:t>
      </w:r>
    </w:p>
    <w:p w14:paraId="355FBBE6">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3.结算方式:供应商持成交通知书、发票(按合同总价直开采购人)、合同，与采购人结算。</w:t>
      </w:r>
    </w:p>
    <w:p w14:paraId="73880DE6">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2" w:firstLineChars="200"/>
        <w:textAlignment w:val="auto"/>
        <w:outlineLvl w:val="9"/>
        <w:rPr>
          <w:rFonts w:hint="eastAsia" w:ascii="仿宋" w:hAnsi="仿宋" w:eastAsia="仿宋" w:cs="仿宋"/>
          <w:b/>
          <w:color w:val="auto"/>
          <w:sz w:val="24"/>
          <w:szCs w:val="24"/>
          <w:highlight w:val="none"/>
          <w:lang w:eastAsia="zh-CN"/>
        </w:rPr>
      </w:pPr>
      <w:bookmarkStart w:id="4" w:name="_Toc32459"/>
      <w:bookmarkStart w:id="5" w:name="_Toc15947"/>
      <w:bookmarkStart w:id="6" w:name="_Toc7966"/>
      <w:bookmarkStart w:id="7" w:name="_Toc27382"/>
      <w:r>
        <w:rPr>
          <w:rFonts w:hint="eastAsia" w:ascii="仿宋" w:hAnsi="仿宋" w:eastAsia="仿宋" w:cs="仿宋"/>
          <w:b/>
          <w:color w:val="auto"/>
          <w:sz w:val="24"/>
          <w:szCs w:val="24"/>
          <w:highlight w:val="none"/>
          <w:lang w:val="en-US" w:eastAsia="zh-CN"/>
        </w:rPr>
        <w:t>五、</w:t>
      </w:r>
      <w:r>
        <w:rPr>
          <w:rFonts w:hint="eastAsia" w:ascii="仿宋" w:hAnsi="仿宋" w:eastAsia="仿宋" w:cs="仿宋"/>
          <w:b/>
          <w:color w:val="auto"/>
          <w:sz w:val="24"/>
          <w:szCs w:val="24"/>
          <w:highlight w:val="none"/>
          <w:lang w:eastAsia="zh-CN"/>
        </w:rPr>
        <w:t>知识产权(若有)与保密</w:t>
      </w:r>
    </w:p>
    <w:p w14:paraId="1B005E40">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1、乙方应保证所提供的服务或其任何一部分服务均不会侵犯任何第三方的专利权、商标权或著作权等在先权利，否则由乙方承担由此产生的一切法律责任，甲方不承担任何责任。</w:t>
      </w:r>
    </w:p>
    <w:p w14:paraId="02154BC6">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乙方保证对在讨论、签订、履行本合同过程中所获悉的属于甲方的且无法自公开渠道获取的资料及信息予以保密。未经甲方同意乙方不得向任何第三方泄露前述保密信息的全部或部分内容，否则应承担由此给甲方造成的一切损失包括但不限于信誉损失、可得利益损失等。上述保密义务，在本合同终止或解除之后仍需履行。</w:t>
      </w:r>
    </w:p>
    <w:p w14:paraId="54B15E55">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2" w:firstLineChars="200"/>
        <w:textAlignment w:val="auto"/>
        <w:outlineLvl w:val="9"/>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val="en-US" w:eastAsia="zh-CN"/>
        </w:rPr>
        <w:t>六、</w:t>
      </w:r>
      <w:r>
        <w:rPr>
          <w:rFonts w:hint="eastAsia" w:ascii="仿宋" w:hAnsi="仿宋" w:eastAsia="仿宋" w:cs="仿宋"/>
          <w:b/>
          <w:bCs/>
          <w:color w:val="auto"/>
          <w:sz w:val="24"/>
          <w:szCs w:val="24"/>
          <w:highlight w:val="none"/>
          <w:lang w:eastAsia="zh-CN"/>
        </w:rPr>
        <w:t>无产权瑕疵条款(如有)</w:t>
      </w:r>
    </w:p>
    <w:p w14:paraId="71DDD5EB">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乙方保证所提供的服务的所有权完全属于乙方且无任何抵押、查封等产权瑕疵。如有产权瑕疵的，视为乙方违约。乙方应负担由此而产生的一切损失。</w:t>
      </w:r>
    </w:p>
    <w:p w14:paraId="410191DE">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2" w:firstLineChars="200"/>
        <w:textAlignment w:val="auto"/>
        <w:outlineLvl w:val="9"/>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七、</w:t>
      </w:r>
      <w:r>
        <w:rPr>
          <w:rFonts w:hint="eastAsia" w:ascii="仿宋" w:hAnsi="仿宋" w:eastAsia="仿宋" w:cs="仿宋"/>
          <w:b/>
          <w:color w:val="auto"/>
          <w:sz w:val="24"/>
          <w:szCs w:val="24"/>
          <w:highlight w:val="none"/>
          <w:lang w:eastAsia="zh-CN"/>
        </w:rPr>
        <w:t>履约保证金</w:t>
      </w:r>
    </w:p>
    <w:p w14:paraId="2A0B6043">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不需要提供履约保证金。</w:t>
      </w:r>
    </w:p>
    <w:p w14:paraId="13B206C1">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2" w:firstLineChars="200"/>
        <w:textAlignment w:val="auto"/>
        <w:outlineLvl w:val="9"/>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val="en-US" w:eastAsia="zh-CN"/>
        </w:rPr>
        <w:t>八、</w:t>
      </w:r>
      <w:r>
        <w:rPr>
          <w:rFonts w:hint="eastAsia" w:ascii="仿宋" w:hAnsi="仿宋" w:eastAsia="仿宋" w:cs="仿宋"/>
          <w:b/>
          <w:bCs/>
          <w:color w:val="auto"/>
          <w:sz w:val="24"/>
          <w:szCs w:val="24"/>
          <w:highlight w:val="none"/>
          <w:lang w:eastAsia="zh-CN"/>
        </w:rPr>
        <w:t>甲方的权利和义务</w:t>
      </w:r>
    </w:p>
    <w:p w14:paraId="49C8A0FF">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1.甲方有权对合同规定范围内乙方的服务行为进行监督和检查，拥有监管权。有权定期核对乙方提供服务所配备的人员数量。对甲方认为不合理的部分有权下达整改通知书，并要求乙方限期整改。</w:t>
      </w:r>
    </w:p>
    <w:p w14:paraId="48A94F23">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2.负责检查监督乙方管理工作的实施及制度的执行情况。</w:t>
      </w:r>
      <w:bookmarkEnd w:id="4"/>
      <w:bookmarkEnd w:id="5"/>
      <w:bookmarkEnd w:id="6"/>
      <w:bookmarkEnd w:id="7"/>
      <w:bookmarkStart w:id="8" w:name="_Toc13959"/>
      <w:bookmarkStart w:id="9" w:name="_Toc9903"/>
      <w:bookmarkStart w:id="10" w:name="_Toc21314"/>
      <w:bookmarkStart w:id="11" w:name="_Toc12558"/>
    </w:p>
    <w:p w14:paraId="3514592F">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3.根据本合同规定，按时向乙方支付应付服务费用。</w:t>
      </w:r>
    </w:p>
    <w:p w14:paraId="6ED77164">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4.国家法律法规所规定由甲方承担的其他责任。</w:t>
      </w:r>
    </w:p>
    <w:p w14:paraId="7A2A1BF1">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2" w:firstLineChars="200"/>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九、</w:t>
      </w:r>
      <w:r>
        <w:rPr>
          <w:rFonts w:hint="eastAsia" w:ascii="仿宋" w:hAnsi="仿宋" w:eastAsia="仿宋" w:cs="仿宋"/>
          <w:b/>
          <w:bCs/>
          <w:color w:val="auto"/>
          <w:sz w:val="24"/>
          <w:szCs w:val="24"/>
          <w:highlight w:val="none"/>
        </w:rPr>
        <w:t>乙方的权利和义务</w:t>
      </w:r>
    </w:p>
    <w:p w14:paraId="29DD0A34">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1.对本合同规定的委托服务范围内的项目享有管理权及服务义务。</w:t>
      </w:r>
    </w:p>
    <w:p w14:paraId="41FEC1A9">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2.根据本合同的规定向甲方收取相关服务费用，并有权在本项目管理范围内管理及合理使用。</w:t>
      </w:r>
    </w:p>
    <w:p w14:paraId="28D11772">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3.及时向甲方通告本项目服务范围内有关服务的重大事项，及时配合处理投诉。</w:t>
      </w:r>
    </w:p>
    <w:p w14:paraId="2FEEDD28">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4.接受项目行业管理部门及政府有关部门的指导，接受甲方的监督。</w:t>
      </w:r>
    </w:p>
    <w:p w14:paraId="1E823C69">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5.国家法律法规所规定由乙方承担的其他责任。</w:t>
      </w:r>
    </w:p>
    <w:p w14:paraId="41AF944B">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2"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b/>
          <w:bCs/>
          <w:color w:val="auto"/>
          <w:sz w:val="24"/>
          <w:szCs w:val="24"/>
          <w:highlight w:val="none"/>
          <w:lang w:val="en-US" w:eastAsia="zh-CN"/>
        </w:rPr>
        <w:t>十、</w:t>
      </w:r>
      <w:r>
        <w:rPr>
          <w:rFonts w:hint="eastAsia" w:ascii="仿宋" w:hAnsi="仿宋" w:eastAsia="仿宋" w:cs="仿宋"/>
          <w:b/>
          <w:bCs/>
          <w:color w:val="auto"/>
          <w:sz w:val="24"/>
          <w:szCs w:val="24"/>
          <w:highlight w:val="none"/>
          <w:lang w:eastAsia="zh-CN"/>
        </w:rPr>
        <w:t>违约责任</w:t>
      </w:r>
    </w:p>
    <w:p w14:paraId="52DE2DBD">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1.甲乙双方必须遵守本合同并执行合同中的各项规定，保证本合同的正常履行。</w:t>
      </w:r>
    </w:p>
    <w:p w14:paraId="3AEF3F0B">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如因乙方工作人员在履行职务过程中的疏忽、失职、过错等故意或者过失原因给甲方造成损失或侵害，包括但不限于甲方遭受的直接损失、可得利益损失、由此导致的甲方对任何第三方的法律责任、诉讼费用、律师代理费、保全费、保全保险费、鉴定费、公证费、公告费、差旅费以及因维权而支出的其他合理费用等，乙方对此均应承担全部的赔偿责任。</w:t>
      </w:r>
    </w:p>
    <w:p w14:paraId="10FF8514">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3.乙方违约提前解除本合同或因乙方违约导致甲方解除本合同的，需向甲方支付合同总金额的20%作为违约金，违约金不足以弥补损失的，乙方应赔偿。</w:t>
      </w:r>
    </w:p>
    <w:p w14:paraId="29C0F4EE">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乙方未按约定内容提供服务，或其服务、报告未通过甲方验收的，均应向甲方支付合同总金额10%的违约金。乙方拒绝按照甲方要求进行整改、不采取补救措施或经乙方整改或补救后仍不符合甲方验收要求的，甲方有权解除本合同，乙方应向甲方支付合同总金额20%的违约金，违约金不足以弥补损失的，乙方应赔偿。</w:t>
      </w:r>
    </w:p>
    <w:p w14:paraId="3740729B">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5.乙方因本合同需承担的违约金、损失赔偿等其他各项费用，甲方有权直接从尚未支付的款项中预先扣除。不足以抵扣的，乙方需补足。</w:t>
      </w:r>
    </w:p>
    <w:p w14:paraId="6DCFD366">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本合同无论因何种原因解除或终止，乙方应立即停止使用甲方提供的全部资料、文件等。否则，甲方有权要求乙方立即停止侵权行为，并按合同总金额的10%向甲方支付违约金，违约金不足以弥补损失的，乙方应赔偿。</w:t>
      </w:r>
    </w:p>
    <w:p w14:paraId="537CB1D9">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7.因乙方违反本合同约定给甲方造成损失的，乙方除应按照合同约定承担违约金外，还应赔偿甲方遭受的损失，该损失</w:t>
      </w:r>
      <w:bookmarkStart w:id="16" w:name="_GoBack"/>
      <w:bookmarkEnd w:id="16"/>
      <w:r>
        <w:rPr>
          <w:rFonts w:hint="eastAsia" w:ascii="仿宋" w:hAnsi="仿宋" w:eastAsia="仿宋" w:cs="仿宋"/>
          <w:color w:val="auto"/>
          <w:sz w:val="24"/>
          <w:szCs w:val="24"/>
          <w:highlight w:val="none"/>
          <w:lang w:eastAsia="zh-CN"/>
        </w:rPr>
        <w:t>包括但不限于直接损失、可得利益损失、甲方支付给第三方的赔偿费用/违约金/罚款、调查取证费用、诉讼费用、律师代理费、保全费、保全保险费、鉴定费、公证费、公告费、差旅费以及因维权而支出的其他合理费用。</w:t>
      </w:r>
    </w:p>
    <w:p w14:paraId="69FDAF4C">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8.一方接受对方的逾期或不完全履行的，不等于对对方违约行为的认可，仍有权追究对方的违约责任。</w:t>
      </w:r>
    </w:p>
    <w:p w14:paraId="69D9B809">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2" w:firstLineChars="200"/>
        <w:textAlignment w:val="auto"/>
        <w:outlineLvl w:val="9"/>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十一、不可抗力事件处理</w:t>
      </w:r>
    </w:p>
    <w:p w14:paraId="79760AC2">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1.在合同有效期内，任何一方因不可抗力事件导致不能履行合同，则合同履行期可延长，其延长期与不可抗力影响期相同。</w:t>
      </w:r>
    </w:p>
    <w:p w14:paraId="7FA055CC">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2.不可抗力事件发生后，应立即通知对方，并寄送有关权威机构出具的证</w:t>
      </w:r>
    </w:p>
    <w:p w14:paraId="7762BC87">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明。</w:t>
      </w:r>
    </w:p>
    <w:p w14:paraId="7838B742">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3.不可抗力事件延续15天以上，双方应通过友好协商，确定是否继续履行合同。</w:t>
      </w:r>
    </w:p>
    <w:p w14:paraId="1E751C25">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2" w:firstLineChars="200"/>
        <w:textAlignment w:val="auto"/>
        <w:outlineLvl w:val="9"/>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十二、合同的变更和终止</w:t>
      </w:r>
    </w:p>
    <w:p w14:paraId="260DC98B">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除《中华人民共和国政府采购法》第49条、第50条第二款规定的情形外，本合同一经签订，甲乙双方不得擅自变更、中止或终止合同。</w:t>
      </w:r>
    </w:p>
    <w:p w14:paraId="66728BED">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2" w:firstLineChars="200"/>
        <w:textAlignment w:val="auto"/>
        <w:outlineLvl w:val="9"/>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十三、解决合同纠纷的方式</w:t>
      </w:r>
    </w:p>
    <w:p w14:paraId="3BFBB7F7">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1.在执行本合同中发生的或与本合同有关的争端，双方应通过友好协商解决，经协商在30天内不能达成协议时，则采取以下第</w:t>
      </w:r>
      <w:r>
        <w:rPr>
          <w:rFonts w:hint="eastAsia" w:ascii="仿宋" w:hAnsi="仿宋" w:eastAsia="仿宋" w:cs="仿宋"/>
          <w:color w:val="auto"/>
          <w:sz w:val="24"/>
          <w:szCs w:val="24"/>
          <w:highlight w:val="none"/>
          <w:u w:val="single"/>
          <w:lang w:eastAsia="zh-CN"/>
        </w:rPr>
        <w:t>_(1)_</w:t>
      </w:r>
      <w:r>
        <w:rPr>
          <w:rFonts w:hint="eastAsia" w:ascii="仿宋" w:hAnsi="仿宋" w:eastAsia="仿宋" w:cs="仿宋"/>
          <w:color w:val="auto"/>
          <w:sz w:val="24"/>
          <w:szCs w:val="24"/>
          <w:highlight w:val="none"/>
          <w:lang w:eastAsia="zh-CN"/>
        </w:rPr>
        <w:t>种方式解决争议:</w:t>
      </w:r>
    </w:p>
    <w:p w14:paraId="00641619">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(1)向甲方所在地有管辖权的人民法院提起诉讼;</w:t>
      </w:r>
    </w:p>
    <w:p w14:paraId="2733F481">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(2)向_西安_仲裁委员会按其仲裁规则申请仲裁</w:t>
      </w:r>
    </w:p>
    <w:p w14:paraId="3845A2B4">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2.在诉讼或仲裁期间，本合同其他无争议部分应继续履行。</w:t>
      </w:r>
    </w:p>
    <w:p w14:paraId="3327A008">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十四、合同生效及其他</w:t>
      </w:r>
    </w:p>
    <w:p w14:paraId="09FD0444">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本合同双方预留的地址、电话系双方送达各类通知、协议等文件以及发生纠纷时相关文件及法律文书的送达地址。本合同约定的送达地址的适用范围包括非诉阶段和争议进入民事诉讼程序和执行程序，法院可直接通过邮寄或其他方式向双方预留的地址送达法律文书。任何一方的送达地址变更的，应在变更当日书面通知对方，否则由此而引发的全部责任和损失均由未履行方自行承担，且对方的所有通知均视为己合法有效送达。</w:t>
      </w:r>
    </w:p>
    <w:bookmarkEnd w:id="8"/>
    <w:bookmarkEnd w:id="9"/>
    <w:bookmarkEnd w:id="10"/>
    <w:bookmarkEnd w:id="11"/>
    <w:p w14:paraId="6E8FE384">
      <w:pPr>
        <w:tabs>
          <w:tab w:val="left" w:pos="480"/>
        </w:tabs>
        <w:spacing w:line="360" w:lineRule="auto"/>
        <w:ind w:firstLine="480" w:firstLineChars="200"/>
        <w:outlineLvl w:val="9"/>
        <w:rPr>
          <w:rFonts w:hint="eastAsia" w:ascii="仿宋" w:hAnsi="仿宋" w:eastAsia="仿宋" w:cs="仿宋"/>
          <w:color w:val="auto"/>
          <w:sz w:val="24"/>
          <w:szCs w:val="24"/>
          <w:highlight w:val="none"/>
          <w:lang w:eastAsia="zh-CN"/>
        </w:rPr>
      </w:pPr>
      <w:bookmarkStart w:id="12" w:name="_Toc15856"/>
      <w:bookmarkStart w:id="13" w:name="_Toc27523"/>
      <w:bookmarkStart w:id="14" w:name="_Toc30630"/>
      <w:bookmarkStart w:id="15" w:name="_Toc13662"/>
      <w:r>
        <w:rPr>
          <w:rFonts w:hint="eastAsia" w:ascii="仿宋" w:hAnsi="仿宋" w:eastAsia="仿宋" w:cs="仿宋"/>
          <w:color w:val="auto"/>
          <w:sz w:val="24"/>
          <w:szCs w:val="24"/>
          <w:highlight w:val="none"/>
          <w:lang w:eastAsia="zh-CN"/>
        </w:rPr>
        <w:t>2.合同经双方法定代表人(单位负责人)或授权委托代理人签字并加盖单位公章后生效。</w:t>
      </w:r>
    </w:p>
    <w:p w14:paraId="6435B1EC">
      <w:pPr>
        <w:tabs>
          <w:tab w:val="left" w:pos="480"/>
        </w:tabs>
        <w:spacing w:line="360" w:lineRule="auto"/>
        <w:ind w:firstLine="480" w:firstLineChars="20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3.合同执行中涉及采购资金和采购内容修改或补充的，须经政府采购监管部门审批，并签订书面补充协议报政府采购监督管理部门备案，方可作为主合同不可分割的一部分。</w:t>
      </w:r>
    </w:p>
    <w:p w14:paraId="214C832C">
      <w:pPr>
        <w:tabs>
          <w:tab w:val="left" w:pos="480"/>
        </w:tabs>
        <w:spacing w:line="360" w:lineRule="auto"/>
        <w:ind w:firstLine="480" w:firstLineChars="20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4.本合同一式陆份，自双方签章之日起生效。甲方贰份，乙方贰份，政府采购代理机构壹份，同级财政部门备案壹份，具有同等法律效力。</w:t>
      </w:r>
    </w:p>
    <w:p w14:paraId="686B5F97">
      <w:pPr>
        <w:tabs>
          <w:tab w:val="left" w:pos="480"/>
        </w:tabs>
        <w:spacing w:line="360" w:lineRule="auto"/>
        <w:ind w:firstLine="480" w:firstLineChars="20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十五、验收标准</w:t>
      </w:r>
    </w:p>
    <w:p w14:paraId="55F50B6A">
      <w:pPr>
        <w:tabs>
          <w:tab w:val="left" w:pos="480"/>
        </w:tabs>
        <w:spacing w:line="360" w:lineRule="auto"/>
        <w:ind w:firstLine="480" w:firstLineChars="20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遵照项目采购文件内容及服务要求，并完成：</w:t>
      </w:r>
    </w:p>
    <w:p w14:paraId="25C9F62B">
      <w:pPr>
        <w:tabs>
          <w:tab w:val="left" w:pos="480"/>
        </w:tabs>
        <w:spacing w:line="360" w:lineRule="auto"/>
        <w:ind w:firstLine="480" w:firstLineChars="200"/>
        <w:outlineLvl w:val="9"/>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1.网观西安：</w:t>
      </w:r>
      <w:r>
        <w:rPr>
          <w:rFonts w:hint="eastAsia" w:ascii="仿宋" w:hAnsi="仿宋" w:eastAsia="仿宋" w:cs="仿宋"/>
          <w:color w:val="auto"/>
          <w:sz w:val="24"/>
          <w:szCs w:val="24"/>
          <w:highlight w:val="none"/>
          <w:u w:val="single"/>
          <w:lang w:val="en-US" w:eastAsia="zh-CN"/>
        </w:rPr>
        <w:t xml:space="preserve">      </w:t>
      </w:r>
    </w:p>
    <w:p w14:paraId="7DD8DB03">
      <w:pPr>
        <w:tabs>
          <w:tab w:val="left" w:pos="480"/>
        </w:tabs>
        <w:spacing w:line="360" w:lineRule="auto"/>
        <w:ind w:firstLine="480" w:firstLineChars="200"/>
        <w:outlineLvl w:val="9"/>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2.网信西安</w:t>
      </w:r>
      <w:bookmarkEnd w:id="12"/>
      <w:bookmarkEnd w:id="13"/>
      <w:bookmarkEnd w:id="14"/>
      <w:bookmarkEnd w:id="15"/>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single"/>
          <w:lang w:val="en-US" w:eastAsia="zh-CN"/>
        </w:rPr>
        <w:t xml:space="preserve">      </w:t>
      </w:r>
    </w:p>
    <w:p w14:paraId="345503A1">
      <w:pPr>
        <w:tabs>
          <w:tab w:val="left" w:pos="480"/>
        </w:tabs>
        <w:spacing w:line="360" w:lineRule="auto"/>
        <w:ind w:firstLine="480" w:firstLineChars="200"/>
        <w:outlineLvl w:val="9"/>
        <w:rPr>
          <w:rFonts w:hint="eastAsia" w:ascii="仿宋" w:hAnsi="仿宋" w:eastAsia="仿宋" w:cs="仿宋"/>
          <w:color w:val="auto"/>
          <w:sz w:val="24"/>
          <w:szCs w:val="24"/>
          <w:highlight w:val="none"/>
        </w:rPr>
      </w:pPr>
    </w:p>
    <w:p w14:paraId="60A64361">
      <w:pPr>
        <w:tabs>
          <w:tab w:val="left" w:pos="480"/>
        </w:tabs>
        <w:spacing w:line="360" w:lineRule="auto"/>
        <w:ind w:firstLine="480" w:firstLineChars="200"/>
        <w:outlineLvl w:val="9"/>
        <w:rPr>
          <w:rFonts w:hint="eastAsia" w:ascii="仿宋" w:hAnsi="仿宋" w:eastAsia="仿宋" w:cs="仿宋"/>
          <w:color w:val="auto"/>
          <w:sz w:val="24"/>
          <w:szCs w:val="24"/>
          <w:highlight w:val="none"/>
        </w:rPr>
      </w:pPr>
    </w:p>
    <w:p w14:paraId="281F5F11">
      <w:pPr>
        <w:tabs>
          <w:tab w:val="left" w:pos="480"/>
        </w:tabs>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  方</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（盖章）                        乙  方</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（盖章）</w:t>
      </w:r>
    </w:p>
    <w:p w14:paraId="09C63992">
      <w:pPr>
        <w:tabs>
          <w:tab w:val="left" w:pos="480"/>
        </w:tabs>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单位名称：                              单位名称：</w:t>
      </w:r>
    </w:p>
    <w:p w14:paraId="7CF85157">
      <w:pPr>
        <w:tabs>
          <w:tab w:val="left" w:pos="480"/>
        </w:tabs>
        <w:spacing w:line="360" w:lineRule="auto"/>
        <w:ind w:left="6660" w:leftChars="200" w:hanging="6240" w:hangingChars="26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                                地  址：</w:t>
      </w:r>
    </w:p>
    <w:p w14:paraId="70D05AAD">
      <w:pPr>
        <w:tabs>
          <w:tab w:val="left" w:pos="480"/>
        </w:tabs>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                             法定代表人</w:t>
      </w:r>
    </w:p>
    <w:p w14:paraId="281640E1">
      <w:pPr>
        <w:tabs>
          <w:tab w:val="left" w:pos="480"/>
        </w:tabs>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或委托代理人：                         或委托代理人：</w:t>
      </w:r>
    </w:p>
    <w:p w14:paraId="0F42CFBB">
      <w:pPr>
        <w:tabs>
          <w:tab w:val="left" w:pos="480"/>
        </w:tabs>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开户银行：</w:t>
      </w:r>
    </w:p>
    <w:p w14:paraId="10EA3F17">
      <w:pPr>
        <w:tabs>
          <w:tab w:val="left" w:pos="480"/>
        </w:tabs>
        <w:spacing w:line="360" w:lineRule="auto"/>
        <w:ind w:firstLine="5280" w:firstLineChars="2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账  号：       </w:t>
      </w:r>
    </w:p>
    <w:p w14:paraId="7199FF81">
      <w:pPr>
        <w:tabs>
          <w:tab w:val="left" w:pos="480"/>
        </w:tabs>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联系电话：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联系电话：</w:t>
      </w:r>
    </w:p>
    <w:p w14:paraId="79E800FA">
      <w:pPr>
        <w:tabs>
          <w:tab w:val="left" w:pos="480"/>
        </w:tabs>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签订日期：     年    月   日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签订日期：  年    月   日</w:t>
      </w:r>
    </w:p>
    <w:p w14:paraId="3DD741B2">
      <w:pPr>
        <w:rPr>
          <w:color w:val="auto"/>
          <w:highlight w:val="none"/>
        </w:rPr>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ECB61">
    <w:pPr>
      <w:pStyle w:val="6"/>
      <w:tabs>
        <w:tab w:val="right" w:pos="8925"/>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75C75CA">
                          <w:pPr>
                            <w:pStyle w:val="6"/>
                          </w:pPr>
                          <w:r>
                            <w:t xml:space="preserve">第 </w:t>
                          </w:r>
                          <w:r>
                            <w:fldChar w:fldCharType="begin"/>
                          </w:r>
                          <w:r>
                            <w:instrText xml:space="preserve"> PAGE  \* MERGEFORMAT </w:instrText>
                          </w:r>
                          <w:r>
                            <w:fldChar w:fldCharType="separate"/>
                          </w:r>
                          <w:r>
                            <w:t>60</w:t>
                          </w:r>
                          <w:r>
                            <w:fldChar w:fldCharType="end"/>
                          </w:r>
                          <w:r>
                            <w:t xml:space="preserve"> 页 共 </w:t>
                          </w:r>
                          <w:r>
                            <w:fldChar w:fldCharType="begin"/>
                          </w:r>
                          <w:r>
                            <w:instrText xml:space="preserve"> NUMPAGES  \* MERGEFORMAT </w:instrText>
                          </w:r>
                          <w:r>
                            <w:fldChar w:fldCharType="separate"/>
                          </w:r>
                          <w:r>
                            <w:t>76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ohXI5AgAAcQQAAA4AAABkcnMvZTJvRG9jLnhtbK1UzY7TMBC+I/EO&#10;lu80aRGrUj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LDohXI5AgAAcQQAAA4AAAAAAAAAAQAgAAAAHwEAAGRycy9lMm9Eb2Mu&#10;eG1sUEsFBgAAAAAGAAYAWQEAAMoFAAAAAA==&#10;">
              <v:path/>
              <v:fill on="f" focussize="0,0"/>
              <v:stroke on="f" weight="0.5pt"/>
              <v:imagedata o:title=""/>
              <o:lock v:ext="edit" aspectratio="f"/>
              <v:textbox inset="0mm,0mm,0mm,0mm" style="mso-fit-shape-to-text:t;">
                <w:txbxContent>
                  <w:p w14:paraId="275C75CA">
                    <w:pPr>
                      <w:pStyle w:val="6"/>
                    </w:pPr>
                    <w:r>
                      <w:t xml:space="preserve">第 </w:t>
                    </w:r>
                    <w:r>
                      <w:fldChar w:fldCharType="begin"/>
                    </w:r>
                    <w:r>
                      <w:instrText xml:space="preserve"> PAGE  \* MERGEFORMAT </w:instrText>
                    </w:r>
                    <w:r>
                      <w:fldChar w:fldCharType="separate"/>
                    </w:r>
                    <w:r>
                      <w:t>60</w:t>
                    </w:r>
                    <w:r>
                      <w:fldChar w:fldCharType="end"/>
                    </w:r>
                    <w:r>
                      <w:t xml:space="preserve"> 页 共 </w:t>
                    </w:r>
                    <w:r>
                      <w:fldChar w:fldCharType="begin"/>
                    </w:r>
                    <w:r>
                      <w:instrText xml:space="preserve"> NUMPAGES  \* MERGEFORMAT </w:instrText>
                    </w:r>
                    <w:r>
                      <w:fldChar w:fldCharType="separate"/>
                    </w:r>
                    <w:r>
                      <w:t>76</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92408">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A65B1FC">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7A65B1FC">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F924D7"/>
    <w:rsid w:val="20F924D7"/>
    <w:rsid w:val="24215C55"/>
    <w:rsid w:val="2648525A"/>
    <w:rsid w:val="32904380"/>
    <w:rsid w:val="39340367"/>
    <w:rsid w:val="3FF15277"/>
    <w:rsid w:val="5DA57F32"/>
    <w:rsid w:val="63041683"/>
    <w:rsid w:val="680B10C1"/>
    <w:rsid w:val="6CB63C68"/>
    <w:rsid w:val="74512765"/>
    <w:rsid w:val="78E421E4"/>
    <w:rsid w:val="79B31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link w:val="12"/>
    <w:unhideWhenUsed/>
    <w:qFormat/>
    <w:uiPriority w:val="0"/>
    <w:pPr>
      <w:adjustRightInd w:val="0"/>
      <w:snapToGrid w:val="0"/>
      <w:spacing w:line="300" w:lineRule="auto"/>
      <w:jc w:val="center"/>
      <w:outlineLvl w:val="1"/>
    </w:pPr>
    <w:rPr>
      <w:rFonts w:ascii="仿宋" w:hAnsi="仿宋" w:eastAsia="仿宋" w:cs="仿宋"/>
      <w:b/>
      <w:bCs/>
      <w:color w:val="auto"/>
      <w:sz w:val="28"/>
      <w:szCs w:val="28"/>
      <w:highlight w:val="none"/>
      <w:lang w:val="zh-CN"/>
    </w:rPr>
  </w:style>
  <w:style w:type="paragraph" w:styleId="4">
    <w:name w:val="heading 3"/>
    <w:basedOn w:val="1"/>
    <w:next w:val="1"/>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11">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正文格式"/>
    <w:qFormat/>
    <w:uiPriority w:val="99"/>
    <w:pPr>
      <w:spacing w:line="360" w:lineRule="auto"/>
      <w:ind w:firstLine="200" w:firstLineChars="200"/>
    </w:pPr>
    <w:rPr>
      <w:rFonts w:ascii="Times New Roman" w:hAnsi="Times New Roman" w:eastAsia="宋体" w:cs="Times New Roman"/>
      <w:sz w:val="28"/>
      <w:szCs w:val="22"/>
      <w:lang w:val="en-US" w:eastAsia="zh-CN" w:bidi="ar-SA"/>
    </w:rPr>
  </w:style>
  <w:style w:type="paragraph" w:styleId="5">
    <w:name w:val="Body Text"/>
    <w:basedOn w:val="1"/>
    <w:next w:val="1"/>
    <w:qFormat/>
    <w:uiPriority w:val="0"/>
    <w:rPr>
      <w:rFonts w:ascii="宋体" w:hAnsi="宋体" w:eastAsia="宋体" w:cs="宋体"/>
      <w:sz w:val="20"/>
      <w:szCs w:val="20"/>
      <w:lang w:val="en-US" w:eastAsia="en-US" w:bidi="ar-SA"/>
    </w:rPr>
  </w:style>
  <w:style w:type="paragraph" w:styleId="6">
    <w:name w:val="footer"/>
    <w:basedOn w:val="1"/>
    <w:next w:val="5"/>
    <w:qFormat/>
    <w:uiPriority w:val="0"/>
    <w:pPr>
      <w:widowControl w:val="0"/>
      <w:tabs>
        <w:tab w:val="center" w:pos="4153"/>
        <w:tab w:val="right" w:pos="8306"/>
      </w:tabs>
      <w:kinsoku/>
      <w:autoSpaceDE/>
      <w:autoSpaceDN/>
      <w:adjustRightInd/>
      <w:snapToGrid w:val="0"/>
      <w:spacing w:line="240" w:lineRule="auto"/>
      <w:jc w:val="left"/>
      <w:textAlignment w:val="auto"/>
    </w:pPr>
    <w:rPr>
      <w:rFonts w:ascii="Calibri" w:hAnsi="Calibri" w:eastAsia="仿宋" w:cs="Times New Roman"/>
      <w:snapToGrid/>
      <w:kern w:val="2"/>
      <w:sz w:val="18"/>
      <w:szCs w:val="24"/>
      <w:lang w:eastAsia="zh-CN"/>
    </w:rPr>
  </w:style>
  <w:style w:type="paragraph" w:styleId="7">
    <w:name w:val="toc 1"/>
    <w:basedOn w:val="1"/>
    <w:next w:val="1"/>
    <w:qFormat/>
    <w:uiPriority w:val="39"/>
  </w:style>
  <w:style w:type="paragraph" w:styleId="8">
    <w:name w:val="Body Text First Indent"/>
    <w:basedOn w:val="5"/>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2 字符"/>
    <w:link w:val="3"/>
    <w:qFormat/>
    <w:uiPriority w:val="0"/>
    <w:rPr>
      <w:rFonts w:ascii="仿宋" w:hAnsi="仿宋" w:eastAsia="仿宋" w:cs="仿宋"/>
      <w:b/>
      <w:bCs/>
      <w:color w:val="auto"/>
      <w:sz w:val="28"/>
      <w:szCs w:val="28"/>
      <w:highlight w:val="none"/>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2026-06-23T10:37:00Z</dcterms:created>
  <dc:creator>缪可缇</dc:creator>
  <cp:lastModifiedBy>缪可缇</cp:lastModifiedBy>
  <dcterms:modified xsi:type="dcterms:W3CDTF">2026-06-23T10:41:13Z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3A5B0BC7E11143D082A771AEA9C8D266_13</vt:lpwstr>
  </property>
  <property fmtid="{D5CDD505-2E9C-101B-9397-08002B2CF9AE}" pid="4" name="KSOTemplateDocerSaveRecord">
    <vt:lpwstr>eyJoZGlkIjoiZjQ1YmQ1ZjkwNjdlMmQyMmYyMjU3ZDJiMWE2Yjk5NmEiLCJ1c2VySWQiOiIxMDQ0OTk5MDIwIn0=</vt:lpwstr>
  </property>
</Properties>
</file>