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版本号：ZCSP-渭南市-2026-0020220260616001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渭南市国土空间总体规划2026年动态维护方案编制项目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ZCSP-渭南市-2026-00202</w:t>
      </w:r>
      <w:r>
        <w:br/>
      </w:r>
      <w:r>
        <w:br/>
      </w:r>
      <w:r>
        <w:br/>
      </w:r>
    </w:p>
    <w:p>
      <w:pPr>
        <w:pStyle w:val="null3"/>
        <w:jc w:val="center"/>
        <w:outlineLvl w:val="2"/>
      </w:pPr>
      <w:r>
        <w:rPr>
          <w:rFonts w:ascii="仿宋_GB2312" w:hAnsi="仿宋_GB2312" w:cs="仿宋_GB2312" w:eastAsia="仿宋_GB2312"/>
          <w:sz w:val="28"/>
          <w:b/>
        </w:rPr>
        <w:t>渭南市自然资源和规划局</w:t>
      </w:r>
    </w:p>
    <w:p>
      <w:pPr>
        <w:pStyle w:val="null3"/>
        <w:jc w:val="center"/>
        <w:outlineLvl w:val="2"/>
      </w:pPr>
      <w:r>
        <w:rPr>
          <w:rFonts w:ascii="仿宋_GB2312" w:hAnsi="仿宋_GB2312" w:cs="仿宋_GB2312" w:eastAsia="仿宋_GB2312"/>
          <w:sz w:val="28"/>
          <w:b/>
        </w:rPr>
        <w:t>陕西盈德工程咨询有限公司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陕西盈德工程咨询有限公司</w:t>
      </w:r>
      <w:r>
        <w:rPr>
          <w:rFonts w:ascii="仿宋_GB2312" w:hAnsi="仿宋_GB2312" w:cs="仿宋_GB2312" w:eastAsia="仿宋_GB2312"/>
        </w:rPr>
        <w:t>（以下简称“代理机构”）受</w:t>
      </w:r>
      <w:r>
        <w:rPr>
          <w:rFonts w:ascii="仿宋_GB2312" w:hAnsi="仿宋_GB2312" w:cs="仿宋_GB2312" w:eastAsia="仿宋_GB2312"/>
        </w:rPr>
        <w:t>渭南市自然资源和规划局</w:t>
      </w:r>
      <w:r>
        <w:rPr>
          <w:rFonts w:ascii="仿宋_GB2312" w:hAnsi="仿宋_GB2312" w:cs="仿宋_GB2312" w:eastAsia="仿宋_GB2312"/>
        </w:rPr>
        <w:t>委托，拟对</w:t>
      </w:r>
      <w:r>
        <w:rPr>
          <w:rFonts w:ascii="仿宋_GB2312" w:hAnsi="仿宋_GB2312" w:cs="仿宋_GB2312" w:eastAsia="仿宋_GB2312"/>
        </w:rPr>
        <w:t>渭南市国土空间总体规划2026年动态维护方案编制项目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渭南市国土空间总体规划2026年动态维护方案编制项目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（1）市本级国土空间总体规划2026年动态维护方案编制；（2）各县级2026年动态调整完善方案审查和技术指导。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采购包1（渭南市国土空间总体规划2026年动态维护方案编制项目）：属于专门面向中小企业采购。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1、具有独立承担民事责任的能力：供应商应是独立承担民事责任能力的法人、其他组织，企业法人应提供统一社会信用代码的营业执照；其他组织应提供合法证明文件。</w:t>
      </w:r>
    </w:p>
    <w:p>
      <w:pPr>
        <w:pStyle w:val="null3"/>
      </w:pPr>
      <w:r>
        <w:rPr>
          <w:rFonts w:ascii="仿宋_GB2312" w:hAnsi="仿宋_GB2312" w:cs="仿宋_GB2312" w:eastAsia="仿宋_GB2312"/>
        </w:rPr>
        <w:t>2、有依法缴纳税收和社会保障资金的良好记录：①提供2025年6月1日至今已缴存的任意一个月的纳税证明或完税证明（成立不足一个月的提供依法纳税的承诺书，格式自拟）； ②提供2025年6月1日至今已缴存的任意一个月的社会保障资金缴存单据或社保机构开具的社会保险参保缴费情况证明（成立不足一个月的提供将依法缴纳社会保障资金的承诺书，格式自拟）； 注：依法免税或不需要缴纳社会保险的供应商提供相关部门出具的证明文件。</w:t>
      </w:r>
    </w:p>
    <w:p>
      <w:pPr>
        <w:pStyle w:val="null3"/>
      </w:pPr>
      <w:r>
        <w:rPr>
          <w:rFonts w:ascii="仿宋_GB2312" w:hAnsi="仿宋_GB2312" w:cs="仿宋_GB2312" w:eastAsia="仿宋_GB2312"/>
        </w:rPr>
        <w:t>3、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4、参加政府采购活动前三年内，在经营活动中没有重大违法记录：提供参加政府采购活动前三年内，在经营活动中没有重大违法记录的声明函。</w:t>
      </w:r>
    </w:p>
    <w:p>
      <w:pPr>
        <w:pStyle w:val="null3"/>
      </w:pPr>
      <w:r>
        <w:rPr>
          <w:rFonts w:ascii="仿宋_GB2312" w:hAnsi="仿宋_GB2312" w:cs="仿宋_GB2312" w:eastAsia="仿宋_GB2312"/>
        </w:rPr>
        <w:t>5、具有履行合同所必需的设备和专业技术能力：提供具有履行合同所必需的设备和专业技术能力的承诺书。</w:t>
      </w:r>
    </w:p>
    <w:p>
      <w:pPr>
        <w:pStyle w:val="null3"/>
      </w:pPr>
      <w:r>
        <w:rPr>
          <w:rFonts w:ascii="仿宋_GB2312" w:hAnsi="仿宋_GB2312" w:cs="仿宋_GB2312" w:eastAsia="仿宋_GB2312"/>
        </w:rPr>
        <w:t>6、供应商授权合法的人员参加磋商全过程：供应商应授权合法的人员参加磋商全过程，其中法定代表人直接参加磋商的，须出具法人身份证，并与营业执照上信息一致。授权代表参加磋商的，须出具法定代表人授权书及授权代表身份证、授权代表本单位证明（养老保险缴纳证明或劳动合同）。</w:t>
      </w:r>
    </w:p>
    <w:p>
      <w:pPr>
        <w:pStyle w:val="null3"/>
      </w:pPr>
      <w:r>
        <w:rPr>
          <w:rFonts w:ascii="仿宋_GB2312" w:hAnsi="仿宋_GB2312" w:cs="仿宋_GB2312" w:eastAsia="仿宋_GB2312"/>
        </w:rPr>
        <w:t>7、供应商关联关系：单位负责人为同一人或者存在控股、管理关系的不同单位，不得同时参加本次采购项目；为本项目提供整体设计、规范编制或者项目管理、监理、检测等服务的投标人，不得参加本次采购项目。（供应商须提供承诺书）</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由资格审查小组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9、企业资质：需具备土地规划乙级及以上和城乡规划（国土空间规划）乙级及以上的编制资质。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渭南市自然资源和规划局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渭南市临渭区车雷大街69号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陈吉煜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0913-2931652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陕西盈德工程咨询有限公司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渭南市临渭区乐天大街仁和大厦前办公楼401室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师萌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0913-2104600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开户名称：陕西盈德工程咨询有限公司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银行账号：61050164160000001415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在领取成交通知书时应向采购代理机构一次性交纳招标代理服务费。招标代理服务费收取按照国家计委颁布的《招标代理服务收费管理暂行办法》（计价格[2002]1980号）和（发改办价格[2003]857号）按收费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渭南市自然资源和规划局</w:t>
      </w:r>
      <w:r>
        <w:rPr>
          <w:rFonts w:ascii="仿宋_GB2312" w:hAnsi="仿宋_GB2312" w:cs="仿宋_GB2312" w:eastAsia="仿宋_GB2312"/>
        </w:rPr>
        <w:t>和</w:t>
      </w:r>
      <w:r>
        <w:rPr>
          <w:rFonts w:ascii="仿宋_GB2312" w:hAnsi="仿宋_GB2312" w:cs="仿宋_GB2312" w:eastAsia="仿宋_GB2312"/>
        </w:rPr>
        <w:t>陕西盈德工程咨询有限公司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渭南市自然资源和规划局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陕西盈德工程咨询有限公司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渭南市自然资源和规划局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验收标准：以省级对渭南市国土空间总体规划2026年动态维护方案和各县（市、区）国土空间总体规划2026年动态维护方案或规划修改方案的批复相关文件及完整成果资料为验收标准。 验收方法：乙方向甲方提供相关批复相关文件及完整成果资料。</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渭南市自然资源和规划局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联系人：王帅棋</w:t>
      </w:r>
    </w:p>
    <w:p>
      <w:pPr>
        <w:pStyle w:val="null3"/>
      </w:pPr>
      <w:r>
        <w:rPr>
          <w:rFonts w:ascii="仿宋_GB2312" w:hAnsi="仿宋_GB2312" w:cs="仿宋_GB2312" w:eastAsia="仿宋_GB2312"/>
        </w:rPr>
        <w:t>联系电话：0913-2104600</w:t>
      </w:r>
    </w:p>
    <w:p>
      <w:pPr>
        <w:pStyle w:val="null3"/>
      </w:pPr>
      <w:r>
        <w:rPr>
          <w:rFonts w:ascii="仿宋_GB2312" w:hAnsi="仿宋_GB2312" w:cs="仿宋_GB2312" w:eastAsia="仿宋_GB2312"/>
        </w:rPr>
        <w:t>地址：渭南市临渭区乐天大街仁和大厦前办公楼401室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（1）市本级国土空间总体规划2026年动态维护方案编制；（2）各县级2026年动态调整完善方案审查和技术指导。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国土空间总体规划2026年动态维护方案编制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标的名称：国土空间总体规划2026年动态维护方案编制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0"/>
                <w:b/>
                <w:color w:val="000000"/>
              </w:rPr>
              <w:t>服务需求</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根据省厅关于支撑</w:t>
            </w:r>
            <w:r>
              <w:rPr>
                <w:rFonts w:ascii="仿宋_GB2312" w:hAnsi="仿宋_GB2312" w:cs="仿宋_GB2312" w:eastAsia="仿宋_GB2312"/>
                <w:sz w:val="20"/>
                <w:color w:val="000000"/>
              </w:rPr>
              <w:t>“十五五”高质量发展、动态调整完善国土空间规划的有关要求，组织开展渭南市国土空间总体规划2026年动态维护方案编制工作。方案结合国土空间规划体检评估结果，在严守国土空间安全底线，不突破省政府审批的市级国土空间总体规划确定的保护目标任务前提下，对国土空间总体规划的三条控制线（耕地和永久基本农田、生态保护红线、城镇开发边界）、中心城区用地布局、其他重要控制线（城市紫线、城市黄线、城市绿线、城市蓝线、历史文化保护线、洪涝风险控制线）、重点建设项目清单、规划用途分区等进行正向优化。</w:t>
            </w:r>
          </w:p>
          <w:p>
            <w:pPr>
              <w:pStyle w:val="null3"/>
              <w:jc w:val="both"/>
            </w:pPr>
            <w:r>
              <w:rPr>
                <w:rFonts w:ascii="仿宋_GB2312" w:hAnsi="仿宋_GB2312" w:cs="仿宋_GB2312" w:eastAsia="仿宋_GB2312"/>
                <w:sz w:val="20"/>
                <w:color w:val="000000"/>
              </w:rPr>
              <w:t>具体服务需求包括但不限于：</w:t>
            </w:r>
          </w:p>
          <w:p>
            <w:pPr>
              <w:pStyle w:val="null3"/>
              <w:jc w:val="both"/>
            </w:pPr>
            <w:r>
              <w:rPr>
                <w:rFonts w:ascii="仿宋_GB2312" w:hAnsi="仿宋_GB2312" w:cs="仿宋_GB2312" w:eastAsia="仿宋_GB2312"/>
                <w:sz w:val="20"/>
                <w:color w:val="000000"/>
              </w:rPr>
              <w:t>1.优化三条控制线：对耕地和永久基本农田、生态保护红线、城镇开发边界三条控制线进行动态维护。</w:t>
            </w:r>
          </w:p>
          <w:p>
            <w:pPr>
              <w:pStyle w:val="null3"/>
              <w:jc w:val="both"/>
            </w:pPr>
            <w:r>
              <w:rPr>
                <w:rFonts w:ascii="仿宋_GB2312" w:hAnsi="仿宋_GB2312" w:cs="仿宋_GB2312" w:eastAsia="仿宋_GB2312"/>
                <w:sz w:val="20"/>
                <w:color w:val="000000"/>
              </w:rPr>
              <w:t>2.合理优化规划分区：结合三条控制线布局优化、相关专项规划编制、衔接相关自然资源管理工作，合理优化规划分区。</w:t>
            </w:r>
          </w:p>
          <w:p>
            <w:pPr>
              <w:pStyle w:val="null3"/>
              <w:jc w:val="both"/>
            </w:pPr>
            <w:r>
              <w:rPr>
                <w:rFonts w:ascii="仿宋_GB2312" w:hAnsi="仿宋_GB2312" w:cs="仿宋_GB2312" w:eastAsia="仿宋_GB2312"/>
                <w:sz w:val="20"/>
                <w:color w:val="000000"/>
              </w:rPr>
              <w:t>3.优化中心城区功能布局：统筹相关“十五五”专项规划和社区生活圈建设，结合人口结构变化和经济社会发展，优化中心城区用地空间布局，完善城市功能。</w:t>
            </w:r>
          </w:p>
          <w:p>
            <w:pPr>
              <w:pStyle w:val="null3"/>
              <w:jc w:val="both"/>
            </w:pPr>
            <w:r>
              <w:rPr>
                <w:rFonts w:ascii="仿宋_GB2312" w:hAnsi="仿宋_GB2312" w:cs="仿宋_GB2312" w:eastAsia="仿宋_GB2312"/>
                <w:sz w:val="20"/>
                <w:color w:val="000000"/>
              </w:rPr>
              <w:t>4.优化城市重要控制线衔接相关专项规划和实施管理，确需对城市绿线、蓝线、黄线、紫线、历史文化保护线、洪涝风险控制线等进行布局调整的，开展动态维护，促进城市功能完善、结构优化、布局合理、服务水平提升。</w:t>
            </w:r>
          </w:p>
          <w:p>
            <w:pPr>
              <w:pStyle w:val="null3"/>
              <w:jc w:val="both"/>
            </w:pPr>
            <w:r>
              <w:rPr>
                <w:rFonts w:ascii="仿宋_GB2312" w:hAnsi="仿宋_GB2312" w:cs="仿宋_GB2312" w:eastAsia="仿宋_GB2312"/>
                <w:sz w:val="20"/>
                <w:color w:val="000000"/>
              </w:rPr>
              <w:t>5.增补优化重点建设项目清单：结合相关“十五五”规划、国家和省重大战略落实等，衔接各类专项规划，分类增补和优化交通、能源、水利等重点建设项目清单。</w:t>
            </w:r>
          </w:p>
          <w:p>
            <w:pPr>
              <w:pStyle w:val="null3"/>
            </w:pPr>
            <w:r>
              <w:rPr>
                <w:rFonts w:ascii="仿宋_GB2312" w:hAnsi="仿宋_GB2312" w:cs="仿宋_GB2312" w:eastAsia="仿宋_GB2312"/>
                <w:sz w:val="20"/>
                <w:color w:val="000000"/>
              </w:rPr>
              <w:t>6.各县级动态维护方案审查和技术指导：对各县（市、区）上报的县级国土空间总体规划体检报告、动态维护方案或规划修改方案进行审查，主要从必要性、合理性、规范性、真实性等方面提出整改意见，并提供技术指导。</w:t>
            </w:r>
          </w:p>
          <w:p>
            <w:pPr>
              <w:pStyle w:val="null3"/>
              <w:jc w:val="both"/>
            </w:pPr>
            <w:r>
              <w:rPr>
                <w:rFonts w:ascii="仿宋_GB2312" w:hAnsi="仿宋_GB2312" w:cs="仿宋_GB2312" w:eastAsia="仿宋_GB2312"/>
                <w:sz w:val="20"/>
                <w:b/>
                <w:color w:val="000000"/>
              </w:rPr>
              <w:t>需执行的国家相关标准、行业标准、地方标准或者其他标准、规范：</w:t>
            </w:r>
          </w:p>
          <w:p>
            <w:pPr>
              <w:pStyle w:val="null3"/>
              <w:jc w:val="both"/>
            </w:pPr>
            <w:r>
              <w:rPr>
                <w:rFonts w:ascii="仿宋_GB2312" w:hAnsi="仿宋_GB2312" w:cs="仿宋_GB2312" w:eastAsia="仿宋_GB2312"/>
                <w:sz w:val="20"/>
                <w:color w:val="000000"/>
              </w:rPr>
              <w:t>1.《中共中央 国务院关于建立国土空间规划体系并监督实施的若干意见》（中发〔2019〕18号）；</w:t>
            </w:r>
          </w:p>
          <w:p>
            <w:pPr>
              <w:pStyle w:val="null3"/>
              <w:jc w:val="both"/>
            </w:pPr>
            <w:r>
              <w:rPr>
                <w:rFonts w:ascii="仿宋_GB2312" w:hAnsi="仿宋_GB2312" w:cs="仿宋_GB2312" w:eastAsia="仿宋_GB2312"/>
                <w:sz w:val="20"/>
                <w:color w:val="000000"/>
              </w:rPr>
              <w:t>2.《自然资源部国土空间规划局关于国土空间总体规划动态调整完善工作有关问题的答复》（自然资空间规划函〔2025〕411号）；</w:t>
            </w:r>
          </w:p>
          <w:p>
            <w:pPr>
              <w:pStyle w:val="null3"/>
              <w:jc w:val="both"/>
            </w:pPr>
            <w:r>
              <w:rPr>
                <w:rFonts w:ascii="仿宋_GB2312" w:hAnsi="仿宋_GB2312" w:cs="仿宋_GB2312" w:eastAsia="仿宋_GB2312"/>
                <w:sz w:val="20"/>
                <w:color w:val="000000"/>
              </w:rPr>
              <w:t>3.《自然资源部国土空间规划局关于国土空间总体规划动态调整完善工作有关问题的答复（第二版）》（自然资空间规划函〔2026〕）37号）；</w:t>
            </w:r>
          </w:p>
          <w:p>
            <w:pPr>
              <w:pStyle w:val="null3"/>
              <w:jc w:val="both"/>
            </w:pPr>
            <w:r>
              <w:rPr>
                <w:rFonts w:ascii="仿宋_GB2312" w:hAnsi="仿宋_GB2312" w:cs="仿宋_GB2312" w:eastAsia="仿宋_GB2312"/>
                <w:sz w:val="20"/>
                <w:color w:val="000000"/>
              </w:rPr>
              <w:t>4.《自然资源部国土空间规划局关于国土空间总体规划动态调整完善工作有关问题的答复（第三版）》（自然资空间规划函〔2026〕）107号）；</w:t>
            </w:r>
          </w:p>
          <w:p>
            <w:pPr>
              <w:pStyle w:val="null3"/>
              <w:jc w:val="both"/>
            </w:pPr>
            <w:r>
              <w:rPr>
                <w:rFonts w:ascii="仿宋_GB2312" w:hAnsi="仿宋_GB2312" w:cs="仿宋_GB2312" w:eastAsia="仿宋_GB2312"/>
                <w:sz w:val="20"/>
                <w:color w:val="000000"/>
              </w:rPr>
              <w:t>5.《永久基本农田保护红线管理办法》（自然资源部 农业农村部第 17 号令）；</w:t>
            </w:r>
          </w:p>
          <w:p>
            <w:pPr>
              <w:pStyle w:val="null3"/>
              <w:jc w:val="both"/>
            </w:pPr>
            <w:r>
              <w:rPr>
                <w:rFonts w:ascii="仿宋_GB2312" w:hAnsi="仿宋_GB2312" w:cs="仿宋_GB2312" w:eastAsia="仿宋_GB2312"/>
                <w:sz w:val="20"/>
                <w:color w:val="000000"/>
              </w:rPr>
              <w:t>6.自然资源部关于印发《城镇开发边界管理办法（试行）》的通知（自然资规〔2026〕1号）；</w:t>
            </w:r>
          </w:p>
          <w:p>
            <w:pPr>
              <w:pStyle w:val="null3"/>
              <w:jc w:val="both"/>
            </w:pPr>
            <w:r>
              <w:rPr>
                <w:rFonts w:ascii="仿宋_GB2312" w:hAnsi="仿宋_GB2312" w:cs="仿宋_GB2312" w:eastAsia="仿宋_GB2312"/>
                <w:sz w:val="20"/>
                <w:color w:val="000000"/>
              </w:rPr>
              <w:t>7.《自然资源部生态环境部国家林业和草原局关于加强生态保护红线管理的通知（试行）》（自然资发〔2022〕142号）；</w:t>
            </w:r>
          </w:p>
          <w:p>
            <w:pPr>
              <w:pStyle w:val="null3"/>
              <w:jc w:val="both"/>
            </w:pPr>
            <w:r>
              <w:rPr>
                <w:rFonts w:ascii="仿宋_GB2312" w:hAnsi="仿宋_GB2312" w:cs="仿宋_GB2312" w:eastAsia="仿宋_GB2312"/>
                <w:sz w:val="20"/>
                <w:color w:val="000000"/>
              </w:rPr>
              <w:t>8.《陕西省自然资源厅关于支撑“十五五”高质量发展动态调整完善国土空间规划的通知（试行）》（陕自然资发〔2026〕212号）；</w:t>
            </w:r>
          </w:p>
          <w:p>
            <w:pPr>
              <w:pStyle w:val="null3"/>
            </w:pPr>
            <w:r>
              <w:rPr>
                <w:rFonts w:ascii="仿宋_GB2312" w:hAnsi="仿宋_GB2312" w:cs="仿宋_GB2312" w:eastAsia="仿宋_GB2312"/>
                <w:sz w:val="20"/>
                <w:color w:val="000000"/>
              </w:rPr>
              <w:t>9.《陕西省国土空间总体规划</w:t>
            </w:r>
            <w:r>
              <w:rPr>
                <w:rFonts w:ascii="仿宋_GB2312" w:hAnsi="仿宋_GB2312" w:cs="仿宋_GB2312" w:eastAsia="仿宋_GB2312"/>
                <w:sz w:val="20"/>
                <w:color w:val="000000"/>
              </w:rPr>
              <w:t>2026年度动态调整完善工作技术指南（试行，第二版）》（2026年2月）；</w:t>
            </w:r>
          </w:p>
          <w:p>
            <w:pPr>
              <w:pStyle w:val="null3"/>
              <w:jc w:val="both"/>
            </w:pPr>
            <w:r>
              <w:rPr>
                <w:rFonts w:ascii="仿宋_GB2312" w:hAnsi="仿宋_GB2312" w:cs="仿宋_GB2312" w:eastAsia="仿宋_GB2312"/>
                <w:sz w:val="20"/>
                <w:color w:val="000000"/>
              </w:rPr>
              <w:t>10.《国土空间调查、规划、用途管制用地用海分类指南》（自然资发〔2023〕234号）；</w:t>
            </w:r>
          </w:p>
          <w:p>
            <w:pPr>
              <w:pStyle w:val="null3"/>
              <w:jc w:val="both"/>
            </w:pPr>
            <w:r>
              <w:rPr>
                <w:rFonts w:ascii="仿宋_GB2312" w:hAnsi="仿宋_GB2312" w:cs="仿宋_GB2312" w:eastAsia="仿宋_GB2312"/>
                <w:sz w:val="20"/>
                <w:color w:val="000000"/>
              </w:rPr>
              <w:t>11.《国土空间规划城市体检评估规程》（2025年修订版）；</w:t>
            </w:r>
          </w:p>
          <w:p>
            <w:pPr>
              <w:pStyle w:val="null3"/>
              <w:jc w:val="both"/>
            </w:pPr>
            <w:r>
              <w:rPr>
                <w:rFonts w:ascii="仿宋_GB2312" w:hAnsi="仿宋_GB2312" w:cs="仿宋_GB2312" w:eastAsia="仿宋_GB2312"/>
                <w:sz w:val="20"/>
                <w:color w:val="000000"/>
              </w:rPr>
              <w:t>12.《自然资源部办公厅关于印发市级和县级国土空间总体规划成果数据》(自然资办函〔2024〕1301号)；</w:t>
            </w:r>
          </w:p>
          <w:p>
            <w:pPr>
              <w:pStyle w:val="null3"/>
              <w:jc w:val="both"/>
            </w:pPr>
            <w:r>
              <w:rPr>
                <w:rFonts w:ascii="仿宋_GB2312" w:hAnsi="仿宋_GB2312" w:cs="仿宋_GB2312" w:eastAsia="仿宋_GB2312"/>
                <w:sz w:val="20"/>
                <w:color w:val="000000"/>
              </w:rPr>
              <w:t>13.《陕西省市级国土空间总体规划数据入库成果汇交要求（试行）》；</w:t>
            </w:r>
          </w:p>
          <w:p>
            <w:pPr>
              <w:pStyle w:val="null3"/>
              <w:jc w:val="both"/>
            </w:pPr>
            <w:r>
              <w:rPr>
                <w:rFonts w:ascii="仿宋_GB2312" w:hAnsi="仿宋_GB2312" w:cs="仿宋_GB2312" w:eastAsia="仿宋_GB2312"/>
                <w:sz w:val="20"/>
                <w:color w:val="000000"/>
              </w:rPr>
              <w:t>14.《市县级国土空间总体规划2026年度动态调整完善成果技术审查要点（试行）》（2026年2月）；</w:t>
            </w:r>
          </w:p>
          <w:p>
            <w:pPr>
              <w:pStyle w:val="null3"/>
            </w:pPr>
            <w:r>
              <w:rPr>
                <w:rFonts w:ascii="仿宋_GB2312" w:hAnsi="仿宋_GB2312" w:cs="仿宋_GB2312" w:eastAsia="仿宋_GB2312"/>
                <w:sz w:val="20"/>
                <w:color w:val="000000"/>
              </w:rPr>
              <w:t>15.《自然资源部空间规划局关于印发&lt;国土空间总体规划动态维护成果数据要求（试行）&gt;的函》（自然资空间规划函〔2026〕120号）。</w:t>
            </w:r>
          </w:p>
          <w:p>
            <w:pPr>
              <w:pStyle w:val="null3"/>
              <w:jc w:val="both"/>
            </w:pPr>
            <w:r>
              <w:rPr>
                <w:rFonts w:ascii="仿宋_GB2312" w:hAnsi="仿宋_GB2312" w:cs="仿宋_GB2312" w:eastAsia="仿宋_GB2312"/>
                <w:sz w:val="20"/>
                <w:b/>
                <w:color w:val="000000"/>
              </w:rPr>
              <w:t>成果文件要求</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color w:val="000000"/>
              </w:rPr>
              <w:t>本项目成果《自然资源部国土空间规划局关于国土空间总体规划动态调整完善工作有关问题的答复（第三版）》等相关文件要求，提交包含文本、附表、附图、数据库、附件等，确保材料完整、规范、符合要求。</w:t>
            </w:r>
          </w:p>
          <w:p>
            <w:pPr>
              <w:pStyle w:val="null3"/>
              <w:jc w:val="both"/>
            </w:pPr>
            <w:r>
              <w:rPr>
                <w:rFonts w:ascii="仿宋_GB2312" w:hAnsi="仿宋_GB2312" w:cs="仿宋_GB2312" w:eastAsia="仿宋_GB2312"/>
                <w:sz w:val="20"/>
                <w:color w:val="000000"/>
              </w:rPr>
              <w:t>（一）文本</w:t>
            </w:r>
          </w:p>
          <w:p>
            <w:pPr>
              <w:pStyle w:val="null3"/>
              <w:jc w:val="both"/>
            </w:pPr>
            <w:r>
              <w:rPr>
                <w:rFonts w:ascii="仿宋_GB2312" w:hAnsi="仿宋_GB2312" w:cs="仿宋_GB2312" w:eastAsia="仿宋_GB2312"/>
                <w:sz w:val="20"/>
                <w:color w:val="000000"/>
              </w:rPr>
              <w:t>文本应包括体检评估主要结论，开展动态维护的必要性和可行性，三条控制线正向优化、规划分区动态维护等具体优化内容，以及优化后是否实现功能更优化、布局更合理、安全韧性有提升、用地更集约等成效分析内容。</w:t>
            </w:r>
          </w:p>
          <w:p>
            <w:pPr>
              <w:pStyle w:val="null3"/>
              <w:jc w:val="both"/>
            </w:pPr>
            <w:r>
              <w:rPr>
                <w:rFonts w:ascii="仿宋_GB2312" w:hAnsi="仿宋_GB2312" w:cs="仿宋_GB2312" w:eastAsia="仿宋_GB2312"/>
                <w:sz w:val="20"/>
                <w:color w:val="000000"/>
              </w:rPr>
              <w:t>（二）附表</w:t>
            </w:r>
          </w:p>
          <w:p>
            <w:pPr>
              <w:pStyle w:val="null3"/>
            </w:pPr>
            <w:r>
              <w:rPr>
                <w:rFonts w:ascii="仿宋_GB2312" w:hAnsi="仿宋_GB2312" w:cs="仿宋_GB2312" w:eastAsia="仿宋_GB2312"/>
                <w:sz w:val="20"/>
                <w:color w:val="000000"/>
              </w:rPr>
              <w:t>附表应包括国土空间总体规</w:t>
            </w:r>
            <w:r>
              <w:rPr>
                <w:rFonts w:ascii="仿宋_GB2312" w:hAnsi="仿宋_GB2312" w:cs="仿宋_GB2312" w:eastAsia="仿宋_GB2312"/>
                <w:sz w:val="20"/>
                <w:color w:val="000000"/>
              </w:rPr>
              <w:t>划动态维护指标对比变化表，以及涉及优化调整内容的优化调整前后对比表等。</w:t>
            </w:r>
          </w:p>
          <w:p>
            <w:pPr>
              <w:pStyle w:val="null3"/>
              <w:jc w:val="both"/>
            </w:pPr>
            <w:r>
              <w:rPr>
                <w:rFonts w:ascii="仿宋_GB2312" w:hAnsi="仿宋_GB2312" w:cs="仿宋_GB2312" w:eastAsia="仿宋_GB2312"/>
                <w:sz w:val="20"/>
                <w:color w:val="000000"/>
              </w:rPr>
              <w:t>（三）图件</w:t>
            </w:r>
          </w:p>
          <w:p>
            <w:pPr>
              <w:pStyle w:val="null3"/>
              <w:jc w:val="both"/>
            </w:pPr>
            <w:r>
              <w:rPr>
                <w:rFonts w:ascii="仿宋_GB2312" w:hAnsi="仿宋_GB2312" w:cs="仿宋_GB2312" w:eastAsia="仿宋_GB2312"/>
                <w:sz w:val="20"/>
                <w:color w:val="000000"/>
              </w:rPr>
              <w:t>附图应包括永久基本农田保护红线、生态保护红线、城镇开发边界、国土空间规划分区、中心城区土地使用规划、城市重要控制线规划等正向优化后图件。</w:t>
            </w:r>
          </w:p>
          <w:p>
            <w:pPr>
              <w:pStyle w:val="null3"/>
              <w:jc w:val="both"/>
            </w:pPr>
            <w:r>
              <w:rPr>
                <w:rFonts w:ascii="仿宋_GB2312" w:hAnsi="仿宋_GB2312" w:cs="仿宋_GB2312" w:eastAsia="仿宋_GB2312"/>
                <w:sz w:val="20"/>
                <w:color w:val="000000"/>
              </w:rPr>
              <w:t>（四）数据库</w:t>
            </w:r>
          </w:p>
          <w:p>
            <w:pPr>
              <w:pStyle w:val="null3"/>
              <w:jc w:val="both"/>
            </w:pPr>
            <w:r>
              <w:rPr>
                <w:rFonts w:ascii="仿宋_GB2312" w:hAnsi="仿宋_GB2312" w:cs="仿宋_GB2312" w:eastAsia="仿宋_GB2312"/>
                <w:sz w:val="20"/>
                <w:color w:val="000000"/>
              </w:rPr>
              <w:t>数据库质量应符合《自然资源部办公厅关于印发市级和县级国土空间总体规划成果数据》</w:t>
            </w:r>
            <w:r>
              <w:rPr>
                <w:rFonts w:ascii="仿宋_GB2312" w:hAnsi="仿宋_GB2312" w:cs="仿宋_GB2312" w:eastAsia="仿宋_GB2312"/>
                <w:sz w:val="20"/>
                <w:color w:val="000000"/>
              </w:rPr>
              <w:t>(自然资办函[2024]1301号)、《自然资源部规划局关于印发《国土空间总体规划动态维护成果数据要求(试行)》的函，矢量数据满足国土空间规划“一张图”入库要求。</w:t>
            </w:r>
          </w:p>
          <w:p>
            <w:pPr>
              <w:pStyle w:val="null3"/>
              <w:jc w:val="both"/>
            </w:pPr>
            <w:r>
              <w:rPr>
                <w:rFonts w:ascii="仿宋_GB2312" w:hAnsi="仿宋_GB2312" w:cs="仿宋_GB2312" w:eastAsia="仿宋_GB2312"/>
                <w:sz w:val="20"/>
                <w:color w:val="000000"/>
              </w:rPr>
              <w:t>（五）附件</w:t>
            </w:r>
          </w:p>
          <w:p>
            <w:pPr>
              <w:pStyle w:val="null3"/>
            </w:pPr>
            <w:r>
              <w:rPr>
                <w:rFonts w:ascii="仿宋_GB2312" w:hAnsi="仿宋_GB2312" w:cs="仿宋_GB2312" w:eastAsia="仿宋_GB2312"/>
                <w:sz w:val="20"/>
                <w:color w:val="000000"/>
              </w:rPr>
              <w:t>附件应包括相关部门征求意见、同级人民政府同意意见、其他说明材料等。</w:t>
            </w:r>
          </w:p>
          <w:p>
            <w:pPr>
              <w:pStyle w:val="null3"/>
              <w:jc w:val="both"/>
            </w:pPr>
            <w:r>
              <w:rPr>
                <w:rFonts w:ascii="仿宋_GB2312" w:hAnsi="仿宋_GB2312" w:cs="仿宋_GB2312" w:eastAsia="仿宋_GB2312"/>
                <w:sz w:val="20"/>
                <w:b/>
                <w:color w:val="000000"/>
              </w:rPr>
              <w:t>服务标准：</w:t>
            </w:r>
          </w:p>
          <w:p>
            <w:pPr>
              <w:pStyle w:val="null3"/>
              <w:ind w:firstLine="420"/>
              <w:jc w:val="both"/>
            </w:pPr>
            <w:r>
              <w:rPr>
                <w:rFonts w:ascii="仿宋_GB2312" w:hAnsi="仿宋_GB2312" w:cs="仿宋_GB2312" w:eastAsia="仿宋_GB2312"/>
                <w:sz w:val="20"/>
                <w:color w:val="000000"/>
              </w:rPr>
              <w:t>1.成果完整性：需按照《自然资源部国土空间规划局关于国土空间总体规划动态调整完善工作有关问题的答复（第三版）》等相关文件要求，提交文本、附表、附图、数据库、附件等全部成果材料，无缺失、无遗漏，最终提交十套成果；</w:t>
            </w:r>
          </w:p>
          <w:p>
            <w:pPr>
              <w:pStyle w:val="null3"/>
              <w:ind w:firstLine="420"/>
              <w:jc w:val="both"/>
            </w:pPr>
            <w:r>
              <w:rPr>
                <w:rFonts w:ascii="仿宋_GB2312" w:hAnsi="仿宋_GB2312" w:cs="仿宋_GB2312" w:eastAsia="仿宋_GB2312"/>
                <w:sz w:val="20"/>
                <w:color w:val="000000"/>
              </w:rPr>
              <w:t>2.成果规范性：所有成果材料格式、内容、编制标准符合部、省、市相关规范及本采购需求要求，数据准确、逻辑清晰、标注规范；</w:t>
            </w:r>
          </w:p>
          <w:p>
            <w:pPr>
              <w:pStyle w:val="null3"/>
              <w:ind w:firstLine="420"/>
              <w:jc w:val="both"/>
            </w:pPr>
            <w:r>
              <w:rPr>
                <w:rFonts w:ascii="仿宋_GB2312" w:hAnsi="仿宋_GB2312" w:cs="仿宋_GB2312" w:eastAsia="仿宋_GB2312"/>
                <w:sz w:val="20"/>
                <w:color w:val="000000"/>
              </w:rPr>
              <w:t>3.审查合规性：成果需通过省、市级专家审查和技术审查，符合国土空间总体规划动态维护的相关政策要求和技术标准，并获得省级批复；</w:t>
            </w:r>
          </w:p>
          <w:p>
            <w:pPr>
              <w:pStyle w:val="null3"/>
              <w:ind w:firstLine="420"/>
              <w:jc w:val="both"/>
            </w:pPr>
            <w:r>
              <w:rPr>
                <w:rFonts w:ascii="仿宋_GB2312" w:hAnsi="仿宋_GB2312" w:cs="仿宋_GB2312" w:eastAsia="仿宋_GB2312"/>
                <w:sz w:val="20"/>
                <w:color w:val="000000"/>
              </w:rPr>
              <w:t>4.服务合规性：中标单位已按照合同约定及采购需求，完成全部服务内容，服务过程规范、高效。服务流程规范、专业高效，符合国土空间规划动态维护方案编制的专业要求；提供全程技术支持，及时响应采购人及相关部门的技术咨询和需求。</w:t>
            </w:r>
          </w:p>
          <w:p>
            <w:pPr>
              <w:pStyle w:val="null3"/>
              <w:jc w:val="both"/>
            </w:pPr>
            <w:r>
              <w:rPr>
                <w:rFonts w:ascii="仿宋_GB2312" w:hAnsi="仿宋_GB2312" w:cs="仿宋_GB2312" w:eastAsia="仿宋_GB2312"/>
                <w:sz w:val="20"/>
                <w:b/>
                <w:color w:val="000000"/>
              </w:rPr>
              <w:t>服务质量：</w:t>
            </w:r>
          </w:p>
          <w:p>
            <w:pPr>
              <w:pStyle w:val="null3"/>
              <w:jc w:val="both"/>
            </w:pPr>
            <w:r>
              <w:rPr>
                <w:rFonts w:ascii="仿宋_GB2312" w:hAnsi="仿宋_GB2312" w:cs="仿宋_GB2312" w:eastAsia="仿宋_GB2312"/>
                <w:sz w:val="20"/>
                <w:color w:val="000000"/>
              </w:rPr>
              <w:t>1.符合国家、省、市相关技术文件、政策要求及本采购需求规定；</w:t>
            </w:r>
          </w:p>
          <w:p>
            <w:pPr>
              <w:pStyle w:val="null3"/>
              <w:jc w:val="both"/>
            </w:pPr>
            <w:r>
              <w:rPr>
                <w:rFonts w:ascii="仿宋_GB2312" w:hAnsi="仿宋_GB2312" w:cs="仿宋_GB2312" w:eastAsia="仿宋_GB2312"/>
                <w:sz w:val="20"/>
                <w:color w:val="000000"/>
              </w:rPr>
              <w:t>2.成果真实、科学、合理，无虚假内容，可顺利通过省、市级技术审查；</w:t>
            </w:r>
          </w:p>
          <w:p>
            <w:pPr>
              <w:pStyle w:val="null3"/>
              <w:jc w:val="both"/>
            </w:pPr>
            <w:r>
              <w:rPr>
                <w:rFonts w:ascii="仿宋_GB2312" w:hAnsi="仿宋_GB2312" w:cs="仿宋_GB2312" w:eastAsia="仿宋_GB2312"/>
                <w:sz w:val="20"/>
                <w:color w:val="000000"/>
              </w:rPr>
              <w:t>3.服务过程规范，主动配合采购人及相关部门的工作安排，及时解决服务过程中出现的问题。</w:t>
            </w:r>
          </w:p>
          <w:p>
            <w:pPr>
              <w:pStyle w:val="null3"/>
              <w:jc w:val="both"/>
            </w:pPr>
            <w:r>
              <w:rPr>
                <w:rFonts w:ascii="仿宋_GB2312" w:hAnsi="仿宋_GB2312" w:cs="仿宋_GB2312" w:eastAsia="仿宋_GB2312"/>
                <w:sz w:val="20"/>
                <w:b/>
                <w:color w:val="000000"/>
              </w:rPr>
              <w:t>服务效率要求：</w:t>
            </w:r>
          </w:p>
          <w:p>
            <w:pPr>
              <w:pStyle w:val="null3"/>
              <w:jc w:val="both"/>
            </w:pPr>
            <w:r>
              <w:rPr>
                <w:rFonts w:ascii="仿宋_GB2312" w:hAnsi="仿宋_GB2312" w:cs="仿宋_GB2312" w:eastAsia="仿宋_GB2312"/>
                <w:sz w:val="20"/>
                <w:color w:val="000000"/>
              </w:rPr>
              <w:t>1.方案编制按照省自然资源厅要求的时间节点按时提交。</w:t>
            </w:r>
          </w:p>
          <w:p>
            <w:pPr>
              <w:pStyle w:val="null3"/>
              <w:jc w:val="both"/>
            </w:pPr>
            <w:r>
              <w:rPr>
                <w:rFonts w:ascii="仿宋_GB2312" w:hAnsi="仿宋_GB2312" w:cs="仿宋_GB2312" w:eastAsia="仿宋_GB2312"/>
                <w:sz w:val="20"/>
                <w:color w:val="000000"/>
              </w:rPr>
              <w:t>2.审查响应：按照省、市级工作要求，随时响应。</w:t>
            </w:r>
          </w:p>
          <w:p>
            <w:pPr>
              <w:pStyle w:val="null3"/>
              <w:jc w:val="both"/>
            </w:pPr>
            <w:r>
              <w:rPr>
                <w:rFonts w:ascii="仿宋_GB2312" w:hAnsi="仿宋_GB2312" w:cs="仿宋_GB2312" w:eastAsia="仿宋_GB2312"/>
                <w:sz w:val="20"/>
                <w:color w:val="000000"/>
              </w:rPr>
              <w:t>3.审查修改、数据库更新，周期不超过5个工作日。</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1、供应商应及时向采购人汇报项目实施情况。 2、人员配备合理，有针对本项目的专项服务小组，项目负责人、工作人员分工明确(应有具体成员名单，包括姓名、工作职责等)。 3、在服务期间,若供应商所拟派的工作人员发生任何伤害，采购人概不负责，由供应商自行处理。 4、供应商除提供成果文件外，还应负责协助采购人完成成果文件的评审、验收等工作。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自合同签订之日起至渭南市、县两级国土空间总体规划2026年动态调整完善方案批复，原则上2026年12月31日前完成，若因上位规划、相关政策调整等客观因素导致工期顺延的，履行期限相应延后。</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验收标准：以省级对渭南市国土空间总体规划2026年动态维护方案和各县（市、区）国土空间总体规划2026年动态维护方案或规划修改方案的批复相关文件及完整成果资料为验收标准。 验收方法：乙方向甲方提供相关批复相关文件及完整成果资料。</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进度款，按照省级、市级审查意见配合完成修改，渭南市国土空间总体规划2026年动态维护方案经省级批复后 ，达到付款条件起30个工作日内，支付合同总金额的50.0%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进度款，各县（市、区）国土空间总体规划2026年动态维护方案或规划修改方案经省级批复后，达到付款条件起30个工作日内，支付合同总金额的10.0%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（3）乙方所交成果不符合国家法律法规和合同约定的，甲方有权拒收，并由乙方承担一切费用，甲方不予支付服务费用。 （4）因乙方原因导致不能按期完成服务的，每逾期一日，按合同总额0.01%支付违约金。 （5）双方本着友好合作的态度,对合同履行过程中发生的纠纷应及时协商解决，协商不成的，向采购人所在地有管辖权的人民法院诉讼解决。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中标（成交）供应商在中标（成交）结果公告发布后3个工作日内提供叁套纸质响应文件（经编标工具生成的文件直接打印并加盖公章），递交的纸质版文件内容确保与线上电子文件保持一致，不允许修改和补充。 2.报价需包含以下所有费用：①人员劳务费用，②专家咨询费用，③办公及物料费用，④交通差旅费用，⑤会务及评审费用，⑥各类税费、保险及其他不可预见费用。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资格证明材料相关附件.docx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供应商应是独立承担民事责任能力的法人、其他组织，企业法人应提供统一社会信用代码的营业执照；其他组织应提供合法证明文件。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①提供2025年6月1日至今已缴存的任意一个月的纳税证明或完税证明（成立不足一个月的提供依法纳税的承诺书，格式自拟）； ②提供2025年6月1日至今已缴存的任意一个月的社会保障资金缴存单据或社保机构开具的社会保险参保缴费情况证明（成立不足一个月的提供将依法缴纳社会保障资金的承诺书，格式自拟）；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提供参加政府采购活动前三年内，在经营活动中没有重大违法记录的声明函。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人身份证，并与营业执照上信息一致。授权代表参加磋商的，须出具法定代表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供应商须提供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由资格审查小组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需具备土地规划乙级及以上和城乡规划（国土空间规划）乙级及以上的编制资质。</w:t>
            </w:r>
          </w:p>
        </w:tc>
        <w:tc>
          <w:tcPr>
            <w:tcW w:type="dxa" w:w="1661"/>
          </w:tcPr>
          <w:p>
            <w:pPr>
              <w:pStyle w:val="null3"/>
            </w:pPr>
            <w:r>
              <w:rPr>
                <w:rFonts w:ascii="仿宋_GB2312" w:hAnsi="仿宋_GB2312" w:cs="仿宋_GB2312" w:eastAsia="仿宋_GB2312"/>
              </w:rPr>
              <w:t>资格证明材料相关附件.docx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供应商名称应与营业执照一致</w:t>
            </w:r>
          </w:p>
        </w:tc>
        <w:tc>
          <w:tcPr>
            <w:tcW w:type="dxa" w:w="1661"/>
          </w:tcPr>
          <w:p>
            <w:pPr>
              <w:pStyle w:val="null3"/>
            </w:pPr>
            <w:r>
              <w:rPr>
                <w:rFonts w:ascii="仿宋_GB2312" w:hAnsi="仿宋_GB2312" w:cs="仿宋_GB2312" w:eastAsia="仿宋_GB2312"/>
              </w:rPr>
              <w:t>中小企业声明函 资格证明材料相关附件.docx 商务应答表 报价表 供应商承诺书.docx 响应文件封面 残疾人福利性单位声明函 标的清单 服务内容及服务要求应答表.docx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磋商响应文件签章</w:t>
            </w:r>
          </w:p>
        </w:tc>
        <w:tc>
          <w:tcPr>
            <w:tcW w:type="dxa" w:w="3322"/>
          </w:tcPr>
          <w:p>
            <w:pPr>
              <w:pStyle w:val="null3"/>
            </w:pPr>
            <w:r>
              <w:rPr>
                <w:rFonts w:ascii="仿宋_GB2312" w:hAnsi="仿宋_GB2312" w:cs="仿宋_GB2312" w:eastAsia="仿宋_GB2312"/>
              </w:rPr>
              <w:t>应按磋商文件要求签章</w:t>
            </w:r>
          </w:p>
        </w:tc>
        <w:tc>
          <w:tcPr>
            <w:tcW w:type="dxa" w:w="1661"/>
          </w:tcPr>
          <w:p>
            <w:pPr>
              <w:pStyle w:val="null3"/>
            </w:pPr>
            <w:r>
              <w:rPr>
                <w:rFonts w:ascii="仿宋_GB2312" w:hAnsi="仿宋_GB2312" w:cs="仿宋_GB2312" w:eastAsia="仿宋_GB2312"/>
              </w:rPr>
              <w:t>中小企业声明函 资格证明材料相关附件.docx 商务应答表 报价表 供应商承诺书.docx 响应文件封面 残疾人福利性单位声明函 标的清单 服务内容及服务要求应答表.docx 响应函 服务方案.docx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资格证明材料相关附件.docx 商务应答表 标的清单 报价表 服务内容及服务要求应答表.docx 服务方案.docx 供应商承诺书.docx 报价明细表.docx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磋商小组应当根据综合评分情况，按照评审得分由高到低顺序推荐3名成交候选供应商，并编写评审报告。评审得分相同的，按照最后报价由低到高的顺序推荐。评审得分且最后报价相同的，按照技术部分得分从高到低顺序推荐，若该项得分还相同，由磋商小组无记名投票确定排名顺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提供针对本项目的服务方案，包括①对本项目的理解和总体工作思路；②工作流程及工作计划；③相关研策分析； 二、评审标准: 提供详细、合理、科学可行的方案，方案符合本项目采购需求有针对性，以上3项，以序号①、②、③为项数，内容无缺项、无漏项且无缺陷的得12分，其中每有一项内容存在缺项或漏项的扣4分，每项内容中每有一处存在缺陷的扣0.5分，该项分值扣完为止，未提供不得分。 三、赋分说明: “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进度、质量控制方案</w:t>
            </w:r>
          </w:p>
        </w:tc>
        <w:tc>
          <w:tcPr>
            <w:tcW w:type="dxa" w:w="2492"/>
          </w:tcPr>
          <w:p>
            <w:pPr>
              <w:pStyle w:val="null3"/>
            </w:pPr>
            <w:r>
              <w:rPr>
                <w:rFonts w:ascii="仿宋_GB2312" w:hAnsi="仿宋_GB2312" w:cs="仿宋_GB2312" w:eastAsia="仿宋_GB2312"/>
              </w:rPr>
              <w:t>一、评审内容：①进度控制方案；②质量控制方案。 二、评审标准: 提供详细、合理、科学可行的方案，方案符合本项目采购需求有针对性，以上2项，以序号①、②为项数，内容无缺项、无漏项且无缺陷的得10分，其中每有一项内容存在缺项或漏项的扣5分，每项内容中每有一处存在缺陷的扣0.5分，该项分值扣完为止，未提供不得分。 三、赋分说明: “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成果保障措施</w:t>
            </w:r>
          </w:p>
        </w:tc>
        <w:tc>
          <w:tcPr>
            <w:tcW w:type="dxa" w:w="2492"/>
          </w:tcPr>
          <w:p>
            <w:pPr>
              <w:pStyle w:val="null3"/>
            </w:pPr>
            <w:r>
              <w:rPr>
                <w:rFonts w:ascii="仿宋_GB2312" w:hAnsi="仿宋_GB2312" w:cs="仿宋_GB2312" w:eastAsia="仿宋_GB2312"/>
              </w:rPr>
              <w:t>一、评审内容： 根据本项目性质及特点制定相应的成果保障措施。 二、评审标准: 提供详细、合理、科学可行的方案，方案符合本项目采购需求有针对性，内容无缺项、无漏项且无缺陷的得4分，每有一处存在缺陷的扣0.5分，该项分值扣完为止，未提供不得分。 三、赋分说明: “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保密保障措施</w:t>
            </w:r>
          </w:p>
        </w:tc>
        <w:tc>
          <w:tcPr>
            <w:tcW w:type="dxa" w:w="2492"/>
          </w:tcPr>
          <w:p>
            <w:pPr>
              <w:pStyle w:val="null3"/>
            </w:pPr>
            <w:r>
              <w:rPr>
                <w:rFonts w:ascii="仿宋_GB2312" w:hAnsi="仿宋_GB2312" w:cs="仿宋_GB2312" w:eastAsia="仿宋_GB2312"/>
              </w:rPr>
              <w:t>一、评审内容： 根据本项目性质及特点制定相应的保密制度与保证措施。 二、评审标准: 提供详细、合理、科学可行的方案，方案符合本项目采购需求有针对性，内容无缺项、无漏项且无缺陷的得4分，每有一处存在缺陷的扣0.5分，该项分值扣完为止，未提供不得分。 三、赋分说明: “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重点难点分析与应对措施</w:t>
            </w:r>
          </w:p>
        </w:tc>
        <w:tc>
          <w:tcPr>
            <w:tcW w:type="dxa" w:w="2492"/>
          </w:tcPr>
          <w:p>
            <w:pPr>
              <w:pStyle w:val="null3"/>
            </w:pPr>
            <w:r>
              <w:rPr>
                <w:rFonts w:ascii="仿宋_GB2312" w:hAnsi="仿宋_GB2312" w:cs="仿宋_GB2312" w:eastAsia="仿宋_GB2312"/>
              </w:rPr>
              <w:t>一、评审内容： ①重点、难点分析②问题解决对策。 二、评审标准: 提供详细、合理、科学可行的方案，方案符合本项目采购需求有针对性，以上2项，以序号①、②为项数，内容无缺项、无漏项且无缺陷的得10分，其中每有一项内容存在缺项或漏项的扣5分，每项内容中每有一处存在缺陷的扣0.5分，该项分值扣完为止，未提供不得分。 三、赋分说明: “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档案管理制度与应急预案</w:t>
            </w:r>
          </w:p>
        </w:tc>
        <w:tc>
          <w:tcPr>
            <w:tcW w:type="dxa" w:w="2492"/>
          </w:tcPr>
          <w:p>
            <w:pPr>
              <w:pStyle w:val="null3"/>
            </w:pPr>
            <w:r>
              <w:rPr>
                <w:rFonts w:ascii="仿宋_GB2312" w:hAnsi="仿宋_GB2312" w:cs="仿宋_GB2312" w:eastAsia="仿宋_GB2312"/>
              </w:rPr>
              <w:t>①供应商提供针对本项目的档案管理制度得2分，未提供不得分。 ②供应商提供针对本项目的应急预案得2分，未提供不得分。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项目负责人须为投标单位在职人员，提供证明材料，否则不得分。 1.具有城乡规划类或土地规划类高级职称得3分、中级职称得1分，其他不得分，最高得3分； 注：需提供身份证、学历证明材料、相关证书复印件。以上材料需加盖投标人公章，未提供或提供不全不得分。（退休人员需提供退休及返聘证明材料）； 2.项目负责人有相关项目经验，提供2023年1月至今类似业绩，每提供一份得2分，最高得4分。 注：提供项目负责人近六个月内任意一个月养老保险缴纳证明、相关业绩合同复印件等证明材料，材料中需体现项目负责人姓名。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项目拟派人员</w:t>
            </w:r>
          </w:p>
        </w:tc>
        <w:tc>
          <w:tcPr>
            <w:tcW w:type="dxa" w:w="2492"/>
          </w:tcPr>
          <w:p>
            <w:pPr>
              <w:pStyle w:val="null3"/>
            </w:pPr>
            <w:r>
              <w:rPr>
                <w:rFonts w:ascii="仿宋_GB2312" w:hAnsi="仿宋_GB2312" w:cs="仿宋_GB2312" w:eastAsia="仿宋_GB2312"/>
              </w:rPr>
              <w:t>项目团队人员须为投标单位在职人员，提供证明材料，否则不得分。 此项满分13分。 ①提供人员在6人（含）以上的计6分;提供人员在4人（含）以上-6人（不含）以下得4分;提供人员在2人(含)以上-4人（不含）以下得2分;不足2人不得分。本项最高得6分。 ②拟派人员（不包含项目负责人）具备城乡规划类、土地规划类相关专业高级职称每提供一个得2分、中级职称每提供一个得1分，其他不得分，本项最高得7分。注：需提供身份证、学历证明材料、相关证书复印件。以上材料需加盖投标人公章，未提供或提供不全不得分。（退休人员需提供退休及返聘证明材料）；</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供应商对以下内容进行承诺：①项目成果文本完整合规的服务承诺；②保质保量完成的服务承诺；③配合后续事宜的服务承诺。 每承诺一项得2分，本项最高得6分。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 2023年1月至今类似项目业绩（以合同签订日期为准），每提供一个得 2 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价格分统一采用低价优先法，即满足磋商文件要求且最后报价最低的供应商的价格为磋商基准价，其价格分为满分20分。其他供应商的价格分统一按照下列公式计算： 磋商报价得分＝（磋商基准价/最后磋商报价）×20％×100 注：本项目已专门面向中小微企业，对小微企业、监狱企业、残疾人福利性单位不再给予价格扣除，供应商需如实填写《中小企业声明函》。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详见附件：资格证明材料相关附件.docx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