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版本号：ZCLH-202604520260527001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留坝县环境综合整治工程项目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ZCLH-2026045</w:t>
      </w:r>
      <w:r>
        <w:br/>
      </w:r>
      <w:r>
        <w:br/>
      </w:r>
      <w:r>
        <w:br/>
      </w:r>
    </w:p>
    <w:p>
      <w:pPr>
        <w:pStyle w:val="null3"/>
        <w:jc w:val="center"/>
        <w:outlineLvl w:val="2"/>
      </w:pPr>
      <w:r>
        <w:rPr>
          <w:rFonts w:ascii="仿宋_GB2312" w:hAnsi="仿宋_GB2312" w:cs="仿宋_GB2312" w:eastAsia="仿宋_GB2312"/>
          <w:sz w:val="28"/>
          <w:b/>
        </w:rPr>
        <w:t>留坝县水利局</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留坝县水利局</w:t>
      </w:r>
      <w:r>
        <w:rPr>
          <w:rFonts w:ascii="仿宋_GB2312" w:hAnsi="仿宋_GB2312" w:cs="仿宋_GB2312" w:eastAsia="仿宋_GB2312"/>
        </w:rPr>
        <w:t>委托，拟对</w:t>
      </w:r>
      <w:r>
        <w:rPr>
          <w:rFonts w:ascii="仿宋_GB2312" w:hAnsi="仿宋_GB2312" w:cs="仿宋_GB2312" w:eastAsia="仿宋_GB2312"/>
        </w:rPr>
        <w:t>留坝县环境综合整治工程项目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ZCLH-2026045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留坝县环境综合整治工程项目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计划留侯镇狮子沟在牧场道路旁进行排水沟及绿化工程，排水沟建设长度为141m，用地452.1㎡，绿化工程面积为3440㎡;在滑雪场道路旁区域建设停车场工程、人行步道工程和绿化工程,停车场用地面积206.3㎡，人行步道用地面积38.2㎡，绿化工程用地面积14130㎡;火烧店中西沟大桥上下游绿化工程:在中西沟大桥河道两岸不同区域进行景观绿化工程，绿化面积为11982.7㎡</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采购包1（环境综合整治工程）：属于专门面向中小企业采购。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供应商须具备建设行政主管部门核发的水利水电工程施工总承包三级（含三级）及以上资质，并具有建设行政主管部门颁发的安全生产许可证；拟派项目经理须具备水利水电工程专业二级及以上注册建造师执业资格，具有行政主管部门颁发的安全生产考核合格证且未担任其他在建工程的项目经理：投标供应商须具备建设行政主管部门核发的水利水电工程施工总承包三级（含三级）及以上资质，并具有建设行政主管部门颁发的安全生产许可证；拟派项目经理须具备水利水电工程专业二级及以上注册建造师执业资格，具有行政主管部门颁发的安全生产考核合格证且未担任其他在建工程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留坝县迎宾路1号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 0764 0284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代理服务费收费标准：代理服务费收费标准：1、按合同约定执行。 2、采购代理服务费的缴纳方式：在领取《成交通知书》时向采购代理机构一次性全额缴纳采购代理服务费。 3、采购代理服务费以转账形式缴纳至以下账户： 开户名称：力华项目管理有限公司汉中分公司 开户银行：中国银行股份有限公司汉中椰岛广场支行 银行账号：1033 0764 0284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留坝县水利局</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力华项目管理有限公司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1900000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标的名称：1900000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11 楼。 5、其他说明：工程量清单 (见附件)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拟派项目经理须具备水利水电工程专业二级及以上注册建造师执业资格，具有行政主管部门颁发的安全生产考核合格证且未担任其他在建工程的项目经理</w:t>
            </w:r>
          </w:p>
        </w:tc>
        <w:tc>
          <w:tcPr>
            <w:tcW w:type="dxa" w:w="332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拟派项目经理须具备水利水电工程专业二级及以上注册建造师执业资格，具有行政主管部门颁发的安全生产考核合格证且未担任其他在建工程的项目经理</w:t>
            </w:r>
          </w:p>
        </w:tc>
        <w:tc>
          <w:tcPr>
            <w:tcW w:type="dxa" w:w="1661"/>
          </w:tcPr>
          <w:p>
            <w:pPr>
              <w:pStyle w:val="null3"/>
            </w:pPr>
            <w:r>
              <w:rPr>
                <w:rFonts w:ascii="仿宋_GB2312" w:hAnsi="仿宋_GB2312" w:cs="仿宋_GB2312" w:eastAsia="仿宋_GB2312"/>
              </w:rPr>
              <w:t>供应商应提交的相关资格证明材料.docx 项目管理机构组成表 供应商认为需要说明的其他内容.docx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 求签署、盖章的</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法定代表人证明书或授权委托书.docx 汉中市政府采购供应商资格承诺函.pdf 供应商应提交的相关资格证明材料.docx 报价函 技术服务合同条款及其他商务要求应答表 标的清单 响应函 强制优先采购产品承诺函 控股承诺.docx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项目施工方案.docx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1分，满分3分；②安全施工措施：每完全满足一个评审标准得1分,满分3分；③安全应急预案：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供应商具有2023年5月1日至今（以合同签订时间为准）类似项目业绩，以成交通知书或协议书（合同）原件或复印件为准，每提供一个得2分，最高得4分。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供应商认为需要说明的其他内容.docx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