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版本号：ZMZB2026YYXY-8420260520001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2026年暑期学生宿舍维修项目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ZMZB2026YYXY-84</w:t>
      </w:r>
      <w:r>
        <w:br/>
      </w:r>
      <w:r>
        <w:br/>
      </w:r>
      <w:r>
        <w:br/>
      </w:r>
    </w:p>
    <w:p>
      <w:pPr>
        <w:pStyle w:val="null3"/>
        <w:jc w:val="center"/>
        <w:outlineLvl w:val="2"/>
      </w:pPr>
      <w:r>
        <w:rPr>
          <w:rFonts w:ascii="仿宋_GB2312" w:hAnsi="仿宋_GB2312" w:cs="仿宋_GB2312" w:eastAsia="仿宋_GB2312"/>
          <w:sz w:val="28"/>
          <w:b/>
        </w:rPr>
        <w:t>西安音乐学院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西安音乐学院</w:t>
      </w:r>
      <w:r>
        <w:rPr>
          <w:rFonts w:ascii="仿宋_GB2312" w:hAnsi="仿宋_GB2312" w:cs="仿宋_GB2312" w:eastAsia="仿宋_GB2312"/>
        </w:rPr>
        <w:t>委托，拟对</w:t>
      </w:r>
      <w:r>
        <w:rPr>
          <w:rFonts w:ascii="仿宋_GB2312" w:hAnsi="仿宋_GB2312" w:cs="仿宋_GB2312" w:eastAsia="仿宋_GB2312"/>
        </w:rPr>
        <w:t>2026年暑期学生宿舍维修项目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ZMZB2026YYXY-84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2026年暑期学生宿舍维修项目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2026年暑期学生宿舍维修项目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采购包1（2026年暑期学生宿舍维修项目）：属于专门面向中小企业采购。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响应文件截止时间不足一年的可提供成立后任意时段的资产负债表），或其开标前三个月内银行出具的资信证明，或财政部门认可的政府采购专业担保机构出具的响应担保函</w:t>
      </w:r>
    </w:p>
    <w:p>
      <w:pPr>
        <w:pStyle w:val="null3"/>
      </w:pPr>
      <w:r>
        <w:rPr>
          <w:rFonts w:ascii="仿宋_GB2312" w:hAnsi="仿宋_GB2312" w:cs="仿宋_GB2312" w:eastAsia="仿宋_GB2312"/>
        </w:rPr>
        <w:t>3、具有履行合同所必需的设备和专业技术能力的书面声明：具有履行合同所必需的设备和专业技术能力的书面声明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4、税收缴纳证明：提供2025年3月以来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5、社会保障资金缴纳证明：提供2025年3月以来至少一个月的社会保障资金缴存单据或社保机构开具的社会保险参保缴费情况证明。依法不需要缴纳社会保障资金的供应商应提供相关文件证明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7、法定代表人委托授权书：非法定代表人参加磋商的，须提供法定代表人委托授权书及被授权人身份证，法定代表人参加磋商时,只须提供法定代表人身份证</w:t>
      </w:r>
    </w:p>
    <w:p>
      <w:pPr>
        <w:pStyle w:val="null3"/>
      </w:pPr>
      <w:r>
        <w:rPr>
          <w:rFonts w:ascii="仿宋_GB2312" w:hAnsi="仿宋_GB2312" w:cs="仿宋_GB2312" w:eastAsia="仿宋_GB2312"/>
        </w:rPr>
        <w:t>8、相关资质：具备建筑装修装饰工程专业承包二级及以上资质或建筑工程施工总承包三级及以上，有效期内的安全生产许可证</w:t>
      </w:r>
    </w:p>
    <w:p>
      <w:pPr>
        <w:pStyle w:val="null3"/>
      </w:pPr>
      <w:r>
        <w:rPr>
          <w:rFonts w:ascii="仿宋_GB2312" w:hAnsi="仿宋_GB2312" w:cs="仿宋_GB2312" w:eastAsia="仿宋_GB2312"/>
        </w:rPr>
        <w:t>9、项目经理：拟投入的项目经理须提供在本单位注册的建筑工程专业贰级（含贰级）以上注册建造师证书及有效的安全生产考核合格证，且未担任其他在建工程项目的项目经理（提供无在建工程的承诺函）</w:t>
      </w:r>
    </w:p>
    <w:p>
      <w:pPr>
        <w:pStyle w:val="null3"/>
      </w:pPr>
      <w:r>
        <w:rPr>
          <w:rFonts w:ascii="仿宋_GB2312" w:hAnsi="仿宋_GB2312" w:cs="仿宋_GB2312" w:eastAsia="仿宋_GB2312"/>
        </w:rPr>
        <w:t>10、外地企业备案：外地企业提供在“陕西省建筑市场监管与诚信信息一体化平台”上登记的基本信息界面截图</w:t>
      </w:r>
    </w:p>
    <w:p>
      <w:pPr>
        <w:pStyle w:val="null3"/>
      </w:pPr>
      <w:r>
        <w:rPr>
          <w:rFonts w:ascii="仿宋_GB2312" w:hAnsi="仿宋_GB2312" w:cs="仿宋_GB2312" w:eastAsia="仿宋_GB2312"/>
        </w:rPr>
        <w:t>11、非联合体投标：提供非联合体投标声明函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西安音乐学院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西安市长安中路108号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国资处</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029-88667464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杨帆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蹲便器、龙头、吊顶平板灯</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地砖、柱盆</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说明：在合同签订之前，中标供应商需向校方缴纳中标金额的 3%作为履约保证金。项目验收合格2年后，无质量问题再一次性无息退还。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代理服务费收费标准：中标服务费参照《招标代理服务收费暂行办法》（计价格[2002]1980 号）文件规定标准下浮20%计取。 供应商将招标代理服务费计入报价但不单独列明，成交单位在领取成交通知书前，须向采购代理机构一次性退还招标代理服务费；代理服务费以转账、电汇或现金等形式交纳。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踏勘时间：2026-05-13 09:30:00</w:t>
            </w:r>
          </w:p>
          <w:p>
            <w:pPr>
              <w:pStyle w:val="null3"/>
              <w:ind w:firstLine="975"/>
            </w:pPr>
            <w:r>
              <w:rPr>
                <w:rFonts w:ascii="仿宋_GB2312" w:hAnsi="仿宋_GB2312" w:cs="仿宋_GB2312" w:eastAsia="仿宋_GB2312"/>
              </w:rPr>
              <w:t>踏勘地点：西安音乐学院北门口集合</w:t>
            </w:r>
          </w:p>
          <w:p>
            <w:pPr>
              <w:pStyle w:val="null3"/>
              <w:ind w:firstLine="975"/>
            </w:pPr>
            <w:r>
              <w:rPr>
                <w:rFonts w:ascii="仿宋_GB2312" w:hAnsi="仿宋_GB2312" w:cs="仿宋_GB2312" w:eastAsia="仿宋_GB2312"/>
              </w:rPr>
              <w:t>联系人：董菊莉 杨帆</w:t>
            </w:r>
          </w:p>
          <w:p>
            <w:pPr>
              <w:pStyle w:val="null3"/>
              <w:ind w:firstLine="975"/>
            </w:pPr>
            <w:r>
              <w:rPr>
                <w:rFonts w:ascii="仿宋_GB2312" w:hAnsi="仿宋_GB2312" w:cs="仿宋_GB2312" w:eastAsia="仿宋_GB2312"/>
              </w:rPr>
              <w:t>联系电话号码：17778966061</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西安音乐学院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西安音乐学院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西安音乐学院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按采购文件、投标文件及合同约定执行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 7896 6061</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699,983.56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2026年暑期学生宿舍维修项目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标的名称：2026年暑期学生宿舍维修项目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项目概况及项目背景：</w:t>
            </w:r>
          </w:p>
          <w:p>
            <w:pPr>
              <w:pStyle w:val="null3"/>
            </w:pPr>
            <w:r>
              <w:rPr>
                <w:rFonts w:ascii="仿宋_GB2312" w:hAnsi="仿宋_GB2312" w:cs="仿宋_GB2312" w:eastAsia="仿宋_GB2312"/>
                <w:sz w:val="21"/>
              </w:rPr>
              <w:t>根据我校年度工作安排，为进一步完善学生公寓基础设施，提升学生公寓的住宿环境，保证宿舍基本设施安全且正常使用，结合我校学生公寓实际，现启动</w:t>
            </w:r>
            <w:r>
              <w:rPr>
                <w:rFonts w:ascii="仿宋_GB2312" w:hAnsi="仿宋_GB2312" w:cs="仿宋_GB2312" w:eastAsia="仿宋_GB2312"/>
                <w:sz w:val="21"/>
              </w:rPr>
              <w:t>2026年暑期毕业生宿舍修缮工程项目。</w:t>
            </w:r>
          </w:p>
          <w:p>
            <w:pPr>
              <w:pStyle w:val="null3"/>
            </w:pPr>
            <w:r>
              <w:rPr>
                <w:rFonts w:ascii="仿宋_GB2312" w:hAnsi="仿宋_GB2312" w:cs="仿宋_GB2312" w:eastAsia="仿宋_GB2312"/>
                <w:sz w:val="21"/>
              </w:rPr>
              <w:t>该项目属历年来暑期学生公寓常规修缮，维修内容主要为宿舍墙顶面粉刷、卫生间防水处理、卫生间吊顶更换、卫生间木门更换、宿舍内门窗维修、墙地砖修补、更换破损窗户玻璃、门锁更换、床板及方凳购置等。</w:t>
            </w:r>
          </w:p>
          <w:p>
            <w:pPr>
              <w:pStyle w:val="null3"/>
            </w:pPr>
            <w:r>
              <w:rPr>
                <w:rFonts w:ascii="仿宋_GB2312" w:hAnsi="仿宋_GB2312" w:cs="仿宋_GB2312" w:eastAsia="仿宋_GB2312"/>
                <w:sz w:val="21"/>
              </w:rPr>
              <w:t>项目施工材料要求合格、环保，性价比高，施工工艺符合规范，工程质量要求达到行业合格标准。项目实施旨在改善学生住宿环境，创建文明校园，增加学生爱校情感，提升学生幸福感获得感，进而提高学生的学习积极性和促进学生的身心健康发展。</w:t>
            </w:r>
          </w:p>
          <w:p>
            <w:pPr>
              <w:pStyle w:val="null3"/>
            </w:pPr>
            <w:r>
              <w:rPr>
                <w:rFonts w:ascii="仿宋_GB2312" w:hAnsi="仿宋_GB2312" w:cs="仿宋_GB2312" w:eastAsia="仿宋_GB2312"/>
                <w:sz w:val="21"/>
              </w:rPr>
              <w:t>经统计，毕业生宿舍约</w:t>
            </w:r>
            <w:r>
              <w:rPr>
                <w:rFonts w:ascii="仿宋_GB2312" w:hAnsi="仿宋_GB2312" w:cs="仿宋_GB2312" w:eastAsia="仿宋_GB2312"/>
                <w:sz w:val="21"/>
              </w:rPr>
              <w:t>200间，其它各类维修详见后附统计清单。项目最终以审定价为准予以结算。</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项目总体要求及参数：</w:t>
            </w:r>
          </w:p>
          <w:p>
            <w:pPr>
              <w:pStyle w:val="null3"/>
              <w:ind w:firstLine="200"/>
              <w:jc w:val="both"/>
            </w:pPr>
            <w:r>
              <w:rPr>
                <w:rFonts w:ascii="仿宋_GB2312" w:hAnsi="仿宋_GB2312" w:cs="仿宋_GB2312" w:eastAsia="仿宋_GB2312"/>
                <w:sz w:val="21"/>
              </w:rPr>
              <w:t>1、</w:t>
            </w:r>
            <w:r>
              <w:rPr>
                <w:rFonts w:ascii="仿宋_GB2312" w:hAnsi="仿宋_GB2312" w:cs="仿宋_GB2312" w:eastAsia="仿宋_GB2312"/>
                <w:sz w:val="21"/>
              </w:rPr>
              <w:t>材料使用方面，</w:t>
            </w:r>
            <w:r>
              <w:rPr>
                <w:rFonts w:ascii="仿宋_GB2312" w:hAnsi="仿宋_GB2312" w:cs="仿宋_GB2312" w:eastAsia="仿宋_GB2312"/>
                <w:sz w:val="21"/>
              </w:rPr>
              <w:t>需经采购人及监理验收合格后使用，</w:t>
            </w:r>
            <w:r>
              <w:rPr>
                <w:rFonts w:ascii="仿宋_GB2312" w:hAnsi="仿宋_GB2312" w:cs="仿宋_GB2312" w:eastAsia="仿宋_GB2312"/>
                <w:sz w:val="21"/>
              </w:rPr>
              <w:t>材质要求合格合规、环保</w:t>
            </w:r>
            <w:r>
              <w:rPr>
                <w:rFonts w:ascii="仿宋_GB2312" w:hAnsi="仿宋_GB2312" w:cs="仿宋_GB2312" w:eastAsia="仿宋_GB2312"/>
                <w:sz w:val="21"/>
              </w:rPr>
              <w:t>；</w:t>
            </w:r>
          </w:p>
          <w:p>
            <w:pPr>
              <w:pStyle w:val="null3"/>
              <w:ind w:firstLine="200"/>
              <w:jc w:val="both"/>
            </w:pPr>
            <w:r>
              <w:rPr>
                <w:rFonts w:ascii="仿宋_GB2312" w:hAnsi="仿宋_GB2312" w:cs="仿宋_GB2312" w:eastAsia="仿宋_GB2312"/>
                <w:sz w:val="21"/>
              </w:rPr>
              <w:t>2、</w:t>
            </w:r>
            <w:r>
              <w:rPr>
                <w:rFonts w:ascii="仿宋_GB2312" w:hAnsi="仿宋_GB2312" w:cs="仿宋_GB2312" w:eastAsia="仿宋_GB2312"/>
                <w:sz w:val="21"/>
              </w:rPr>
              <w:t>施工工艺符合规范；</w:t>
            </w:r>
          </w:p>
          <w:p>
            <w:pPr>
              <w:pStyle w:val="null3"/>
              <w:ind w:firstLine="200"/>
              <w:jc w:val="both"/>
            </w:pPr>
            <w:r>
              <w:rPr>
                <w:rFonts w:ascii="仿宋_GB2312" w:hAnsi="仿宋_GB2312" w:cs="仿宋_GB2312" w:eastAsia="仿宋_GB2312"/>
                <w:sz w:val="21"/>
              </w:rPr>
              <w:t>3、施工期间宿舍内设施（如空调、床、衣柜等）必须进行覆盖，施工完后对整个宿舍进行精细保洁，达到无垃圾无灰尘。</w:t>
            </w:r>
          </w:p>
          <w:p>
            <w:pPr>
              <w:pStyle w:val="null3"/>
              <w:ind w:firstLine="200"/>
              <w:jc w:val="both"/>
            </w:pPr>
            <w:r>
              <w:rPr>
                <w:rFonts w:ascii="仿宋_GB2312" w:hAnsi="仿宋_GB2312" w:cs="仿宋_GB2312" w:eastAsia="仿宋_GB2312"/>
                <w:sz w:val="21"/>
              </w:rPr>
              <w:t>4</w:t>
            </w:r>
            <w:r>
              <w:rPr>
                <w:rFonts w:ascii="仿宋_GB2312" w:hAnsi="仿宋_GB2312" w:cs="仿宋_GB2312" w:eastAsia="仿宋_GB2312"/>
                <w:sz w:val="21"/>
              </w:rPr>
              <w:t>、工程量清单见附件</w:t>
            </w:r>
            <w:r>
              <w:rPr>
                <w:rFonts w:ascii="仿宋_GB2312" w:hAnsi="仿宋_GB2312" w:cs="仿宋_GB2312" w:eastAsia="仿宋_GB2312"/>
                <w:sz w:val="21"/>
              </w:rPr>
              <w:t>；</w:t>
            </w:r>
          </w:p>
          <w:p>
            <w:pPr>
              <w:pStyle w:val="null3"/>
            </w:pPr>
            <w:r>
              <w:rPr>
                <w:rFonts w:ascii="仿宋_GB2312" w:hAnsi="仿宋_GB2312" w:cs="仿宋_GB2312" w:eastAsia="仿宋_GB2312"/>
                <w:sz w:val="21"/>
              </w:rPr>
              <w:t>5、在合同签订之前，中标供应商需向校方缴纳中标金额的3%作为履约保证金。项目验收合格后该履约保证金自动转为质保金，待质保期（2年）到后，无质量问题再一次性无息退还。</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一、商务要求： 1、完工周期：30日历天 2、质保期：装修工程2年；防水工程5年 3、付款方式：本工程无预付款；工程竣工验收合格并经采购人审定后，一次性付至工程审定价的100%。 二、供应商需要在线提交所有通过电子化交易平台实施的政府采购项目的投标文件，同时，线下提交纸质投标文件正本壹份、副本壹份；若电子投标文件与纸质投标文件不一致的，以电子投标文件为准；投标文件正、副本分别各自装订成册密封，在封口处加盖供应商公章；纸质投标文件递交截止时间与线上开评标时间一致；纸质投标文件可邮寄递交，应于递交投标文件截止时间前邮寄到代理机构（西安市雁塔区科技路30号合力紫郡B座21层第一会议室）。 三、投标保证金以电子保函形式递交需在开标前给shanxizhuoming_zb@163.com发一份扫描件。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响应文件截止时间不足一年的可提供成立后任意时段的资产负债表），或其开标前三个月内银行出具的资信证明，或财政部门认可的政府采购专业担保机构出具的响应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提供2025年3月以来任意一个月的依法缴纳税收的相关凭据（时间以税款所属日期为准），凭据应有税务机关或代收机关的公章或业务专用章。依法免税或无须缴纳税收的供应商，应提供相应证明文件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提供2025年3月以来至少一个月的社会保障资金缴存单据或社保机构开具的社会保险参保缴费情况证明。依法不需要缴纳社会保障资金的供应商应提供相关文件证明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非法定代表人参加磋商的，须提供法定代表人委托授权书及被授权人身份证，法定代表人参加磋商时,只须提供法定代表人身份证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相关资质</w:t>
            </w:r>
          </w:p>
        </w:tc>
        <w:tc>
          <w:tcPr>
            <w:tcW w:type="dxa" w:w="3322"/>
          </w:tcPr>
          <w:p>
            <w:pPr>
              <w:pStyle w:val="null3"/>
            </w:pPr>
            <w:r>
              <w:rPr>
                <w:rFonts w:ascii="仿宋_GB2312" w:hAnsi="仿宋_GB2312" w:cs="仿宋_GB2312" w:eastAsia="仿宋_GB2312"/>
              </w:rPr>
              <w:t>具备建筑装修装饰工程专业承包二级及以上资质或建筑工程施工总承包三级及以上，有效期内的安全生产许可证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拟投入的项目经理须提供在本单位注册的建筑工程专业贰级（含贰级）以上注册建造师证书及有效的安全生产考核合格证，且未担任其他在建工程项目的项目经理（提供无在建工程的承诺函）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外地企业备案</w:t>
            </w:r>
          </w:p>
        </w:tc>
        <w:tc>
          <w:tcPr>
            <w:tcW w:type="dxa" w:w="3322"/>
          </w:tcPr>
          <w:p>
            <w:pPr>
              <w:pStyle w:val="null3"/>
            </w:pPr>
            <w:r>
              <w:rPr>
                <w:rFonts w:ascii="仿宋_GB2312" w:hAnsi="仿宋_GB2312" w:cs="仿宋_GB2312" w:eastAsia="仿宋_GB2312"/>
              </w:rPr>
              <w:t>外地企业提供在“陕西省建筑市场监管与诚信信息一体化平台”上登记的基本信息界面截图</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提供非联合体投标声明函</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 3.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已标价工程量清单 强制、优先采购产品承诺函.docx 报价函 供应商认为有必要说明的其他问题.docx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投标文件的签署、盖章符合采购文件要求 （合格） 投标文件的签署、盖章不符合采购文件要求 (不合格)</w:t>
            </w:r>
          </w:p>
        </w:tc>
        <w:tc>
          <w:tcPr>
            <w:tcW w:type="dxa" w:w="1661"/>
          </w:tcPr>
          <w:p>
            <w:pPr>
              <w:pStyle w:val="null3"/>
            </w:pPr>
            <w:r>
              <w:rPr>
                <w:rFonts w:ascii="仿宋_GB2312" w:hAnsi="仿宋_GB2312" w:cs="仿宋_GB2312" w:eastAsia="仿宋_GB2312"/>
              </w:rPr>
              <w:t>响应文件封面 已标价工程量清单 供应商资格要求.docx 中小企业声明函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响应报价未超过采购预算或最高限价（合格） 响应报价超过采购预算或最高限价（不合格）</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完工周期</w:t>
            </w:r>
          </w:p>
        </w:tc>
        <w:tc>
          <w:tcPr>
            <w:tcW w:type="dxa" w:w="3322"/>
          </w:tcPr>
          <w:p>
            <w:pPr>
              <w:pStyle w:val="null3"/>
            </w:pPr>
            <w:r>
              <w:rPr>
                <w:rFonts w:ascii="仿宋_GB2312" w:hAnsi="仿宋_GB2312" w:cs="仿宋_GB2312" w:eastAsia="仿宋_GB2312"/>
              </w:rPr>
              <w:t>完工周期满足采购文件要求（合格） 完工周期不满足采购文件要求（不合格）</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质保期满足采购文件要求（合格） 质保期不满足采购文件要求（不合格）</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响应文件投标有效期达到竞争性磋商文件要求的（合格） 响应文件无投标有效期或有效期达不到竞争性磋商文件要求的（不合格）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工程量</w:t>
            </w:r>
          </w:p>
        </w:tc>
        <w:tc>
          <w:tcPr>
            <w:tcW w:type="dxa" w:w="3322"/>
          </w:tcPr>
          <w:p>
            <w:pPr>
              <w:pStyle w:val="null3"/>
            </w:pPr>
            <w:r>
              <w:rPr>
                <w:rFonts w:ascii="仿宋_GB2312" w:hAnsi="仿宋_GB2312" w:cs="仿宋_GB2312" w:eastAsia="仿宋_GB2312"/>
              </w:rPr>
              <w:t>响应文件未出现工程量漏项或工程量清单与要求相符的（合格） 响应文件出现工程量漏项或工程量清单与要求不符的（不合格）</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 其他无效情形(合格)，存在法律、法规和招标文件规定的其他无效情形(不合格)</w:t>
            </w:r>
          </w:p>
        </w:tc>
        <w:tc>
          <w:tcPr>
            <w:tcW w:type="dxa" w:w="1661"/>
          </w:tcPr>
          <w:p>
            <w:pPr>
              <w:pStyle w:val="null3"/>
            </w:pPr>
            <w:r>
              <w:rPr>
                <w:rFonts w:ascii="仿宋_GB2312" w:hAnsi="仿宋_GB2312" w:cs="仿宋_GB2312" w:eastAsia="仿宋_GB2312"/>
              </w:rPr>
              <w:t>强制、优先采购产品承诺函.docx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施工组织方案</w:t>
            </w:r>
          </w:p>
        </w:tc>
        <w:tc>
          <w:tcPr>
            <w:tcW w:type="dxa" w:w="2492"/>
          </w:tcPr>
          <w:p>
            <w:pPr>
              <w:pStyle w:val="null3"/>
            </w:pPr>
            <w:r>
              <w:rPr>
                <w:rFonts w:ascii="仿宋_GB2312" w:hAnsi="仿宋_GB2312" w:cs="仿宋_GB2312" w:eastAsia="仿宋_GB2312"/>
              </w:rPr>
              <w:t>一、评审内容 供应商针对本项目提供施工组织方案。内容包括①总体施工部署；②分项工程施工工艺（墙面粉刷、防水、吊顶、门窗维修等）；③施工进度计划及保障措施。 二、评审标准 1.完整性：方案须全面，对评审内容中的各项要求描述详细；2.可实施性：切合本项目实际情况，实施步骤清晰、合理； 3.针对性：方案能够紧扣项目实际情况，内容科学合理。 三、赋分依据 ①总体施工部署：每完全满足一个评审标准得1分，基本满足得0.5分，不能满足或未提供的不得分，满分3分。 ②分项工程施工工艺（墙面粉刷、防水、吊顶、门窗维修等）：每完全满足一个评审标准得1分，基本满足得0.5分，不能满足或未提供的不得分，满分3分。 ③施工进度计划及保障措施：每完全满足一个评审标准得1分，基本满足得0.5分，不能满足或未提供的不得分，满分3分。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供应商针对本项目提供确保工程质量的技术组织措施。内容包括①全过程质量检查制度；②材料进场验收及环保检测措施；③与校方协调配合及宿舍管理方案。 二、评审标准 1.完整性：方案须全面，对评审内容中的各项要求描述详细；2.可实施性：切合本项目实际情况，实施步骤清晰、合理； 3.针对性：方案能够紧扣项目实际情况，内容科学合理。 三、赋分依据 ①全过程质量检查制度：每完全满足一个评审标准得1分，基本满足得0.5分，不能满足或未提供的不得分，满分3分。②材料进场验收及环保检测措施：每完全满足一个评审标准得1分，基本满足得0.5分，不能满足或未提供的不得分，满分3分。③与校方协调配合及宿舍管理方案：每完全满足一个评审标准得1分，基本满足得0.5分，不能满足或未提供的不得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一、评审内容 供应商针对本项目提供确保工期的技术组织措施（施工计划网络图或横道图）。内容包括①暑期施工时间节点控制；②人员、材料、机械调配计划；③分析确定重点工程工期。 二、评审标准 1.完整性：方案须全面，对评审内容中的各项要求描述详细；2.可实施性：切合本项目实际情况，实施步骤清晰、合理； 3.针对性：方案能够紧扣项目实际情况，内容科学合理。 三、赋分依据 ①暑期施工时间节点控制：每完全满足一个评审标准得1分，基本满足得0.5分，不能满足或未提供的不得分，满分3分。 ②人员、材料、机械调配计划：每完全满足一个评审标准得1分，基本满足得0.5分，不能满足或未提供的不得分，满分3分。③分析确定重点工程工期：每完全满足一个评审标准得1分，基本满足得0.5分，不能满足或未提供的不得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工期保证措施.docx</w:t>
            </w:r>
          </w:p>
        </w:tc>
      </w:tr>
      <w:tr>
        <w:tc>
          <w:tcPr>
            <w:tcW w:type="dxa" w:w="831"/>
            <w:vMerge/>
          </w:tcPr>
          <w:p/>
        </w:tc>
        <w:tc>
          <w:tcPr>
            <w:tcW w:type="dxa" w:w="1661"/>
          </w:tcPr>
          <w:p>
            <w:pPr>
              <w:pStyle w:val="null3"/>
            </w:pPr>
            <w:r>
              <w:rPr>
                <w:rFonts w:ascii="仿宋_GB2312" w:hAnsi="仿宋_GB2312" w:cs="仿宋_GB2312" w:eastAsia="仿宋_GB2312"/>
              </w:rPr>
              <w:t>安全、文明施工措施及环境保护措施</w:t>
            </w:r>
          </w:p>
        </w:tc>
        <w:tc>
          <w:tcPr>
            <w:tcW w:type="dxa" w:w="2492"/>
          </w:tcPr>
          <w:p>
            <w:pPr>
              <w:pStyle w:val="null3"/>
            </w:pPr>
            <w:r>
              <w:rPr>
                <w:rFonts w:ascii="仿宋_GB2312" w:hAnsi="仿宋_GB2312" w:cs="仿宋_GB2312" w:eastAsia="仿宋_GB2312"/>
              </w:rPr>
              <w:t>一、评审内容 供应商针对本项目提供安全、文明施工措施及环境保护措施。内容包括①安全施工保证措施；②文明施工措施；③环境保护措施。 二、评审标准 1.完整性：方案须全面，对评审内容中的各项要求描述详细；2.可实施性：切合本项目实际情况，实施步骤清晰、合理； 3.针对性：方案能够紧扣项目实际情况，内容科学合理。 三、赋分依据 ①安全施工保证措施：每完全满足一个评审标准得1分，基本满足得0.5分，不能满足或未提供的不得分，满分3分。②文明施工措施：每完全满足一个评审标准得1分，基本满足得0.5分，不能满足或未提供的不得分，满分3分。③环境保护措施：每完全满足一个评审标准得1分，基本满足得0.5分，不能满足或未提供的不得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安全、文明施工措施及环境保护措施.docx</w:t>
            </w:r>
          </w:p>
        </w:tc>
      </w:tr>
      <w:tr>
        <w:tc>
          <w:tcPr>
            <w:tcW w:type="dxa" w:w="831"/>
            <w:vMerge/>
          </w:tcPr>
          <w:p/>
        </w:tc>
        <w:tc>
          <w:tcPr>
            <w:tcW w:type="dxa" w:w="1661"/>
          </w:tcPr>
          <w:p>
            <w:pPr>
              <w:pStyle w:val="null3"/>
            </w:pPr>
            <w:r>
              <w:rPr>
                <w:rFonts w:ascii="仿宋_GB2312" w:hAnsi="仿宋_GB2312" w:cs="仿宋_GB2312" w:eastAsia="仿宋_GB2312"/>
              </w:rPr>
              <w:t>项目管理机构劳动力安排及施工机械配备</w:t>
            </w:r>
          </w:p>
        </w:tc>
        <w:tc>
          <w:tcPr>
            <w:tcW w:type="dxa" w:w="2492"/>
          </w:tcPr>
          <w:p>
            <w:pPr>
              <w:pStyle w:val="null3"/>
            </w:pPr>
            <w:r>
              <w:rPr>
                <w:rFonts w:ascii="仿宋_GB2312" w:hAnsi="仿宋_GB2312" w:cs="仿宋_GB2312" w:eastAsia="仿宋_GB2312"/>
              </w:rPr>
              <w:t>一、评审内容 供应商针对本项目提供项目管理机构劳动力安排及施工机械配备。内容包括①项目管理团队、技术工人队伍及其他辅助工人安排配备及职责(含专业）；②施工机械配备投入计划。 二、评审标准 1.完整性：方案须全面，对评审内容中的各项要求描述详细；2.可实施性：切合本项目实际情况，实施步骤清晰、合理； 3.针对性：方案能够紧扣项目实际情况，内容科学合理。 三、赋分依据 ①项目管理团队、技术工人队伍及其他辅助工人安排配备及职责(含专业）：每完全满足一个评审标准得1分，基本满足得0.5分，不能满足或未提供的不得分，满分3分。②施工机械配备投入计划：每完全满足一个评审标准得1分，基本满足得0.5分，不能满足或未提供的不得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项目管理机构劳动力安排及施工机械配备.docx</w:t>
            </w:r>
          </w:p>
        </w:tc>
      </w:tr>
      <w:tr>
        <w:tc>
          <w:tcPr>
            <w:tcW w:type="dxa" w:w="831"/>
            <w:vMerge/>
          </w:tcPr>
          <w:p/>
        </w:tc>
        <w:tc>
          <w:tcPr>
            <w:tcW w:type="dxa" w:w="1661"/>
          </w:tcPr>
          <w:p>
            <w:pPr>
              <w:pStyle w:val="null3"/>
            </w:pPr>
            <w:r>
              <w:rPr>
                <w:rFonts w:ascii="仿宋_GB2312" w:hAnsi="仿宋_GB2312" w:cs="仿宋_GB2312" w:eastAsia="仿宋_GB2312"/>
              </w:rPr>
              <w:t>主要材料</w:t>
            </w:r>
          </w:p>
        </w:tc>
        <w:tc>
          <w:tcPr>
            <w:tcW w:type="dxa" w:w="2492"/>
          </w:tcPr>
          <w:p>
            <w:pPr>
              <w:pStyle w:val="null3"/>
            </w:pPr>
            <w:r>
              <w:rPr>
                <w:rFonts w:ascii="仿宋_GB2312" w:hAnsi="仿宋_GB2312" w:cs="仿宋_GB2312" w:eastAsia="仿宋_GB2312"/>
              </w:rPr>
              <w:t>一、评审内容 供应商针对本项目提供应急预案。内容包括①主要材料清单完整及实用性；②主要材料品牌及性能；③主要材料质保及环保承诺。 二、评审标准 1.完整性：方案须全面，对评审内容中的各项要求描述详细；2.可实施性：切合本项目实际情况，实施步骤清晰、合理； 3.针对性：方案能够紧扣项目实际情况，内容科学合理。 三、赋分依据 ①主要材料清单完整及实用性：每完全满足一个评审标准得1分，基本满足得0.5分，不能满足或未提供的不得分，满分3分。②主要材料品牌及性能：每完全满足一个评审标准得1分，基本满足得0.5分，不能满足或未提供的不得分，满分3分。 ③主要材料质保及环保承诺：每完全满足一个评审标准得1分，基本满足得0.5分，不能满足或未提供的不得分，满分3分。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主要材料.docx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供应商针对本项目提供应急预案。内容包括①工期保障类应急预案；②安全类应急预案；③环境及第三方影响类应急预案。 二、评审标准 1.完整性：方案须全面，对评审内容中的各项要求描述详细；2.可实施性：切合本项目实际情况，实施步骤清晰、合理； 3.针对性：方案能够紧扣项目实际情况，内容科学合理。 三、赋分依据 ①工期保障类应急预案：每完全满足一个评审标准得1分，基本满足得0.5分，不能满足或未提供的不得分，满分3分。②安全类应急预案：每完全满足一个评审标准得1分，基本满足得0.5分，不能满足或未提供的不得分，满分3分。 ③环境及第三方影响类应急预案：每完全满足一个评审标准得1分，基本满足得0.5分，不能满足或未提供的不得分，满分3分。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供应商针对本项目提供服务承诺。内容包括①质保期承诺；②维修响应及售后服务措施。 二、评审标准 1.完整性：方案须全面，对评审内容中的各项要求描述详细；2.可实施性：切合本项目实际情况，实施步骤清晰、合理； 3.针对性：方案能够紧扣项目实际情况，内容科学合理。 三、赋分依据 ①质保期承诺：每完全满足一个评审标准得1分，基本满足得0.5分，不能满足或未提供的不得分，满分3分。 ②维修响应及售后服务措施：每完全满足一个评审标准得1分，基本满足得0.5分，不能满足或未提供的不得分，满分3分。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提供供应商2023年1月1日至今(以合同签订日期为准)类似业绩证明材料，每份有效业绩计1分，满分4分。 备注：提供合同协复印件加盖供应商公章。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价格分统一采用低价优先法计算，即满足采购文件要求且最终报价最低的供应商价格为磋商基准价，其价格分为满分。其他供应商的价格分统一按照下列公式计算：价格分=(磋商基准价／最终响应报价)×报价分值 落实《关于推动解决政府采购异常低价问题的通知》财库〔2026〕2号相关要求。</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详见附件：施工组织方案.docx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详见附件：工期保证措施.docx</w:t>
      </w:r>
    </w:p>
    <w:p>
      <w:pPr>
        <w:pStyle w:val="null3"/>
        <w:ind w:firstLine="960"/>
      </w:pPr>
      <w:r>
        <w:rPr>
          <w:rFonts w:ascii="仿宋_GB2312" w:hAnsi="仿宋_GB2312" w:cs="仿宋_GB2312" w:eastAsia="仿宋_GB2312"/>
        </w:rPr>
        <w:t>详见附件：安全、文明施工措施及环境保护措施.docx</w:t>
      </w:r>
    </w:p>
    <w:p>
      <w:pPr>
        <w:pStyle w:val="null3"/>
        <w:ind w:firstLine="960"/>
      </w:pPr>
      <w:r>
        <w:rPr>
          <w:rFonts w:ascii="仿宋_GB2312" w:hAnsi="仿宋_GB2312" w:cs="仿宋_GB2312" w:eastAsia="仿宋_GB2312"/>
        </w:rPr>
        <w:t>详见附件：项目管理机构劳动力安排及施工机械配备.docx</w:t>
      </w:r>
    </w:p>
    <w:p>
      <w:pPr>
        <w:pStyle w:val="null3"/>
        <w:ind w:firstLine="960"/>
      </w:pPr>
      <w:r>
        <w:rPr>
          <w:rFonts w:ascii="仿宋_GB2312" w:hAnsi="仿宋_GB2312" w:cs="仿宋_GB2312" w:eastAsia="仿宋_GB2312"/>
        </w:rPr>
        <w:t>详见附件：主要材料.docx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