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640647">
      <w:pPr>
        <w:overflowPunct w:val="0"/>
        <w:topLinePunct/>
        <w:adjustRightInd w:val="0"/>
        <w:snapToGrid w:val="0"/>
        <w:spacing w:after="156" w:afterLines="50" w:line="360" w:lineRule="auto"/>
        <w:jc w:val="center"/>
        <w:outlineLvl w:val="2"/>
        <w:rPr>
          <w:rFonts w:hint="eastAsia" w:asciiTheme="minorEastAsia" w:hAnsiTheme="minorEastAsia" w:eastAsiaTheme="minorEastAsia" w:cstheme="minorEastAsia"/>
          <w:spacing w:val="7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0"/>
          <w:shd w:val="clear" w:color="auto" w:fill="FFFFFF"/>
        </w:rPr>
        <w:t>主要商务条</w:t>
      </w:r>
      <w:r>
        <w:rPr>
          <w:rFonts w:hint="eastAsia" w:ascii="宋体" w:hAnsi="宋体"/>
          <w:b/>
          <w:bCs/>
          <w:sz w:val="32"/>
          <w:szCs w:val="30"/>
          <w:shd w:val="clear" w:color="auto" w:fill="FFFFFF"/>
        </w:rPr>
        <w:t>款响应</w:t>
      </w:r>
      <w:r>
        <w:rPr>
          <w:rFonts w:hint="eastAsia" w:ascii="宋体" w:hAnsi="宋体"/>
          <w:b/>
          <w:bCs/>
          <w:sz w:val="32"/>
          <w:szCs w:val="30"/>
          <w:shd w:val="clear" w:color="auto" w:fill="FFFFFF"/>
          <w:lang w:val="en-US" w:eastAsia="zh-CN"/>
        </w:rPr>
        <w:t>偏离表</w:t>
      </w:r>
    </w:p>
    <w:tbl>
      <w:tblPr>
        <w:tblStyle w:val="8"/>
        <w:tblW w:w="4998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6105"/>
        <w:gridCol w:w="1556"/>
      </w:tblGrid>
      <w:tr w14:paraId="0858873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4191" w:type="pct"/>
            <w:gridSpan w:val="2"/>
            <w:tcBorders>
              <w:tl2br w:val="nil"/>
              <w:tr2bl w:val="nil"/>
            </w:tcBorders>
            <w:vAlign w:val="center"/>
          </w:tcPr>
          <w:p w14:paraId="3F2A53B3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/>
              </w:rPr>
              <w:t>磋商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eastAsia="zh-CN"/>
              </w:rPr>
              <w:t>文件主要商务条款要求</w:t>
            </w:r>
          </w:p>
        </w:tc>
        <w:tc>
          <w:tcPr>
            <w:tcW w:w="808" w:type="pct"/>
            <w:tcBorders>
              <w:tl2br w:val="nil"/>
              <w:tr2bl w:val="nil"/>
            </w:tcBorders>
            <w:vAlign w:val="center"/>
          </w:tcPr>
          <w:p w14:paraId="506F2325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eastAsia="en-US"/>
              </w:rPr>
              <w:t>偏离说明</w:t>
            </w:r>
          </w:p>
        </w:tc>
      </w:tr>
      <w:tr w14:paraId="785ECFB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020" w:type="pct"/>
            <w:tcBorders>
              <w:tl2br w:val="nil"/>
              <w:tr2bl w:val="nil"/>
            </w:tcBorders>
            <w:vAlign w:val="center"/>
          </w:tcPr>
          <w:p w14:paraId="2522E967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/>
              </w:rPr>
              <w:t>支付</w:t>
            </w:r>
          </w:p>
        </w:tc>
        <w:tc>
          <w:tcPr>
            <w:tcW w:w="3171" w:type="pct"/>
            <w:tcBorders>
              <w:tl2br w:val="nil"/>
              <w:tr2bl w:val="nil"/>
            </w:tcBorders>
            <w:vAlign w:val="center"/>
          </w:tcPr>
          <w:p w14:paraId="40992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/>
              </w:rPr>
              <w:t>1.预付款，签订合同后，采购人收到正式发票，达到付款条件起20个工作日内，支付合同总金额的40.0%</w:t>
            </w:r>
          </w:p>
          <w:p w14:paraId="67189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/>
              </w:rPr>
              <w:t>2.进度款，全部服务内容完成并通过联合验收合格后，达到付款条件起20个工作日内，支付合同总金额的50.0%</w:t>
            </w:r>
          </w:p>
          <w:p w14:paraId="1416D9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/>
              </w:rPr>
              <w:t>3.进度款，维保期内（验收合格后3个月）设备运行正常，且中标人不存在其他违约责任的，维保期结束后，达到付款条件起20个工作日内，支付合同总金额的10.0%</w:t>
            </w:r>
          </w:p>
        </w:tc>
        <w:tc>
          <w:tcPr>
            <w:tcW w:w="808" w:type="pct"/>
            <w:tcBorders>
              <w:tl2br w:val="nil"/>
              <w:tr2bl w:val="nil"/>
            </w:tcBorders>
          </w:tcPr>
          <w:p w14:paraId="6F907C08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eastAsia="zh-CN"/>
              </w:rPr>
            </w:pPr>
          </w:p>
        </w:tc>
      </w:tr>
      <w:tr w14:paraId="53E6861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020" w:type="pct"/>
            <w:tcBorders>
              <w:tl2br w:val="nil"/>
              <w:tr2bl w:val="nil"/>
            </w:tcBorders>
            <w:vAlign w:val="center"/>
          </w:tcPr>
          <w:p w14:paraId="41E32503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en-US"/>
              </w:rPr>
              <w:t>售后服务要求</w:t>
            </w:r>
          </w:p>
        </w:tc>
        <w:tc>
          <w:tcPr>
            <w:tcW w:w="3171" w:type="pct"/>
            <w:tcBorders>
              <w:tl2br w:val="nil"/>
              <w:tr2bl w:val="nil"/>
            </w:tcBorders>
            <w:vAlign w:val="center"/>
          </w:tcPr>
          <w:p w14:paraId="2999A6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/>
              </w:rPr>
              <w:t>1.搬迁或安装过程中设备有损坏无法完成安装调试的，由中标人负责维修，维修需在15天内完成且达到搬迁前测试技术指标，未能在15天内完成维修工作的，需提供同品牌、同型号或高于原有配置仪器设备的换新服务，换新费用由中标人承担。</w:t>
            </w:r>
          </w:p>
          <w:p w14:paraId="679C0E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/>
              </w:rPr>
              <w:t>2.本项目搬迁服务结束并经验收合格后有3个月的维保期，维保期内有设备损坏，由中标人负责维修，维修需在15天内完成且达到搬迁前测试技术指标，未能在15天内完成维修工作的，需提供同品牌、同型号或高于原有配置仪器设备的换新服务，换新费用由中标人承担。</w:t>
            </w:r>
          </w:p>
        </w:tc>
        <w:tc>
          <w:tcPr>
            <w:tcW w:w="808" w:type="pct"/>
            <w:tcBorders>
              <w:tl2br w:val="nil"/>
              <w:tr2bl w:val="nil"/>
            </w:tcBorders>
          </w:tcPr>
          <w:p w14:paraId="093DF9B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eastAsia="zh-CN"/>
              </w:rPr>
            </w:pPr>
          </w:p>
        </w:tc>
      </w:tr>
    </w:tbl>
    <w:p w14:paraId="1A7A147A">
      <w:pPr>
        <w:widowControl/>
        <w:kinsoku w:val="0"/>
        <w:overflowPunct w:val="0"/>
        <w:autoSpaceDE w:val="0"/>
        <w:autoSpaceDN w:val="0"/>
        <w:adjustRightInd w:val="0"/>
        <w:snapToGrid w:val="0"/>
        <w:spacing w:line="400" w:lineRule="exact"/>
        <w:jc w:val="left"/>
        <w:textAlignment w:val="baseline"/>
        <w:rPr>
          <w:rFonts w:hint="eastAsia" w:asciiTheme="minorEastAsia" w:hAnsiTheme="minorEastAsia" w:eastAsiaTheme="minorEastAsia" w:cstheme="minorEastAsia"/>
          <w:color w:val="000000"/>
          <w:kern w:val="0"/>
          <w:sz w:val="22"/>
          <w:szCs w:val="22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2"/>
          <w:szCs w:val="22"/>
          <w:lang w:eastAsia="zh-CN"/>
        </w:rPr>
        <w:t>说明：</w:t>
      </w:r>
    </w:p>
    <w:p w14:paraId="64A8EC6E">
      <w:pPr>
        <w:widowControl/>
        <w:kinsoku w:val="0"/>
        <w:overflowPunct w:val="0"/>
        <w:autoSpaceDE w:val="0"/>
        <w:autoSpaceDN w:val="0"/>
        <w:adjustRightInd w:val="0"/>
        <w:snapToGrid w:val="0"/>
        <w:spacing w:line="400" w:lineRule="exact"/>
        <w:jc w:val="left"/>
        <w:textAlignment w:val="baseline"/>
        <w:rPr>
          <w:rFonts w:hint="eastAsia" w:asciiTheme="minorEastAsia" w:hAnsiTheme="minorEastAsia" w:eastAsiaTheme="minorEastAsia" w:cstheme="minorEastAsia"/>
          <w:color w:val="000000"/>
          <w:kern w:val="0"/>
          <w:sz w:val="22"/>
          <w:szCs w:val="22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2"/>
          <w:szCs w:val="22"/>
          <w:lang w:eastAsia="zh-CN"/>
        </w:rPr>
        <w:t>1.偏离说明填写：优于、相同、低于。未填写视为低于。</w:t>
      </w:r>
    </w:p>
    <w:p w14:paraId="4182A333">
      <w:pPr>
        <w:widowControl/>
        <w:kinsoku w:val="0"/>
        <w:overflowPunct w:val="0"/>
        <w:autoSpaceDE w:val="0"/>
        <w:autoSpaceDN w:val="0"/>
        <w:adjustRightInd w:val="0"/>
        <w:snapToGrid w:val="0"/>
        <w:spacing w:line="400" w:lineRule="exact"/>
        <w:jc w:val="left"/>
        <w:textAlignment w:val="baseline"/>
        <w:rPr>
          <w:rFonts w:hint="eastAsia" w:asciiTheme="minorEastAsia" w:hAnsiTheme="minorEastAsia" w:eastAsiaTheme="minorEastAsia" w:cstheme="minorEastAsia"/>
          <w:color w:val="000000"/>
          <w:kern w:val="0"/>
          <w:sz w:val="22"/>
          <w:szCs w:val="22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kern w:val="0"/>
          <w:sz w:val="22"/>
          <w:szCs w:val="22"/>
          <w:lang w:eastAsia="zh-CN"/>
        </w:rPr>
        <w:t>2.主要商务条款不允许负偏离（低于）。</w:t>
      </w:r>
    </w:p>
    <w:p w14:paraId="532433A7">
      <w:pPr>
        <w:widowControl/>
        <w:kinsoku w:val="0"/>
        <w:overflowPunct w:val="0"/>
        <w:autoSpaceDE w:val="0"/>
        <w:autoSpaceDN w:val="0"/>
        <w:adjustRightInd w:val="0"/>
        <w:snapToGrid w:val="0"/>
        <w:spacing w:line="400" w:lineRule="exact"/>
        <w:ind w:firstLine="480"/>
        <w:jc w:val="left"/>
        <w:textAlignment w:val="baseline"/>
        <w:rPr>
          <w:rFonts w:hint="eastAsia" w:asciiTheme="minorEastAsia" w:hAnsiTheme="minorEastAsia" w:eastAsiaTheme="minorEastAsia" w:cstheme="minorEastAsia"/>
          <w:b/>
          <w:color w:val="000000"/>
          <w:kern w:val="0"/>
          <w:sz w:val="22"/>
          <w:szCs w:val="22"/>
          <w:lang w:eastAsia="zh-CN"/>
        </w:rPr>
      </w:pPr>
      <w:bookmarkStart w:id="0" w:name="_GoBack"/>
      <w:bookmarkEnd w:id="0"/>
    </w:p>
    <w:p w14:paraId="30A12245">
      <w:pPr>
        <w:rPr>
          <w:rFonts w:hint="eastAsia" w:asciiTheme="minorEastAsia" w:hAnsiTheme="minorEastAsia" w:eastAsiaTheme="minorEastAsia" w:cstheme="minorEastAsia"/>
          <w:spacing w:val="7"/>
          <w:kern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7"/>
          <w:kern w:val="0"/>
          <w:sz w:val="24"/>
          <w:szCs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pacing w:val="7"/>
          <w:kern w:val="0"/>
          <w:sz w:val="24"/>
          <w:szCs w:val="24"/>
          <w:lang w:eastAsia="zh-CN"/>
        </w:rPr>
        <w:t>：（盖公章）</w:t>
      </w:r>
    </w:p>
    <w:p w14:paraId="3C5296CB">
      <w:pPr>
        <w:overflowPunct w:val="0"/>
        <w:adjustRightInd w:val="0"/>
        <w:snapToGrid w:val="0"/>
        <w:spacing w:line="500" w:lineRule="exact"/>
        <w:jc w:val="both"/>
        <w:rPr>
          <w:rFonts w:cs="仿宋_GB2312" w:asciiTheme="minorEastAsia" w:hAnsiTheme="minorEastAsia" w:eastAsiaTheme="minorEastAsia"/>
          <w:kern w:val="28"/>
          <w:sz w:val="24"/>
          <w:szCs w:val="28"/>
        </w:rPr>
      </w:pPr>
    </w:p>
    <w:p w14:paraId="59320440">
      <w:pPr>
        <w:ind w:right="0" w:rightChars="0"/>
        <w:jc w:val="both"/>
        <w:rPr>
          <w:rFonts w:hint="eastAsia" w:eastAsia="宋体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lZWZjZTVlYjBiODE2NmM5MGMwOThkZWU3ZTQ0ZjQifQ=="/>
  </w:docVars>
  <w:rsids>
    <w:rsidRoot w:val="007F2229"/>
    <w:rsid w:val="007F2229"/>
    <w:rsid w:val="02777BFD"/>
    <w:rsid w:val="0442423B"/>
    <w:rsid w:val="067B57E2"/>
    <w:rsid w:val="09C70C05"/>
    <w:rsid w:val="0A011DFB"/>
    <w:rsid w:val="0B786794"/>
    <w:rsid w:val="11FC011F"/>
    <w:rsid w:val="156D36FD"/>
    <w:rsid w:val="192D0BBE"/>
    <w:rsid w:val="1C1E6EE4"/>
    <w:rsid w:val="1C742E61"/>
    <w:rsid w:val="22C7696B"/>
    <w:rsid w:val="25FB6A13"/>
    <w:rsid w:val="29846D8E"/>
    <w:rsid w:val="29996F87"/>
    <w:rsid w:val="2AC60E73"/>
    <w:rsid w:val="31411253"/>
    <w:rsid w:val="3257389C"/>
    <w:rsid w:val="33C16303"/>
    <w:rsid w:val="39047736"/>
    <w:rsid w:val="3FF9428E"/>
    <w:rsid w:val="400968D0"/>
    <w:rsid w:val="44B32010"/>
    <w:rsid w:val="461D1C28"/>
    <w:rsid w:val="4D1368CF"/>
    <w:rsid w:val="5481728A"/>
    <w:rsid w:val="752D4185"/>
    <w:rsid w:val="78AC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paragraph" w:styleId="3">
    <w:name w:val="heading 5"/>
    <w:next w:val="1"/>
    <w:qFormat/>
    <w:uiPriority w:val="0"/>
    <w:pPr>
      <w:keepNext/>
      <w:keepLines/>
      <w:widowControl w:val="0"/>
      <w:adjustRightInd w:val="0"/>
      <w:snapToGrid w:val="0"/>
      <w:spacing w:line="480" w:lineRule="auto"/>
      <w:jc w:val="center"/>
      <w:outlineLvl w:val="4"/>
    </w:pPr>
    <w:rPr>
      <w:rFonts w:ascii="Times New Roman" w:hAnsi="Times New Roman" w:eastAsia="宋体" w:cs="Times New Roman"/>
      <w:b/>
      <w:bCs/>
      <w:kern w:val="2"/>
      <w:sz w:val="28"/>
      <w:szCs w:val="28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next w:val="1"/>
    <w:unhideWhenUsed/>
    <w:qFormat/>
    <w:uiPriority w:val="99"/>
    <w:pPr>
      <w:widowControl w:val="0"/>
      <w:spacing w:after="12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5">
    <w:name w:val="Plain Text"/>
    <w:qFormat/>
    <w:uiPriority w:val="0"/>
    <w:pPr>
      <w:widowControl w:val="0"/>
      <w:jc w:val="both"/>
    </w:pPr>
    <w:rPr>
      <w:rFonts w:ascii="宋体" w:hAnsi="Courier New" w:eastAsia="华文仿宋" w:cs="Times New Roman"/>
      <w:kern w:val="2"/>
      <w:sz w:val="28"/>
      <w:szCs w:val="21"/>
      <w:lang w:val="en-US" w:eastAsia="zh-CN" w:bidi="ar-SA"/>
    </w:rPr>
  </w:style>
  <w:style w:type="paragraph" w:styleId="6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0">
    <w:name w:val="样式 仿宋_GB2312 四号 行距: 1.5 倍行距"/>
    <w:basedOn w:val="1"/>
    <w:qFormat/>
    <w:uiPriority w:val="0"/>
    <w:pPr>
      <w:spacing w:line="360" w:lineRule="auto"/>
      <w:ind w:firstLine="560" w:firstLineChars="200"/>
    </w:pPr>
    <w:rPr>
      <w:rFonts w:ascii="仿宋_GB2312" w:eastAsia="仿宋_GB2312" w:cs="宋体"/>
      <w:sz w:val="28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460</Words>
  <Characters>486</Characters>
  <Lines>0</Lines>
  <Paragraphs>0</Paragraphs>
  <TotalTime>0</TotalTime>
  <ScaleCrop>false</ScaleCrop>
  <LinksUpToDate>false</LinksUpToDate>
  <CharactersWithSpaces>489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2023-07-27T02:29:00Z</dcterms:created>
  <dc:creator>新昱</dc:creator>
  <cp:lastModifiedBy>新昱</cp:lastModifiedBy>
  <dcterms:modified xsi:type="dcterms:W3CDTF">2026-05-25T06:19:14Z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2969973DEA0041C0A58877740E3109A0_13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