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版本号：KY2026-3-13920260429001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2026年专网租用服务项目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KY2026-3-139</w:t>
      </w:r>
      <w:r>
        <w:br/>
      </w:r>
      <w:r>
        <w:br/>
      </w:r>
      <w:r>
        <w:br/>
      </w:r>
    </w:p>
    <w:p>
      <w:pPr>
        <w:pStyle w:val="null3"/>
        <w:jc w:val="center"/>
        <w:outlineLvl w:val="2"/>
      </w:pPr>
      <w:r>
        <w:rPr>
          <w:rFonts w:ascii="仿宋_GB2312" w:hAnsi="仿宋_GB2312" w:cs="仿宋_GB2312" w:eastAsia="仿宋_GB2312"/>
          <w:sz w:val="28"/>
          <w:b/>
        </w:rPr>
        <w:t>陕西省教育考试院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2026年专网租用服务项目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2026年专网租用服务项目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为保证陕西省各类国家教育考试视频监控、视频会议、网上阅卷、身份认证、作弊防控、数据交换等业务系统信息传输的安全高效，实现数据线路状态的运维管控。</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7、法定代表人授权书：法定代表人授权书及被授权人身份证复印件及被授权人近半年任意一个月的社保缴纳证明。（法定代表人直接投标只须提交其身份证明书）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029-85221789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代理服务费收费标准：交费金额参照国家计委颁布的《招标代理服务收费管理暂行办法》（计价格[2002]1980号）及发改办价格[2003]857号文件的规定标准收取。本项目代理服务费按服务计取。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陕西省教育考试院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待项目运维服务期满由采购代理机构负责组织验收，邀请有关专家或质检机构共同进行验收,验收费用由中标人支付；验收合格须交接项目实施的全部资料，并填写政府采购项目验收报告单。验收须以合同、招投标文件、澄清、及国家相应的标准、规范等为依据。</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为保证陕西省各类国家教育考试视频监控、视频会议、网上阅卷、身份认证、作弊防控、数据交换等业务系统信息传输的安全高效，实现数据线路状态的运维管控。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4,500,000.00</w:t>
      </w:r>
    </w:p>
    <w:p>
      <w:pPr>
        <w:pStyle w:val="null3"/>
      </w:pPr>
      <w:r>
        <w:rPr>
          <w:rFonts w:ascii="仿宋_GB2312" w:hAnsi="仿宋_GB2312" w:cs="仿宋_GB2312" w:eastAsia="仿宋_GB2312"/>
        </w:rPr>
        <w:t>采购包最高限价（元）: 4,500,000.00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专网租用服务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标的名称：专网租用服务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一、项目建设内容</w:t>
            </w:r>
          </w:p>
          <w:p>
            <w:pPr>
              <w:pStyle w:val="null3"/>
              <w:jc w:val="left"/>
            </w:pPr>
            <w:r>
              <w:rPr>
                <w:rFonts w:ascii="仿宋_GB2312" w:hAnsi="仿宋_GB2312" w:cs="仿宋_GB2312" w:eastAsia="仿宋_GB2312"/>
                <w:sz w:val="20"/>
              </w:rPr>
              <w:t>专网涉及信息点位共计</w:t>
            </w:r>
            <w:r>
              <w:rPr>
                <w:rFonts w:ascii="仿宋_GB2312" w:hAnsi="仿宋_GB2312" w:cs="仿宋_GB2312" w:eastAsia="仿宋_GB2312"/>
                <w:sz w:val="20"/>
              </w:rPr>
              <w:t>658</w:t>
            </w:r>
            <w:r>
              <w:rPr>
                <w:rFonts w:ascii="仿宋_GB2312" w:hAnsi="仿宋_GB2312" w:cs="仿宋_GB2312" w:eastAsia="仿宋_GB2312"/>
                <w:sz w:val="20"/>
              </w:rPr>
              <w:t>条，具体信息点位见附件二。须建成与互联网隔离、传输速率高、信息安全可靠、组网灵活的点对点数据专网线路。</w:t>
            </w:r>
          </w:p>
          <w:p>
            <w:pPr>
              <w:pStyle w:val="null3"/>
              <w:jc w:val="left"/>
            </w:pPr>
            <w:r>
              <w:rPr>
                <w:rFonts w:ascii="仿宋_GB2312" w:hAnsi="仿宋_GB2312" w:cs="仿宋_GB2312" w:eastAsia="仿宋_GB2312"/>
                <w:sz w:val="20"/>
              </w:rPr>
              <w:t>（一）省市级指挥中心部署网络设备负责下级的广域网汇聚和到上级的上行传输。</w:t>
            </w:r>
          </w:p>
          <w:p>
            <w:pPr>
              <w:pStyle w:val="null3"/>
              <w:jc w:val="left"/>
            </w:pPr>
            <w:r>
              <w:rPr>
                <w:rFonts w:ascii="仿宋_GB2312" w:hAnsi="仿宋_GB2312" w:cs="仿宋_GB2312" w:eastAsia="仿宋_GB2312"/>
                <w:sz w:val="20"/>
              </w:rPr>
              <w:t>（二）区县级指挥中心部署网络设备负责区县内各考场的广域网汇聚和到市级中心的上行传输。网络设备支持安全、交换、路由业务于一体。</w:t>
            </w:r>
          </w:p>
          <w:p>
            <w:pPr>
              <w:pStyle w:val="null3"/>
              <w:jc w:val="left"/>
            </w:pPr>
            <w:r>
              <w:rPr>
                <w:rFonts w:ascii="仿宋_GB2312" w:hAnsi="仿宋_GB2312" w:cs="仿宋_GB2312" w:eastAsia="仿宋_GB2312"/>
                <w:sz w:val="20"/>
              </w:rPr>
              <w:t>（三）每个标准化考点网络出口部署网络设备负责本考点信息传输。业务融合网关支持安全、交换、路由业务于一体，在数据转发的同时保证网络安全。</w:t>
            </w:r>
          </w:p>
          <w:p>
            <w:pPr>
              <w:pStyle w:val="null3"/>
              <w:jc w:val="left"/>
            </w:pPr>
            <w:r>
              <w:rPr>
                <w:rFonts w:ascii="仿宋_GB2312" w:hAnsi="仿宋_GB2312" w:cs="仿宋_GB2312" w:eastAsia="仿宋_GB2312"/>
                <w:sz w:val="20"/>
              </w:rPr>
              <w:t>（四）每个阅卷点网络出口部署网络设备负责单个阅卷点的信息传输。网络设备支持安全、交换、路由业务于一体。</w:t>
            </w:r>
          </w:p>
          <w:p>
            <w:pPr>
              <w:pStyle w:val="null3"/>
              <w:jc w:val="left"/>
            </w:pPr>
            <w:r>
              <w:rPr>
                <w:rFonts w:ascii="仿宋_GB2312" w:hAnsi="仿宋_GB2312" w:cs="仿宋_GB2312" w:eastAsia="仿宋_GB2312"/>
                <w:sz w:val="20"/>
              </w:rPr>
              <w:t>（五）每个招生录取现场网络出口部署网络设备负责单个录取点的信息传输。网络设备支持安全、交换、路由业务于一体。</w:t>
            </w:r>
          </w:p>
          <w:p>
            <w:pPr>
              <w:pStyle w:val="null3"/>
              <w:jc w:val="left"/>
            </w:pPr>
            <w:r>
              <w:rPr>
                <w:rFonts w:ascii="仿宋_GB2312" w:hAnsi="仿宋_GB2312" w:cs="仿宋_GB2312" w:eastAsia="仿宋_GB2312"/>
                <w:sz w:val="20"/>
              </w:rPr>
              <w:t>（六）整体网络管理采用图形化管理平台。考试院统一管理全网设备，监控网络运行情况。</w:t>
            </w:r>
          </w:p>
          <w:p>
            <w:pPr>
              <w:pStyle w:val="null3"/>
              <w:jc w:val="left"/>
            </w:pPr>
            <w:r>
              <w:rPr>
                <w:rFonts w:ascii="仿宋_GB2312" w:hAnsi="仿宋_GB2312" w:cs="仿宋_GB2312" w:eastAsia="仿宋_GB2312"/>
                <w:sz w:val="20"/>
              </w:rPr>
              <w:t>（七）备注：《标准化</w:t>
            </w:r>
            <w:r>
              <w:rPr>
                <w:rFonts w:ascii="仿宋_GB2312" w:hAnsi="仿宋_GB2312" w:cs="仿宋_GB2312" w:eastAsia="仿宋_GB2312"/>
                <w:sz w:val="20"/>
              </w:rPr>
              <w:t>/硕士研究生考点》、《阅卷点信息》、《录取现场及试卷印刷厂信息》明确了</w:t>
            </w:r>
            <w:r>
              <w:rPr>
                <w:rFonts w:ascii="仿宋_GB2312" w:hAnsi="仿宋_GB2312" w:cs="仿宋_GB2312" w:eastAsia="仿宋_GB2312"/>
                <w:sz w:val="20"/>
              </w:rPr>
              <w:t>658</w:t>
            </w:r>
            <w:r>
              <w:rPr>
                <w:rFonts w:ascii="仿宋_GB2312" w:hAnsi="仿宋_GB2312" w:cs="仿宋_GB2312" w:eastAsia="仿宋_GB2312"/>
                <w:sz w:val="20"/>
              </w:rPr>
              <w:t>点的接入需求。服务期间，投标方应按照招标方补充需求，为不多于</w:t>
            </w:r>
            <w:r>
              <w:rPr>
                <w:rFonts w:ascii="仿宋_GB2312" w:hAnsi="仿宋_GB2312" w:cs="仿宋_GB2312" w:eastAsia="仿宋_GB2312"/>
                <w:sz w:val="20"/>
              </w:rPr>
              <w:t>20个新增备用节点提供专网接入服务。（备注：响应时长 STN线路：有资源10个工作日开通，无资源15个工作日开通；OTN线路：有资源15个工作日开通，无资源20个工作日开通）</w:t>
            </w:r>
          </w:p>
          <w:p>
            <w:pPr>
              <w:pStyle w:val="null3"/>
              <w:jc w:val="left"/>
            </w:pPr>
            <w:r>
              <w:rPr>
                <w:rFonts w:ascii="仿宋_GB2312" w:hAnsi="仿宋_GB2312" w:cs="仿宋_GB2312" w:eastAsia="仿宋_GB2312"/>
                <w:sz w:val="20"/>
              </w:rPr>
              <w:t>（八）考试院办公区内各区域无线网络全覆盖；</w:t>
            </w:r>
            <w:r>
              <w:rPr>
                <w:rFonts w:ascii="仿宋_GB2312" w:hAnsi="仿宋_GB2312" w:cs="仿宋_GB2312" w:eastAsia="仿宋_GB2312"/>
                <w:sz w:val="20"/>
              </w:rPr>
              <w:t>AP外形美观大方，符合办公楼装修特征；实现统一管理、配置，并实时监控各AP工作状态，运维简便；AP部署点位相对灵活，需支持POE供电，满足消防及布线需求；AP设备运行高效、稳定的同时，保证无线网</w:t>
            </w:r>
            <w:r>
              <w:rPr>
                <w:rFonts w:ascii="仿宋_GB2312" w:hAnsi="仿宋_GB2312" w:cs="仿宋_GB2312" w:eastAsia="仿宋_GB2312"/>
                <w:sz w:val="20"/>
              </w:rPr>
              <w:t>络安全；无线终端移动过程中，</w:t>
            </w:r>
            <w:r>
              <w:rPr>
                <w:rFonts w:ascii="仿宋_GB2312" w:hAnsi="仿宋_GB2312" w:cs="仿宋_GB2312" w:eastAsia="仿宋_GB2312"/>
                <w:sz w:val="20"/>
              </w:rPr>
              <w:t>AP支持接入点自动切换，无缝漫游。无线信号穿墙性能极强，支持高并发多人在线。</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九</w:t>
            </w:r>
            <w:r>
              <w:rPr>
                <w:rFonts w:ascii="仿宋_GB2312" w:hAnsi="仿宋_GB2312" w:cs="仿宋_GB2312" w:eastAsia="仿宋_GB2312"/>
                <w:sz w:val="20"/>
              </w:rPr>
              <w:t>）为考试院志愿辅助系统提供人工智能及算力支持。</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十</w:t>
            </w:r>
            <w:r>
              <w:rPr>
                <w:rFonts w:ascii="仿宋_GB2312" w:hAnsi="仿宋_GB2312" w:cs="仿宋_GB2312" w:eastAsia="仿宋_GB2312"/>
                <w:sz w:val="20"/>
              </w:rPr>
              <w:t>）考试院专网保密室智能实时分析系统</w:t>
            </w:r>
            <w:r>
              <w:rPr>
                <w:rFonts w:ascii="仿宋_GB2312" w:hAnsi="仿宋_GB2312" w:cs="仿宋_GB2312" w:eastAsia="仿宋_GB2312"/>
                <w:sz w:val="20"/>
              </w:rPr>
              <w:t>云</w:t>
            </w:r>
            <w:r>
              <w:rPr>
                <w:rFonts w:ascii="仿宋_GB2312" w:hAnsi="仿宋_GB2312" w:cs="仿宋_GB2312" w:eastAsia="仿宋_GB2312"/>
                <w:sz w:val="20"/>
              </w:rPr>
              <w:t>平台，满足高并发图形处理系统软件的运行和日常计算工作；</w:t>
            </w:r>
            <w:r>
              <w:rPr>
                <w:rFonts w:ascii="仿宋_GB2312" w:hAnsi="仿宋_GB2312" w:cs="仿宋_GB2312" w:eastAsia="仿宋_GB2312"/>
                <w:sz w:val="20"/>
              </w:rPr>
              <w:t>考试院虚拟化应用服务器满足重要时间节点的网络访问需求。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十一</w:t>
            </w:r>
            <w:r>
              <w:rPr>
                <w:rFonts w:ascii="仿宋_GB2312" w:hAnsi="仿宋_GB2312" w:cs="仿宋_GB2312" w:eastAsia="仿宋_GB2312"/>
                <w:sz w:val="20"/>
              </w:rPr>
              <w:t>）运维服务</w:t>
            </w:r>
          </w:p>
          <w:p>
            <w:pPr>
              <w:pStyle w:val="null3"/>
              <w:jc w:val="left"/>
            </w:pPr>
            <w:r>
              <w:rPr>
                <w:rFonts w:ascii="仿宋_GB2312" w:hAnsi="仿宋_GB2312" w:cs="仿宋_GB2312" w:eastAsia="仿宋_GB2312"/>
                <w:sz w:val="20"/>
              </w:rPr>
              <w:t>针对专网</w:t>
            </w:r>
            <w:r>
              <w:rPr>
                <w:rFonts w:ascii="仿宋_GB2312" w:hAnsi="仿宋_GB2312" w:cs="仿宋_GB2312" w:eastAsia="仿宋_GB2312"/>
                <w:sz w:val="20"/>
              </w:rPr>
              <w:t>658</w:t>
            </w:r>
            <w:r>
              <w:rPr>
                <w:rFonts w:ascii="仿宋_GB2312" w:hAnsi="仿宋_GB2312" w:cs="仿宋_GB2312" w:eastAsia="仿宋_GB2312"/>
                <w:sz w:val="20"/>
              </w:rPr>
              <w:t>点位的专网网络设备的日常运行维护提供</w:t>
            </w:r>
            <w:r>
              <w:rPr>
                <w:rFonts w:ascii="仿宋_GB2312" w:hAnsi="仿宋_GB2312" w:cs="仿宋_GB2312" w:eastAsia="仿宋_GB2312"/>
                <w:sz w:val="20"/>
              </w:rPr>
              <w:t>3名人员的专职驻场运维保障服务，期限为一年。同时，对运维期内全省统一安排的国家教育考试进行现场重大事件保障服务。</w:t>
            </w:r>
            <w:r>
              <w:rPr>
                <w:rFonts w:ascii="仿宋_GB2312" w:hAnsi="仿宋_GB2312" w:cs="仿宋_GB2312" w:eastAsia="仿宋_GB2312"/>
                <w:sz w:val="20"/>
              </w:rPr>
              <w:t>同时提供</w:t>
            </w:r>
            <w:r>
              <w:rPr>
                <w:rFonts w:ascii="仿宋_GB2312" w:hAnsi="仿宋_GB2312" w:cs="仿宋_GB2312" w:eastAsia="仿宋_GB2312"/>
                <w:sz w:val="20"/>
              </w:rPr>
              <w:t>针对专网为各市、县区维护人员</w:t>
            </w:r>
            <w:r>
              <w:rPr>
                <w:rFonts w:ascii="仿宋_GB2312" w:hAnsi="仿宋_GB2312" w:cs="仿宋_GB2312" w:eastAsia="仿宋_GB2312"/>
                <w:sz w:val="20"/>
              </w:rPr>
              <w:t>的</w:t>
            </w:r>
            <w:r>
              <w:rPr>
                <w:rFonts w:ascii="仿宋_GB2312" w:hAnsi="仿宋_GB2312" w:cs="仿宋_GB2312" w:eastAsia="仿宋_GB2312"/>
                <w:sz w:val="20"/>
              </w:rPr>
              <w:t>培训服务。</w:t>
            </w:r>
          </w:p>
          <w:p>
            <w:pPr>
              <w:pStyle w:val="null3"/>
              <w:jc w:val="left"/>
            </w:pPr>
            <w:r>
              <w:rPr>
                <w:rFonts w:ascii="仿宋_GB2312" w:hAnsi="仿宋_GB2312" w:cs="仿宋_GB2312" w:eastAsia="仿宋_GB2312"/>
                <w:sz w:val="20"/>
              </w:rPr>
              <w:t>（十</w:t>
            </w: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6月5日前所有线路必须联通完成，可正常开展相关业务，如不能按时完成，为保证专网正常运转，陕西省教育考试院有权自主选择线路，中标单位承担期间所产生的所有费用。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十三</w:t>
            </w:r>
            <w:r>
              <w:rPr>
                <w:rFonts w:ascii="仿宋_GB2312" w:hAnsi="仿宋_GB2312" w:cs="仿宋_GB2312" w:eastAsia="仿宋_GB2312"/>
                <w:sz w:val="20"/>
                <w:color w:val="000000"/>
              </w:rPr>
              <w:t>）</w:t>
            </w:r>
            <w:r>
              <w:rPr>
                <w:rFonts w:ascii="仿宋_GB2312" w:hAnsi="仿宋_GB2312" w:cs="仿宋_GB2312" w:eastAsia="仿宋_GB2312"/>
                <w:sz w:val="20"/>
                <w:color w:val="000000"/>
              </w:rPr>
              <w:t>中标方应根据考试期间专网实际流量单条链路使用率</w:t>
            </w:r>
            <w:r>
              <w:rPr>
                <w:rFonts w:ascii="仿宋_GB2312" w:hAnsi="仿宋_GB2312" w:cs="仿宋_GB2312" w:eastAsia="仿宋_GB2312"/>
                <w:sz w:val="20"/>
                <w:color w:val="000000"/>
              </w:rPr>
              <w:t>≥80%时提升带宽</w:t>
            </w:r>
            <w:r>
              <w:rPr>
                <w:rFonts w:ascii="仿宋_GB2312" w:hAnsi="仿宋_GB2312" w:cs="仿宋_GB2312" w:eastAsia="仿宋_GB2312"/>
                <w:sz w:val="20"/>
                <w:color w:val="000000"/>
              </w:rPr>
              <w:t>，</w:t>
            </w:r>
            <w:r>
              <w:rPr>
                <w:rFonts w:ascii="仿宋_GB2312" w:hAnsi="仿宋_GB2312" w:cs="仿宋_GB2312" w:eastAsia="仿宋_GB2312"/>
                <w:sz w:val="20"/>
                <w:color w:val="000000"/>
              </w:rPr>
              <w:t>确保单条链路带宽占用率不超过</w:t>
            </w:r>
            <w:r>
              <w:rPr>
                <w:rFonts w:ascii="仿宋_GB2312" w:hAnsi="仿宋_GB2312" w:cs="仿宋_GB2312" w:eastAsia="仿宋_GB2312"/>
                <w:sz w:val="20"/>
                <w:color w:val="000000"/>
              </w:rPr>
              <w:t>80%</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color w:val="000000"/>
              </w:rPr>
              <w:t>二、专网线路技术要求</w:t>
            </w:r>
          </w:p>
          <w:p>
            <w:pPr>
              <w:pStyle w:val="null3"/>
              <w:jc w:val="left"/>
            </w:pPr>
            <w:r>
              <w:rPr>
                <w:rFonts w:ascii="仿宋_GB2312" w:hAnsi="仿宋_GB2312" w:cs="仿宋_GB2312" w:eastAsia="仿宋_GB2312"/>
                <w:sz w:val="20"/>
              </w:rPr>
              <w:t>1、运营商提供的专用网络出口数据链路带宽必须是独占带宽。</w:t>
            </w:r>
          </w:p>
          <w:p>
            <w:pPr>
              <w:pStyle w:val="null3"/>
              <w:jc w:val="left"/>
            </w:pPr>
            <w:r>
              <w:rPr>
                <w:rFonts w:ascii="仿宋_GB2312" w:hAnsi="仿宋_GB2312" w:cs="仿宋_GB2312" w:eastAsia="仿宋_GB2312"/>
                <w:sz w:val="20"/>
              </w:rPr>
              <w:t>2、省中心光纤要求最多通过两个网络节点连接到骨干节点，实现高速专网接入。必须保证带宽不稀释、出口无瓶颈，在带宽QoS和时延等方面有良好的保证。</w:t>
            </w:r>
          </w:p>
          <w:p>
            <w:pPr>
              <w:pStyle w:val="null3"/>
              <w:jc w:val="left"/>
            </w:pPr>
            <w:r>
              <w:rPr>
                <w:rFonts w:ascii="仿宋_GB2312" w:hAnsi="仿宋_GB2312" w:cs="仿宋_GB2312" w:eastAsia="仿宋_GB2312"/>
                <w:sz w:val="20"/>
              </w:rPr>
              <w:t>3、采用独享带宽接入（承诺M数可达），网速不受宽带使用高峰期影响，网速稳定优质，当网络带宽占用率≥80%时自动提升带宽。</w:t>
            </w:r>
          </w:p>
          <w:p>
            <w:pPr>
              <w:pStyle w:val="null3"/>
              <w:jc w:val="left"/>
            </w:pPr>
            <w:r>
              <w:rPr>
                <w:rFonts w:ascii="仿宋_GB2312" w:hAnsi="仿宋_GB2312" w:cs="仿宋_GB2312" w:eastAsia="仿宋_GB2312"/>
                <w:sz w:val="20"/>
              </w:rPr>
              <w:t>4、专网必须实现DDOS攻击防护。</w:t>
            </w:r>
          </w:p>
          <w:p>
            <w:pPr>
              <w:pStyle w:val="null3"/>
              <w:jc w:val="left"/>
            </w:pPr>
            <w:r>
              <w:rPr>
                <w:rFonts w:ascii="仿宋_GB2312" w:hAnsi="仿宋_GB2312" w:cs="仿宋_GB2312" w:eastAsia="仿宋_GB2312"/>
                <w:sz w:val="20"/>
              </w:rPr>
              <w:t>5、▲任何一段线路中断，不得影响其他区域网络线路业务运行。</w:t>
            </w:r>
          </w:p>
          <w:p>
            <w:pPr>
              <w:pStyle w:val="null3"/>
              <w:jc w:val="left"/>
            </w:pPr>
            <w:r>
              <w:rPr>
                <w:rFonts w:ascii="仿宋_GB2312" w:hAnsi="仿宋_GB2312" w:cs="仿宋_GB2312" w:eastAsia="仿宋_GB2312"/>
                <w:sz w:val="20"/>
              </w:rPr>
              <w:t>6、▲支持业务端到端时延检测，可提供低时延传送解决方案，实时掌握专网的质量情况，实现网络层面的统一运维；</w:t>
            </w:r>
          </w:p>
          <w:p>
            <w:pPr>
              <w:pStyle w:val="null3"/>
              <w:jc w:val="left"/>
            </w:pPr>
            <w:r>
              <w:rPr>
                <w:rFonts w:ascii="仿宋_GB2312" w:hAnsi="仿宋_GB2312" w:cs="仿宋_GB2312" w:eastAsia="仿宋_GB2312"/>
                <w:sz w:val="20"/>
              </w:rPr>
              <w:t>7、线路技术指标要求：</w:t>
            </w:r>
          </w:p>
          <w:tbl>
            <w:tblPr>
              <w:tblInd w:type="dxa" w:w="120"/>
              <w:tblBorders>
                <w:top w:val="none" w:color="000000" w:sz="4"/>
                <w:left w:val="none" w:color="000000" w:sz="4"/>
                <w:bottom w:val="none" w:color="000000" w:sz="4"/>
                <w:right w:val="none" w:color="000000" w:sz="4"/>
                <w:insideH w:val="none"/>
                <w:insideV w:val="none"/>
              </w:tblBorders>
            </w:tblPr>
            <w:tblGrid>
              <w:gridCol w:w="1013"/>
              <w:gridCol w:w="1540"/>
            </w:tblGrid>
            <w:tr>
              <w:tc>
                <w:tcPr>
                  <w:tcW w:type="dxa" w:w="10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参数</w:t>
                  </w:r>
                  <w:r>
                    <w:rPr>
                      <w:rFonts w:ascii="仿宋_GB2312" w:hAnsi="仿宋_GB2312" w:cs="仿宋_GB2312" w:eastAsia="仿宋_GB2312"/>
                      <w:sz w:val="20"/>
                    </w:rPr>
                    <w:t>/类型</w:t>
                  </w:r>
                </w:p>
              </w:tc>
              <w:tc>
                <w:tcPr>
                  <w:tcW w:type="dxa" w:w="1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指标要求</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▲带宽</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省级</w:t>
                  </w:r>
                  <w:r>
                    <w:rPr>
                      <w:rFonts w:ascii="仿宋_GB2312" w:hAnsi="仿宋_GB2312" w:cs="仿宋_GB2312" w:eastAsia="仿宋_GB2312"/>
                      <w:sz w:val="20"/>
                    </w:rPr>
                    <w:t>≥万兆、市级≥千兆、县区级≥千兆</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传输比特差错率</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≤10-7</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接口实测速率</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≥接口理论速率×90%</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上下行速率差</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上行速率</w:t>
                  </w:r>
                  <w:r>
                    <w:rPr>
                      <w:rFonts w:ascii="仿宋_GB2312" w:hAnsi="仿宋_GB2312" w:cs="仿宋_GB2312" w:eastAsia="仿宋_GB2312"/>
                      <w:sz w:val="20"/>
                    </w:rPr>
                    <w:t>≥下行速率×99%</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传输延时</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≤50ms</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网络可用性</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≥99.99%</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切换时间</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≤50ms</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▲可扩容性</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带宽占用率达到</w:t>
                  </w:r>
                  <w:r>
                    <w:rPr>
                      <w:rFonts w:ascii="仿宋_GB2312" w:hAnsi="仿宋_GB2312" w:cs="仿宋_GB2312" w:eastAsia="仿宋_GB2312"/>
                      <w:sz w:val="20"/>
                    </w:rPr>
                    <w:t>80%以上时，自动提升带宽</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线路冗余性</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重要节点配备双线路双路由</w:t>
                  </w: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color w:val="000000"/>
              </w:rPr>
              <w:t>三、专网设备技术要求</w:t>
            </w:r>
          </w:p>
          <w:p>
            <w:pPr>
              <w:pStyle w:val="null3"/>
              <w:jc w:val="left"/>
            </w:pPr>
            <w:r>
              <w:rPr>
                <w:rFonts w:ascii="仿宋_GB2312" w:hAnsi="仿宋_GB2312" w:cs="仿宋_GB2312" w:eastAsia="仿宋_GB2312"/>
                <w:sz w:val="20"/>
              </w:rPr>
              <w:t>▲省级网关</w:t>
            </w:r>
            <w:r>
              <w:rPr>
                <w:rFonts w:ascii="仿宋_GB2312" w:hAnsi="仿宋_GB2312" w:cs="仿宋_GB2312" w:eastAsia="仿宋_GB2312"/>
                <w:sz w:val="20"/>
              </w:rPr>
              <w:t>：</w:t>
            </w:r>
          </w:p>
          <w:tbl>
            <w:tblPr>
              <w:tblInd w:type="dxa" w:w="120"/>
              <w:tblBorders>
                <w:top w:val="none" w:color="000000" w:sz="4"/>
                <w:left w:val="none" w:color="000000" w:sz="4"/>
                <w:bottom w:val="none" w:color="000000" w:sz="4"/>
                <w:right w:val="none" w:color="000000" w:sz="4"/>
                <w:insideH w:val="none"/>
                <w:insideV w:val="none"/>
              </w:tblBorders>
            </w:tblPr>
            <w:tblGrid>
              <w:gridCol w:w="664"/>
              <w:gridCol w:w="1889"/>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功能及技术指标</w:t>
                  </w:r>
                </w:p>
              </w:tc>
              <w:tc>
                <w:tcPr>
                  <w:tcW w:type="dxa" w:w="1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参数要求</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设备架构</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路由、交换、安全一体化平台。支持双主控、双电源，支持网管系统。</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交换容量</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≥70Tbps，需官网明确标明，可通过官网产品分类自行获取。</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包转发率</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≥12000Mpps，需官网明确标明，可通过官网产品分类自行获取。</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业务接口</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千兆光口</w:t>
                  </w:r>
                  <w:r>
                    <w:rPr>
                      <w:rFonts w:ascii="仿宋_GB2312" w:hAnsi="仿宋_GB2312" w:cs="仿宋_GB2312" w:eastAsia="仿宋_GB2312"/>
                      <w:sz w:val="20"/>
                    </w:rPr>
                    <w:t>≥12，千兆电口≥12，万兆光口≥2。</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IP路由</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RIPv1/v2、OSPFv2、BGP、IS-IS等动态路由协议 。</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IPv6</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支持静态路由、</w:t>
                  </w:r>
                  <w:r>
                    <w:rPr>
                      <w:rFonts w:ascii="仿宋_GB2312" w:hAnsi="仿宋_GB2312" w:cs="仿宋_GB2312" w:eastAsia="仿宋_GB2312"/>
                      <w:sz w:val="20"/>
                    </w:rPr>
                    <w:t>RIPng、OSPFv3、BGP4+、ISISv6、等价路由、策略路由等；支持手工隧道，自动隧道，GRE 隧道，6to4，ISATAP等。支持Ipv6 ND，Ipv6 PMTU，Ipv6 FIB，Ipv6 ACL，NAT-PT。</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PPPoE，PORTAL，802.1x，Local认证，支持基于域的防火墙，支持ARP防攻击。</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设备配置</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主机</w:t>
                  </w:r>
                  <w:r>
                    <w:rPr>
                      <w:rFonts w:ascii="仿宋_GB2312" w:hAnsi="仿宋_GB2312" w:cs="仿宋_GB2312" w:eastAsia="仿宋_GB2312"/>
                      <w:sz w:val="20"/>
                    </w:rPr>
                    <w:t>1台，配置双主控，双电源。提供组网所需万兆单模光模块。</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2台（1台备用）</w:t>
                  </w: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color w:val="000000"/>
              </w:rPr>
              <w:t>▲市中心网关</w:t>
            </w:r>
          </w:p>
          <w:tbl>
            <w:tblPr>
              <w:tblBorders>
                <w:top w:val="none" w:color="000000" w:sz="4"/>
                <w:left w:val="none" w:color="000000" w:sz="4"/>
                <w:bottom w:val="none" w:color="000000" w:sz="4"/>
                <w:right w:val="none" w:color="000000" w:sz="4"/>
                <w:insideH w:val="none"/>
                <w:insideV w:val="none"/>
              </w:tblBorders>
            </w:tblPr>
            <w:tblGrid>
              <w:gridCol w:w="668"/>
              <w:gridCol w:w="1877"/>
            </w:tblGrid>
            <w:tr>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功能及技术指标</w:t>
                  </w:r>
                </w:p>
              </w:tc>
              <w:tc>
                <w:tcPr>
                  <w:tcW w:type="dxa" w:w="18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参数要求</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设备架构</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支持主控板、业务板完全物理分离，主控板、业务板分布在不同的物理槽位，需提供设备面板图。为保障接口扩容，设备采用子母卡架构设计，子卡插在母板上，子卡母板均支持热拔插。要求支持主控冗余。</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交换容量</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交换容量</w:t>
                  </w:r>
                  <w:r>
                    <w:rPr>
                      <w:rFonts w:ascii="仿宋_GB2312" w:hAnsi="仿宋_GB2312" w:cs="仿宋_GB2312" w:eastAsia="仿宋_GB2312"/>
                      <w:sz w:val="20"/>
                    </w:rPr>
                    <w:t>≥70Tbps，需提供官方网站截图。</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包转发率</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包转发率</w:t>
                  </w:r>
                  <w:r>
                    <w:rPr>
                      <w:rFonts w:ascii="仿宋_GB2312" w:hAnsi="仿宋_GB2312" w:cs="仿宋_GB2312" w:eastAsia="仿宋_GB2312"/>
                      <w:sz w:val="20"/>
                    </w:rPr>
                    <w:t>≥6000Mpps，需提供官方网站截图。</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业务接口</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≥2端口万兆SFP+,≥14端口千兆SFP,≥8端口千兆RJ45</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单槽位最大处理能力</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200 Gbps</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设备形态</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整机框业务槽位数</w:t>
                  </w:r>
                  <w:r>
                    <w:rPr>
                      <w:rFonts w:ascii="仿宋_GB2312" w:hAnsi="仿宋_GB2312" w:cs="仿宋_GB2312" w:eastAsia="仿宋_GB2312"/>
                      <w:sz w:val="20"/>
                    </w:rPr>
                    <w:t>≥8</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基本功能</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PPP、MP、HDLC、ETHERNET等链路层协议，支持链路聚合（Link aggregation），支持动态聚合、手工聚合、跨板聚合，支持不同速率物理接口链路捆绑功能，提供第三方测试报告，支持多路径非等速链路的负载分担（UCMP），实现不同路径按带宽比例负载分担，支持IPv4静态路由、RIPv1/v2、OSPFv2、BGP、IS-IS、路由策略，支持IPv6静态路由、RIPng、OSPFv3、IS-ISv6、BGP4+。</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接口类型</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FE、GE、10GE（LAN/WAN）、155M POS/CPOS、622M POS等接口</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GRE</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随板支持分布式</w:t>
                  </w:r>
                  <w:r>
                    <w:rPr>
                      <w:rFonts w:ascii="仿宋_GB2312" w:hAnsi="仿宋_GB2312" w:cs="仿宋_GB2312" w:eastAsia="仿宋_GB2312"/>
                      <w:sz w:val="20"/>
                    </w:rPr>
                    <w:t>GRE功能，不需要额外License</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Netstream</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随板支持分布式</w:t>
                  </w:r>
                  <w:r>
                    <w:rPr>
                      <w:rFonts w:ascii="仿宋_GB2312" w:hAnsi="仿宋_GB2312" w:cs="仿宋_GB2312" w:eastAsia="仿宋_GB2312"/>
                      <w:sz w:val="20"/>
                    </w:rPr>
                    <w:t>Netstream功能，不需要额外License</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NAT</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随板支持分布式</w:t>
                  </w:r>
                  <w:r>
                    <w:rPr>
                      <w:rFonts w:ascii="仿宋_GB2312" w:hAnsi="仿宋_GB2312" w:cs="仿宋_GB2312" w:eastAsia="仿宋_GB2312"/>
                      <w:sz w:val="20"/>
                    </w:rPr>
                    <w:t>NAT功能，不需要额外License，设备支持NAT64功能，满足未来向IPv6过渡的要求，设备支持NAT66功能</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虚拟化</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支持将两台物理设备虚拟化为一台逻辑设备，虚拟组内可以实现一致的转发表项，统一的管理，跨物理设备的链路聚合</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SDN</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设备支持通过</w:t>
                  </w:r>
                  <w:r>
                    <w:rPr>
                      <w:rFonts w:ascii="仿宋_GB2312" w:hAnsi="仿宋_GB2312" w:cs="仿宋_GB2312" w:eastAsia="仿宋_GB2312"/>
                      <w:sz w:val="20"/>
                    </w:rPr>
                    <w:t>Netconf（RFC 6241）协议下发配置，并提供第三方测试报告，为实现报文最优路径转发，设备需支持MPLS Segment Routing功能，MPLS隧道通过SR-LSP进行转发（OSPF通告SID），并提供第三方测试报告，设备支持Openflow协议，报文可依据流表进行转发，并提供第三方测试报告，设备支持EVPN和VxLAN功能，并提供第三方测试报告</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维护特性</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为方便设备运维管理，设备需内置</w:t>
                  </w:r>
                  <w:r>
                    <w:rPr>
                      <w:rFonts w:ascii="仿宋_GB2312" w:hAnsi="仿宋_GB2312" w:cs="仿宋_GB2312" w:eastAsia="仿宋_GB2312"/>
                      <w:sz w:val="20"/>
                    </w:rPr>
                    <w:t>TCL语言功能，能够解析执行TCL语言脚本，为方便设备运维管理，设备需内置Python语言功能，能够解析执行Python语言脚本，为实现设备精细化管理，实现不同进程动态部署到不同的CPU上，设备需支持进程分布式优化功能，为实现基于角色的权限灵活授权，并且和AAA联动，设备需支持RBAC功能，为方便设备配置文件管理，设备需支持配置回滚功能，提供第三方测试报告。</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资质</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设备支持</w:t>
                  </w:r>
                  <w:r>
                    <w:rPr>
                      <w:rFonts w:ascii="仿宋_GB2312" w:hAnsi="仿宋_GB2312" w:cs="仿宋_GB2312" w:eastAsia="仿宋_GB2312"/>
                      <w:sz w:val="20"/>
                    </w:rPr>
                    <w:t>SRv6相关功能，具备SRv6 Ready证书</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设备配置</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主机</w:t>
                  </w:r>
                  <w:r>
                    <w:rPr>
                      <w:rFonts w:ascii="仿宋_GB2312" w:hAnsi="仿宋_GB2312" w:cs="仿宋_GB2312" w:eastAsia="仿宋_GB2312"/>
                      <w:sz w:val="20"/>
                    </w:rPr>
                    <w:t>1台，双电源，提供组网所需千兆单模光模块。</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13台（1台备份）</w:t>
                  </w:r>
                </w:p>
              </w:tc>
            </w:tr>
          </w:tbl>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color w:val="000000"/>
              </w:rPr>
              <w:t>▲区（县）级网关</w:t>
            </w:r>
          </w:p>
          <w:tbl>
            <w:tblPr>
              <w:tblBorders>
                <w:top w:val="none" w:color="000000" w:sz="4"/>
                <w:left w:val="none" w:color="000000" w:sz="4"/>
                <w:bottom w:val="none" w:color="000000" w:sz="4"/>
                <w:right w:val="none" w:color="000000" w:sz="4"/>
                <w:insideH w:val="none"/>
                <w:insideV w:val="none"/>
              </w:tblBorders>
            </w:tblPr>
            <w:tblGrid>
              <w:gridCol w:w="737"/>
              <w:gridCol w:w="1808"/>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功能及技术指标</w:t>
                  </w:r>
                </w:p>
              </w:tc>
              <w:tc>
                <w:tcPr>
                  <w:tcW w:type="dxa" w:w="1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参数要求</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设备架构</w:t>
                  </w: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路由、交换、安全一体化平台。</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包转发率</w:t>
                  </w: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≥9Mpps</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端口</w:t>
                  </w: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≥4GE （2 Combo）+2GE光+4端口10/100/1000BASE-T以太网二层交换电接口</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槽位</w:t>
                  </w: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≥4槽位</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电源系统</w:t>
                  </w: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实配</w:t>
                  </w:r>
                  <w:r>
                    <w:rPr>
                      <w:rFonts w:ascii="仿宋_GB2312" w:hAnsi="仿宋_GB2312" w:cs="仿宋_GB2312" w:eastAsia="仿宋_GB2312"/>
                      <w:sz w:val="20"/>
                    </w:rPr>
                    <w:t>1+1冗余交流电源</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存储</w:t>
                  </w: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HDD/SSD 硬盘，可以实现本地日志，Webcache等信息存储</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国密合一板卡</w:t>
                  </w: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支持国密</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设备配置</w:t>
                  </w: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主机</w:t>
                  </w:r>
                  <w:r>
                    <w:rPr>
                      <w:rFonts w:ascii="仿宋_GB2312" w:hAnsi="仿宋_GB2312" w:cs="仿宋_GB2312" w:eastAsia="仿宋_GB2312"/>
                      <w:sz w:val="20"/>
                    </w:rPr>
                    <w:t>1台，双电源，提供组网所需千兆单模光模块。</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114台（8台备用）</w:t>
                  </w:r>
                </w:p>
              </w:tc>
            </w:tr>
          </w:tbl>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color w:val="000000"/>
              </w:rPr>
              <w:t>▲考点出口网关</w:t>
            </w:r>
          </w:p>
          <w:tbl>
            <w:tblPr>
              <w:tblBorders>
                <w:top w:val="none" w:color="000000" w:sz="4"/>
                <w:left w:val="none" w:color="000000" w:sz="4"/>
                <w:bottom w:val="none" w:color="000000" w:sz="4"/>
                <w:right w:val="none" w:color="000000" w:sz="4"/>
                <w:insideH w:val="none"/>
                <w:insideV w:val="none"/>
              </w:tblBorders>
            </w:tblPr>
            <w:tblGrid>
              <w:gridCol w:w="464"/>
              <w:gridCol w:w="2089"/>
            </w:tblGrid>
            <w:tr>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功能及技术指标</w:t>
                  </w:r>
                </w:p>
              </w:tc>
              <w:tc>
                <w:tcPr>
                  <w:tcW w:type="dxa" w:w="20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参数要求</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设备架构</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路由、交换、安全一体化平台，简化管理维护。</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包转发率</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≥3pps</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槽位</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≥4槽位</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端口</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≥27GE(RJ45)+2GE(SFP)+4端口10/100/1000BASE-T以太网二层交换电接口</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1+1交流冗余电源</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国密合一板卡</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支持国密</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设备配置</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主机</w:t>
                  </w:r>
                  <w:r>
                    <w:rPr>
                      <w:rFonts w:ascii="仿宋_GB2312" w:hAnsi="仿宋_GB2312" w:cs="仿宋_GB2312" w:eastAsia="仿宋_GB2312"/>
                      <w:sz w:val="20"/>
                    </w:rPr>
                    <w:t>1台，单电源，提供组网所需千兆单模光模块。</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设备数量</w:t>
                  </w:r>
                </w:p>
              </w:tc>
              <w:tc>
                <w:tcPr>
                  <w:tcW w:type="dxa" w:w="2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456台（44台备用）</w:t>
                  </w:r>
                </w:p>
              </w:tc>
            </w:tr>
          </w:tbl>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color w:val="000000"/>
              </w:rPr>
              <w:t>▲研究生考点、阅卷点、录取现场、印刷厂网关</w:t>
            </w:r>
          </w:p>
          <w:tbl>
            <w:tblPr>
              <w:tblBorders>
                <w:top w:val="none" w:color="000000" w:sz="4"/>
                <w:left w:val="none" w:color="000000" w:sz="4"/>
                <w:bottom w:val="none" w:color="000000" w:sz="4"/>
                <w:right w:val="none" w:color="000000" w:sz="4"/>
                <w:insideH w:val="none"/>
                <w:insideV w:val="none"/>
              </w:tblBorders>
            </w:tblPr>
            <w:tblGrid>
              <w:gridCol w:w="513"/>
              <w:gridCol w:w="2040"/>
            </w:tblGrid>
            <w:tr>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功能及技术指标</w:t>
                  </w:r>
                </w:p>
              </w:tc>
              <w:tc>
                <w:tcPr>
                  <w:tcW w:type="dxa" w:w="2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参数要求</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设备架构</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路由、交换、安全一体化平台。支持双主控、双电源，支持网管系统。</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性能</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≥60Mpps</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固定口</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≥6*10G光+16*GE电</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槽位</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≥6个</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拓展端口</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≥4端口万兆以太网光接口，≥4端口10/100/1000BASE-T以太网二层交换电接口，≥4端口百/千兆以太网光 L2/L3</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电源系统</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可插拔</w:t>
                  </w:r>
                  <w:r>
                    <w:rPr>
                      <w:rFonts w:ascii="仿宋_GB2312" w:hAnsi="仿宋_GB2312" w:cs="仿宋_GB2312" w:eastAsia="仿宋_GB2312"/>
                      <w:sz w:val="20"/>
                    </w:rPr>
                    <w:t>1+1冗余交流电源</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设备配置</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主机</w:t>
                  </w:r>
                  <w:r>
                    <w:rPr>
                      <w:rFonts w:ascii="仿宋_GB2312" w:hAnsi="仿宋_GB2312" w:cs="仿宋_GB2312" w:eastAsia="仿宋_GB2312"/>
                      <w:sz w:val="20"/>
                    </w:rPr>
                    <w:t>1台，双电源，提供组网所需千兆单模光模块。</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54台（8台备用）</w:t>
                  </w:r>
                </w:p>
              </w:tc>
            </w:tr>
          </w:tbl>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color w:val="000000"/>
              </w:rPr>
              <w:t>▲应用交付系统</w:t>
            </w:r>
          </w:p>
          <w:tbl>
            <w:tblPr>
              <w:tblBorders>
                <w:top w:val="none" w:color="000000" w:sz="4"/>
                <w:left w:val="none" w:color="000000" w:sz="4"/>
                <w:bottom w:val="none" w:color="000000" w:sz="4"/>
                <w:right w:val="none" w:color="000000" w:sz="4"/>
                <w:insideH w:val="none"/>
                <w:insideV w:val="none"/>
              </w:tblBorders>
            </w:tblPr>
            <w:tblGrid>
              <w:gridCol w:w="650"/>
              <w:gridCol w:w="0"/>
              <w:gridCol w:w="951"/>
              <w:gridCol w:w="951"/>
            </w:tblGrid>
            <w:tr>
              <w:tc>
                <w:tcPr>
                  <w:tcW w:type="dxa" w:w="65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功能及技术指标</w:t>
                  </w:r>
                </w:p>
              </w:tc>
              <w:tc>
                <w:tcPr>
                  <w:tcW w:type="dxa" w:w="190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参数要求</w:t>
                  </w:r>
                </w:p>
              </w:tc>
            </w:tr>
            <w:tr>
              <w:tc>
                <w:tcPr>
                  <w:tcW w:type="dxa" w:w="6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设备性能</w:t>
                  </w:r>
                </w:p>
              </w:tc>
              <w:tc>
                <w:tcPr>
                  <w:tcW w:type="dxa" w:w="19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吞吐量</w:t>
                  </w:r>
                  <w:r>
                    <w:rPr>
                      <w:rFonts w:ascii="仿宋_GB2312" w:hAnsi="仿宋_GB2312" w:cs="仿宋_GB2312" w:eastAsia="仿宋_GB2312"/>
                      <w:sz w:val="20"/>
                    </w:rPr>
                    <w:t>≥30Gbps；并发会话数≥900万；四层新建能力≥30万CPS；七层新建能力≥50万RPS，。</w:t>
                  </w:r>
                </w:p>
              </w:tc>
            </w:tr>
            <w:tr>
              <w:tc>
                <w:tcPr>
                  <w:tcW w:type="dxa" w:w="6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固定接口</w:t>
                  </w:r>
                </w:p>
              </w:tc>
              <w:tc>
                <w:tcPr>
                  <w:tcW w:type="dxa" w:w="19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自适应千兆电</w:t>
                  </w:r>
                  <w:r>
                    <w:rPr>
                      <w:rFonts w:ascii="仿宋_GB2312" w:hAnsi="仿宋_GB2312" w:cs="仿宋_GB2312" w:eastAsia="仿宋_GB2312"/>
                      <w:sz w:val="20"/>
                    </w:rPr>
                    <w:t>≥6，千兆光≥4，万兆光≥8。</w:t>
                  </w:r>
                </w:p>
              </w:tc>
            </w:tr>
            <w:tr>
              <w:tc>
                <w:tcPr>
                  <w:tcW w:type="dxa" w:w="6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服务器负载均衡</w:t>
                  </w:r>
                </w:p>
              </w:tc>
              <w:tc>
                <w:tcPr>
                  <w:tcW w:type="dxa" w:w="19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支持轮询、加权轮询、加权最小连接、动态反馈、最快响应、最小流量、加权最小流量、带宽比例、哈希、主备、首个可用、优先级等算法。</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单一设备可同时支持包括链路负载均衡、全局负载均衡和服务器负载均衡的功能。三种功能同时处于激活可使用状态，无需额外购买相应授权。</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提供针对</w:t>
                  </w:r>
                  <w:r>
                    <w:rPr>
                      <w:rFonts w:ascii="仿宋_GB2312" w:hAnsi="仿宋_GB2312" w:cs="仿宋_GB2312" w:eastAsia="仿宋_GB2312"/>
                      <w:sz w:val="20"/>
                    </w:rPr>
                    <w:t>L4/L7内容交换的服务器负载均衡功能，可在单一设备上支持多个应用和服务器集群，可以根据多种算法和要求分配用户的请求。</w:t>
                  </w:r>
                </w:p>
              </w:tc>
            </w:tr>
            <w:tr>
              <w:tc>
                <w:tcPr>
                  <w:tcW w:type="dxa" w:w="6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IPv6</w:t>
                  </w:r>
                </w:p>
              </w:tc>
              <w:tc>
                <w:tcPr>
                  <w:tcW w:type="dxa" w:w="19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IPv6。IPv6支持双栈模式，支持NAT46、NAT64、NAT66等协议转换。</w:t>
                  </w:r>
                </w:p>
              </w:tc>
            </w:tr>
            <w:tr>
              <w:tc>
                <w:tcPr>
                  <w:tcW w:type="dxa" w:w="6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应用优化及安全</w:t>
                  </w:r>
                </w:p>
              </w:tc>
              <w:tc>
                <w:tcPr>
                  <w:tcW w:type="dxa" w:w="19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支持并实配</w:t>
                  </w:r>
                  <w:r>
                    <w:rPr>
                      <w:rFonts w:ascii="仿宋_GB2312" w:hAnsi="仿宋_GB2312" w:cs="仿宋_GB2312" w:eastAsia="仿宋_GB2312"/>
                      <w:sz w:val="20"/>
                    </w:rPr>
                    <w:t>TCP连接复用，支持HTTP压缩，专用硬件芯片支持大并发多证书SSL卸载等功能。</w:t>
                  </w:r>
                </w:p>
                <w:p>
                  <w:pPr>
                    <w:pStyle w:val="null3"/>
                    <w:jc w:val="both"/>
                  </w:pPr>
                  <w:r>
                    <w:rPr>
                      <w:rFonts w:ascii="仿宋_GB2312" w:hAnsi="仿宋_GB2312" w:cs="仿宋_GB2312" w:eastAsia="仿宋_GB2312"/>
                      <w:sz w:val="20"/>
                    </w:rPr>
                    <w:t>支持攻击防护、端口扫描防范等功能。</w:t>
                  </w:r>
                </w:p>
              </w:tc>
            </w:tr>
            <w:tr>
              <w:tc>
                <w:tcPr>
                  <w:tcW w:type="dxa" w:w="6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网络功能</w:t>
                  </w:r>
                </w:p>
              </w:tc>
              <w:tc>
                <w:tcPr>
                  <w:tcW w:type="dxa" w:w="19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支持端口聚合，支持</w:t>
                  </w:r>
                  <w:r>
                    <w:rPr>
                      <w:rFonts w:ascii="仿宋_GB2312" w:hAnsi="仿宋_GB2312" w:cs="仿宋_GB2312" w:eastAsia="仿宋_GB2312"/>
                      <w:sz w:val="20"/>
                    </w:rPr>
                    <w:t>VLAN、STP、MSTP，支持RIP、OSPFv2/v3、BGP等路由协议，支持IPSEC VPN隧道模式，提供双边场景的安全防护，支持主备。</w:t>
                  </w:r>
                </w:p>
              </w:tc>
            </w:tr>
            <w:tr>
              <w:tc>
                <w:tcPr>
                  <w:tcW w:type="dxa" w:w="6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管理特性</w:t>
                  </w:r>
                </w:p>
              </w:tc>
              <w:tc>
                <w:tcPr>
                  <w:tcW w:type="dxa" w:w="19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支持中文界面管理</w:t>
                  </w:r>
                  <w:r>
                    <w:rPr>
                      <w:rFonts w:ascii="仿宋_GB2312" w:hAnsi="仿宋_GB2312" w:cs="仿宋_GB2312" w:eastAsia="仿宋_GB2312"/>
                      <w:sz w:val="20"/>
                    </w:rPr>
                    <w:t>,支持SNMPV1/V2C/V3。</w:t>
                  </w:r>
                </w:p>
              </w:tc>
            </w:tr>
            <w:tr>
              <w:tc>
                <w:tcPr>
                  <w:tcW w:type="dxa" w:w="6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设备配置</w:t>
                  </w:r>
                </w:p>
              </w:tc>
              <w:tc>
                <w:tcPr>
                  <w:tcW w:type="dxa" w:w="19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主机</w:t>
                  </w:r>
                  <w:r>
                    <w:rPr>
                      <w:rFonts w:ascii="仿宋_GB2312" w:hAnsi="仿宋_GB2312" w:cs="仿宋_GB2312" w:eastAsia="仿宋_GB2312"/>
                      <w:sz w:val="20"/>
                    </w:rPr>
                    <w:t>3台。配置双电源。</w:t>
                  </w:r>
                </w:p>
              </w:tc>
            </w:tr>
            <w:tr>
              <w:tc>
                <w:tcPr>
                  <w:tcW w:type="dxa" w:w="6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设备数量</w:t>
                  </w:r>
                </w:p>
              </w:tc>
              <w:tc>
                <w:tcPr>
                  <w:tcW w:type="dxa" w:w="19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3台</w:t>
                  </w:r>
                </w:p>
              </w:tc>
            </w:tr>
            <w:tr>
              <w:tc>
                <w:tcPr>
                  <w:tcW w:type="dxa" w:w="6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维保服务</w:t>
                  </w:r>
                </w:p>
              </w:tc>
              <w:tc>
                <w:tcPr>
                  <w:tcW w:type="dxa" w:w="19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内置</w:t>
                  </w:r>
                  <w:r>
                    <w:rPr>
                      <w:rFonts w:ascii="仿宋_GB2312" w:hAnsi="仿宋_GB2312" w:cs="仿宋_GB2312" w:eastAsia="仿宋_GB2312"/>
                      <w:sz w:val="20"/>
                    </w:rPr>
                    <w:t>软件升级</w:t>
                  </w:r>
                  <w:r>
                    <w:rPr>
                      <w:rFonts w:ascii="仿宋_GB2312" w:hAnsi="仿宋_GB2312" w:cs="仿宋_GB2312" w:eastAsia="仿宋_GB2312"/>
                      <w:sz w:val="20"/>
                    </w:rPr>
                    <w:t>授权、硬件质保服务一年</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0"/>
                <w:color w:val="000000"/>
              </w:rPr>
              <w:t>专网业务可视化管理系统（网管系统）要求</w:t>
            </w:r>
          </w:p>
          <w:tbl>
            <w:tblPr>
              <w:tblBorders>
                <w:top w:val="none" w:color="000000" w:sz="4"/>
                <w:left w:val="none" w:color="000000" w:sz="4"/>
                <w:bottom w:val="none" w:color="000000" w:sz="4"/>
                <w:right w:val="none" w:color="000000" w:sz="4"/>
                <w:insideH w:val="none"/>
                <w:insideV w:val="none"/>
              </w:tblBorders>
            </w:tblPr>
            <w:tblGrid>
              <w:gridCol w:w="609"/>
              <w:gridCol w:w="1944"/>
            </w:tblGrid>
            <w:tr>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具体技术要求</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系统平台</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平台采用</w:t>
                  </w:r>
                  <w:r>
                    <w:rPr>
                      <w:rFonts w:ascii="仿宋_GB2312" w:hAnsi="仿宋_GB2312" w:cs="仿宋_GB2312" w:eastAsia="仿宋_GB2312"/>
                      <w:sz w:val="20"/>
                    </w:rPr>
                    <w:t>B/S架构，能在Windows,Linux等不同平台下顺利部署、移植，采用模块化开发。系统自带无版权问题的数据库，性能数据存储支持hbase数据库存储，采用 Hadoop框架，dubbo服务架构，支持分布式部署，分布式节点能够自动负载均衡。（提供截图证明和官方网站链接并加盖原厂鲜章）</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设备管理</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支持对符合</w:t>
                  </w:r>
                  <w:r>
                    <w:rPr>
                      <w:rFonts w:ascii="仿宋_GB2312" w:hAnsi="仿宋_GB2312" w:cs="仿宋_GB2312" w:eastAsia="仿宋_GB2312"/>
                      <w:sz w:val="20"/>
                    </w:rPr>
                    <w:t>snmp协议的交换机、路由器、防火墙等网络设备进行监测，包含设备的mac地址、运行时间、描述信息、ICMP、内存利用率、CPU利用率等基本信息。能够自动发现设备的网络接口，能够监测到接口的状态、类型、输入输出速率、输入输出利用率等信息。</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数据展示</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1.提供全省、市、区县、考场多级联动、层层下钻的方式直观呈现。</w:t>
                  </w:r>
                </w:p>
                <w:p>
                  <w:pPr>
                    <w:pStyle w:val="null3"/>
                    <w:jc w:val="both"/>
                  </w:pPr>
                  <w:r>
                    <w:rPr>
                      <w:rFonts w:ascii="仿宋_GB2312" w:hAnsi="仿宋_GB2312" w:cs="仿宋_GB2312" w:eastAsia="仿宋_GB2312"/>
                      <w:sz w:val="20"/>
                    </w:rPr>
                    <w:t>2.全省设备、链路数据，能够通过拓扑直观呈现性能与预警数据。拓扑布局方式支持基本对齐、东对齐、南对齐、北对齐、西对齐等多种布局方式。图元提供水平对齐和垂直对齐方式。链路支持实现和虚线，支持链路流动，可根据链路的流量大小支持不同颜色、颜色可以调色面板的方式用户自定义。链路样式支持单点折线、两端折线、延伸东、延伸南、延伸西、延伸北、水平垂直等多种样式。</w:t>
                  </w:r>
                </w:p>
                <w:p>
                  <w:pPr>
                    <w:pStyle w:val="null3"/>
                    <w:jc w:val="both"/>
                  </w:pPr>
                  <w:r>
                    <w:rPr>
                      <w:rFonts w:ascii="仿宋_GB2312" w:hAnsi="仿宋_GB2312" w:cs="仿宋_GB2312" w:eastAsia="仿宋_GB2312"/>
                      <w:sz w:val="20"/>
                    </w:rPr>
                    <w:t>3.支持拓扑图支持分组，可根据考场区域、专线片区等进行分组呈现，样式可为矩形、圆形、圆角矩形等形状，也可自定义颜色和渐变，支持分组缩放。</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定制服务</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1.支持平台二次开发服务，需原厂商研发工程师驻场根据运维实际情况定制开发。</w:t>
                  </w:r>
                </w:p>
                <w:p>
                  <w:pPr>
                    <w:pStyle w:val="null3"/>
                    <w:jc w:val="both"/>
                  </w:pPr>
                  <w:r>
                    <w:rPr>
                      <w:rFonts w:ascii="仿宋_GB2312" w:hAnsi="仿宋_GB2312" w:cs="仿宋_GB2312" w:eastAsia="仿宋_GB2312"/>
                      <w:sz w:val="20"/>
                    </w:rPr>
                    <w:t>2.提供图形设计服务，提供陕西省、市、区县地图设计，并跟拓扑保持联动。提供大屏设计、开发服务，定制化展示效果，根据省、市形成二级联动大屏展现效果。</w:t>
                  </w:r>
                </w:p>
                <w:p>
                  <w:pPr>
                    <w:pStyle w:val="null3"/>
                    <w:jc w:val="both"/>
                  </w:pPr>
                  <w:r>
                    <w:rPr>
                      <w:rFonts w:ascii="仿宋_GB2312" w:hAnsi="仿宋_GB2312" w:cs="仿宋_GB2312" w:eastAsia="仿宋_GB2312"/>
                      <w:sz w:val="20"/>
                    </w:rPr>
                    <w:t>3.提供拓扑图定制开发服务，采用B/S架构，无需加载插件，提供省、市、地多级拓扑结构，支持多级联动，链路图元可直观显示数据，支持矢量图元，大小可自由设置，无论设置多大图元不失帧。基于性能要求同张拓扑图上支持展示2000个节点以上，页面加载时间不超过3秒。</w:t>
                  </w:r>
                </w:p>
                <w:p>
                  <w:pPr>
                    <w:pStyle w:val="null3"/>
                    <w:jc w:val="both"/>
                  </w:pPr>
                  <w:r>
                    <w:rPr>
                      <w:rFonts w:ascii="仿宋_GB2312" w:hAnsi="仿宋_GB2312" w:cs="仿宋_GB2312" w:eastAsia="仿宋_GB2312"/>
                      <w:sz w:val="20"/>
                    </w:rPr>
                    <w:t>4.提供数据采集二次开发服务，要求可基于ICMP、SNMP、SQL、JMX、IPMI、TELNET、SSH方式进行接口开发，可对取值类型、表达式、单位转换、显示转换等进行自定义，支持单值、一维数组、二维数组等多种数据结构。</w:t>
                  </w:r>
                </w:p>
                <w:p>
                  <w:pPr>
                    <w:pStyle w:val="null3"/>
                    <w:jc w:val="both"/>
                  </w:pPr>
                  <w:r>
                    <w:rPr>
                      <w:rFonts w:ascii="仿宋_GB2312" w:hAnsi="仿宋_GB2312" w:cs="仿宋_GB2312" w:eastAsia="仿宋_GB2312"/>
                      <w:sz w:val="20"/>
                    </w:rPr>
                    <w:t>5.提供数据分析二次开发服务，能够基于过去的数据，通过算法，可生成预测曲线，可计算出预测数据、震荡值。可基于任意时间维度随时重构预测曲线，系统能够自动推荐合理的数据波动值，并可基于该数据进行预警。</w:t>
                  </w:r>
                </w:p>
                <w:p>
                  <w:pPr>
                    <w:pStyle w:val="null3"/>
                    <w:jc w:val="both"/>
                  </w:pPr>
                  <w:r>
                    <w:rPr>
                      <w:rFonts w:ascii="仿宋_GB2312" w:hAnsi="仿宋_GB2312" w:cs="仿宋_GB2312" w:eastAsia="仿宋_GB2312"/>
                      <w:sz w:val="20"/>
                    </w:rPr>
                    <w:t>6.提供预警时间轴功能，每个资源能够以时间线的方式直观展示预警信息。</w:t>
                  </w:r>
                </w:p>
                <w:p>
                  <w:pPr>
                    <w:pStyle w:val="null3"/>
                    <w:jc w:val="both"/>
                  </w:pPr>
                  <w:r>
                    <w:rPr>
                      <w:rFonts w:ascii="仿宋_GB2312" w:hAnsi="仿宋_GB2312" w:cs="仿宋_GB2312" w:eastAsia="仿宋_GB2312"/>
                      <w:sz w:val="20"/>
                    </w:rPr>
                    <w:t>7.提供高度可定制的资源详情页面，用户可自定义每个资源的详情页面的布局方式，同时支持指标以自定义方式展示，支持折线、表格、仪表盘等多种展示方式，用户可对资源详情页面进行拖拽式编辑。</w:t>
                  </w:r>
                </w:p>
                <w:p>
                  <w:pPr>
                    <w:pStyle w:val="null3"/>
                    <w:jc w:val="both"/>
                  </w:pPr>
                  <w:r>
                    <w:rPr>
                      <w:rFonts w:ascii="仿宋_GB2312" w:hAnsi="仿宋_GB2312" w:cs="仿宋_GB2312" w:eastAsia="仿宋_GB2312"/>
                      <w:sz w:val="20"/>
                    </w:rPr>
                    <w:t>以上二次开发服务需原厂单独出具二次开发服务承诺函加盖原厂鲜章。</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资源授权</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1个集中管理平台，对700台设备（包含：安全设备、网络设备、服务器）等资源进行集中化管理运维，包括链路管理、拓扑管理、预警与报表等功能模块。</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资质与服务</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计算机软件著作权登记证书，拥有自主知识产权的产品</w:t>
                  </w:r>
                </w:p>
                <w:p>
                  <w:pPr>
                    <w:pStyle w:val="null3"/>
                    <w:jc w:val="both"/>
                  </w:pPr>
                  <w:r>
                    <w:rPr>
                      <w:rFonts w:ascii="仿宋_GB2312" w:hAnsi="仿宋_GB2312" w:cs="仿宋_GB2312" w:eastAsia="仿宋_GB2312"/>
                      <w:sz w:val="20"/>
                    </w:rPr>
                    <w:t>产品取得有效的公安部销售许可证，提供证书复印件并加盖原厂鲜章</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设备配置</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主机</w:t>
                  </w:r>
                  <w:r>
                    <w:rPr>
                      <w:rFonts w:ascii="仿宋_GB2312" w:hAnsi="仿宋_GB2312" w:cs="仿宋_GB2312" w:eastAsia="仿宋_GB2312"/>
                      <w:sz w:val="20"/>
                    </w:rPr>
                    <w:t>3台。配置双电源。</w:t>
                  </w:r>
                </w:p>
              </w:tc>
            </w:tr>
            <w:tr>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1套</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0"/>
                <w:color w:val="000000"/>
              </w:rPr>
              <w:t>专网管理服务器</w:t>
            </w:r>
          </w:p>
          <w:tbl>
            <w:tblPr>
              <w:tblBorders>
                <w:top w:val="none" w:color="000000" w:sz="4"/>
                <w:left w:val="none" w:color="000000" w:sz="4"/>
                <w:bottom w:val="none" w:color="000000" w:sz="4"/>
                <w:right w:val="none" w:color="000000" w:sz="4"/>
                <w:insideH w:val="none"/>
                <w:insideV w:val="none"/>
              </w:tblBorders>
            </w:tblPr>
            <w:tblGrid>
              <w:gridCol w:w="664"/>
              <w:gridCol w:w="1889"/>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功能及技术指标</w:t>
                  </w:r>
                </w:p>
              </w:tc>
              <w:tc>
                <w:tcPr>
                  <w:tcW w:type="dxa" w:w="1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参数要求</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架构</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机架式服务器。</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CPU</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≥2颗，处理器≥2.6GHz、≥4核CPU。</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内存</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最大可扩展内存</w:t>
                  </w:r>
                  <w:r>
                    <w:rPr>
                      <w:rFonts w:ascii="仿宋_GB2312" w:hAnsi="仿宋_GB2312" w:cs="仿宋_GB2312" w:eastAsia="仿宋_GB2312"/>
                      <w:sz w:val="20"/>
                    </w:rPr>
                    <w:t>≥1.5TB，内存插槽数≥24，配置内存容量≥64GB（DDR4）；</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硬盘</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最大支持硬盘插槽数</w:t>
                  </w:r>
                  <w:r>
                    <w:rPr>
                      <w:rFonts w:ascii="仿宋_GB2312" w:hAnsi="仿宋_GB2312" w:cs="仿宋_GB2312" w:eastAsia="仿宋_GB2312"/>
                      <w:sz w:val="20"/>
                    </w:rPr>
                    <w:t>&gt;=31个，硬盘类型为热拔插SAS/SATA/SSD硬盘，配置2*1.2TB 12G SAS 10K 2.5in；</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PCIe</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标准</w:t>
                  </w:r>
                  <w:r>
                    <w:rPr>
                      <w:rFonts w:ascii="仿宋_GB2312" w:hAnsi="仿宋_GB2312" w:cs="仿宋_GB2312" w:eastAsia="仿宋_GB2312"/>
                      <w:sz w:val="20"/>
                    </w:rPr>
                    <w:t>PCIE3.0插槽&gt;=8，最大支持3个高性能GPU卡；支持RAID0、1、5、10、50、6等；支持高级内存纠错、内存镜像、内存热备等；配置1GB缓存，掉电瞬间，RAID卡内存信息写到flash，提供永久保护。</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管理</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千兆口数</w:t>
                  </w:r>
                  <w:r>
                    <w:rPr>
                      <w:rFonts w:ascii="仿宋_GB2312" w:hAnsi="仿宋_GB2312" w:cs="仿宋_GB2312" w:eastAsia="仿宋_GB2312"/>
                      <w:sz w:val="20"/>
                    </w:rPr>
                    <w:t>&gt;=4，1个管理GE端口。</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冗余电源</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工作温度</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5℃～50℃</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品牌资质</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国内知名品牌</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设备数量</w:t>
                  </w:r>
                </w:p>
              </w:tc>
              <w:tc>
                <w:tcPr>
                  <w:tcW w:type="dxa" w:w="1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2台</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0"/>
                <w:color w:val="000000"/>
              </w:rPr>
              <w:t>GPU算力服务器</w:t>
            </w:r>
          </w:p>
          <w:tbl>
            <w:tblPr>
              <w:tblInd w:type="dxa" w:w="90"/>
              <w:tblBorders>
                <w:top w:val="none" w:color="000000" w:sz="4"/>
                <w:left w:val="none" w:color="000000" w:sz="4"/>
                <w:bottom w:val="none" w:color="000000" w:sz="4"/>
                <w:right w:val="none" w:color="000000" w:sz="4"/>
                <w:insideH w:val="none"/>
                <w:insideV w:val="none"/>
              </w:tblBorders>
            </w:tblPr>
            <w:tblGrid>
              <w:gridCol w:w="464"/>
              <w:gridCol w:w="2089"/>
            </w:tblGrid>
            <w:tr>
              <w:tc>
                <w:tcPr>
                  <w:tcW w:type="dxa" w:w="46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功能及技术指标</w:t>
                  </w:r>
                </w:p>
              </w:tc>
              <w:tc>
                <w:tcPr>
                  <w:tcW w:type="dxa" w:w="20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参数要求</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结构</w:t>
                  </w:r>
                </w:p>
              </w:tc>
              <w:tc>
                <w:tcPr>
                  <w:tcW w:type="dxa" w:w="20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4U双路机架式；</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处理器</w:t>
                  </w:r>
                </w:p>
              </w:tc>
              <w:tc>
                <w:tcPr>
                  <w:tcW w:type="dxa" w:w="20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2 * Intel XEON Silver 4114  10核（20线程）2.2GHz处理器；</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内存</w:t>
                  </w:r>
                </w:p>
              </w:tc>
              <w:tc>
                <w:tcPr>
                  <w:tcW w:type="dxa" w:w="20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256GB（ 8 * 32GB ）DDR4  2666MHz，拥有24个DDR4 DIMM插槽并最多支持3TB内存容量；</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系统盘</w:t>
                  </w:r>
                </w:p>
              </w:tc>
              <w:tc>
                <w:tcPr>
                  <w:tcW w:type="dxa" w:w="20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Samsung 512GB固态硬盘（SATA/2.5寸/6GB/S）；</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数据盘</w:t>
                  </w:r>
                </w:p>
              </w:tc>
              <w:tc>
                <w:tcPr>
                  <w:tcW w:type="dxa" w:w="20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4块1TB/SAS/7200RPM/3.5寸/企业级；</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网卡</w:t>
                  </w:r>
                </w:p>
              </w:tc>
              <w:tc>
                <w:tcPr>
                  <w:tcW w:type="dxa" w:w="20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2个千兆网口 + 2个万兆网口；</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扩展槽</w:t>
                  </w:r>
                </w:p>
              </w:tc>
              <w:tc>
                <w:tcPr>
                  <w:tcW w:type="dxa" w:w="20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8个x16 PCIe Gen3插槽，并另提供2个PCIE 3.0 x8插槽，1个PCIE 2.0 x4插槽；</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电源连接器</w:t>
                  </w:r>
                </w:p>
              </w:tc>
              <w:tc>
                <w:tcPr>
                  <w:tcW w:type="dxa" w:w="20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2个 PCle AUX（6 针）；</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电源</w:t>
                  </w:r>
                </w:p>
              </w:tc>
              <w:tc>
                <w:tcPr>
                  <w:tcW w:type="dxa" w:w="20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2000W 2+2 钛金冗余电源；</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操作系统</w:t>
                  </w:r>
                </w:p>
              </w:tc>
              <w:tc>
                <w:tcPr>
                  <w:tcW w:type="dxa" w:w="20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Windows Server 2016；</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功能</w:t>
                  </w:r>
                </w:p>
              </w:tc>
              <w:tc>
                <w:tcPr>
                  <w:tcW w:type="dxa" w:w="20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用于进行视频分析的服务器；每个服务器可支持</w:t>
                  </w:r>
                  <w:r>
                    <w:rPr>
                      <w:rFonts w:ascii="仿宋_GB2312" w:hAnsi="仿宋_GB2312" w:cs="仿宋_GB2312" w:eastAsia="仿宋_GB2312"/>
                      <w:sz w:val="20"/>
                    </w:rPr>
                    <w:t>80路视频分析；</w:t>
                  </w:r>
                </w:p>
              </w:tc>
            </w:tr>
            <w:tr>
              <w:tc>
                <w:tcPr>
                  <w:tcW w:type="dxa" w:w="2553"/>
                  <w:gridSpan w:val="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单台图形工作站含</w:t>
                  </w:r>
                  <w:r>
                    <w:rPr>
                      <w:rFonts w:ascii="仿宋_GB2312" w:hAnsi="仿宋_GB2312" w:cs="仿宋_GB2312" w:eastAsia="仿宋_GB2312"/>
                      <w:sz w:val="20"/>
                      <w:b/>
                    </w:rPr>
                    <w:t>8块高性能显卡（显卡参数要求如下）</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w:t>
                  </w:r>
                  <w:r>
                    <w:rPr>
                      <w:rFonts w:ascii="仿宋_GB2312" w:hAnsi="仿宋_GB2312" w:cs="仿宋_GB2312" w:eastAsia="仿宋_GB2312"/>
                      <w:sz w:val="20"/>
                    </w:rPr>
                    <w:t>单精度浮点运算能力</w:t>
                  </w:r>
                </w:p>
              </w:tc>
              <w:tc>
                <w:tcPr>
                  <w:tcW w:type="dxa" w:w="20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8.1 TFlops；</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流处理器单元</w:t>
                  </w:r>
                </w:p>
              </w:tc>
              <w:tc>
                <w:tcPr>
                  <w:tcW w:type="dxa" w:w="20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2560；</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w:t>
                  </w:r>
                  <w:r>
                    <w:rPr>
                      <w:rFonts w:ascii="仿宋_GB2312" w:hAnsi="仿宋_GB2312" w:cs="仿宋_GB2312" w:eastAsia="仿宋_GB2312"/>
                      <w:sz w:val="20"/>
                    </w:rPr>
                    <w:t>显存容量</w:t>
                  </w:r>
                </w:p>
              </w:tc>
              <w:tc>
                <w:tcPr>
                  <w:tcW w:type="dxa" w:w="20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16GB；</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显存速度</w:t>
                  </w:r>
                </w:p>
              </w:tc>
              <w:tc>
                <w:tcPr>
                  <w:tcW w:type="dxa" w:w="20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300GB/s；</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图形总线</w:t>
                  </w:r>
                </w:p>
              </w:tc>
              <w:tc>
                <w:tcPr>
                  <w:tcW w:type="dxa" w:w="20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x16 PCIe Gen3；</w:t>
                  </w:r>
                </w:p>
              </w:tc>
            </w:tr>
            <w:tr>
              <w:tc>
                <w:tcPr>
                  <w:tcW w:type="dxa" w:w="46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设备数量</w:t>
                  </w:r>
                </w:p>
              </w:tc>
              <w:tc>
                <w:tcPr>
                  <w:tcW w:type="dxa" w:w="20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2台。</w:t>
                  </w: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0"/>
                <w:color w:val="000000"/>
              </w:rPr>
              <w:t>虚拟化应用</w:t>
            </w:r>
          </w:p>
          <w:tbl>
            <w:tblPr>
              <w:tblBorders>
                <w:top w:val="none" w:color="000000" w:sz="4"/>
                <w:left w:val="none" w:color="000000" w:sz="4"/>
                <w:bottom w:val="none" w:color="000000" w:sz="4"/>
                <w:right w:val="none" w:color="000000" w:sz="4"/>
                <w:insideH w:val="none"/>
                <w:insideV w:val="none"/>
              </w:tblBorders>
            </w:tblPr>
            <w:tblGrid>
              <w:gridCol w:w="226"/>
              <w:gridCol w:w="357"/>
              <w:gridCol w:w="1969"/>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名称</w:t>
                  </w:r>
                </w:p>
              </w:tc>
              <w:tc>
                <w:tcPr>
                  <w:tcW w:type="dxa" w:w="19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主要技术参数</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超融合服务器（</w:t>
                  </w:r>
                  <w:r>
                    <w:rPr>
                      <w:rFonts w:ascii="仿宋_GB2312" w:hAnsi="仿宋_GB2312" w:cs="仿宋_GB2312" w:eastAsia="仿宋_GB2312"/>
                      <w:sz w:val="20"/>
                    </w:rPr>
                    <w:t>10台）</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1.结构：≥2U，标配原厂导轨(含机箱、主板、电源、风扇、远程管理模块、上架套件等)；</w:t>
                  </w:r>
                </w:p>
                <w:p>
                  <w:pPr>
                    <w:pStyle w:val="null3"/>
                    <w:jc w:val="both"/>
                  </w:pPr>
                  <w:r>
                    <w:rPr>
                      <w:rFonts w:ascii="仿宋_GB2312" w:hAnsi="仿宋_GB2312" w:cs="仿宋_GB2312" w:eastAsia="仿宋_GB2312"/>
                      <w:sz w:val="20"/>
                    </w:rPr>
                    <w:t>2.处理器：Intel 至强可扩展系列处理器 6150(2.7GHz/18核）数量≥2颗</w:t>
                  </w:r>
                </w:p>
                <w:p>
                  <w:pPr>
                    <w:pStyle w:val="null3"/>
                    <w:jc w:val="both"/>
                  </w:pPr>
                  <w:r>
                    <w:rPr>
                      <w:rFonts w:ascii="仿宋_GB2312" w:hAnsi="仿宋_GB2312" w:cs="仿宋_GB2312" w:eastAsia="仿宋_GB2312"/>
                      <w:sz w:val="20"/>
                    </w:rPr>
                    <w:t>3.内存：内存实配规格≥128GB，最大支持24根DDR4内存，最高速率2933MT/s，支持RDIMM或LRDIMM，最大容量3.0TB，支持12根英特尔</w:t>
                  </w:r>
                  <w:r>
                    <w:rPr>
                      <w:rFonts w:ascii="仿宋_GB2312" w:hAnsi="仿宋_GB2312" w:cs="仿宋_GB2312" w:eastAsia="仿宋_GB2312"/>
                      <w:sz w:val="20"/>
                    </w:rPr>
                    <w:t>®傲腾™数据中心级持久内存（DCPMM）</w:t>
                  </w:r>
                </w:p>
                <w:p>
                  <w:pPr>
                    <w:pStyle w:val="null3"/>
                    <w:jc w:val="both"/>
                  </w:pPr>
                  <w:r>
                    <w:rPr>
                      <w:rFonts w:ascii="仿宋_GB2312" w:hAnsi="仿宋_GB2312" w:cs="仿宋_GB2312" w:eastAsia="仿宋_GB2312"/>
                      <w:sz w:val="20"/>
                    </w:rPr>
                    <w:t>4.存储：≥4 * 8TB SATA HDD盘，≥2* 960GB SATA SSD盘</w:t>
                  </w:r>
                </w:p>
                <w:p>
                  <w:pPr>
                    <w:pStyle w:val="null3"/>
                    <w:jc w:val="both"/>
                  </w:pPr>
                  <w:r>
                    <w:rPr>
                      <w:rFonts w:ascii="仿宋_GB2312" w:hAnsi="仿宋_GB2312" w:cs="仿宋_GB2312" w:eastAsia="仿宋_GB2312"/>
                      <w:sz w:val="20"/>
                    </w:rPr>
                    <w:t>5.RAID：≥1个标配SASRAID阵列卡，支持RAID0/1/10/5/6/50/60/1E/Simple Volume；≥1GB缓存，支持缓存数据保护，且后备保护时间不受限制；</w:t>
                  </w:r>
                </w:p>
                <w:p>
                  <w:pPr>
                    <w:pStyle w:val="null3"/>
                    <w:jc w:val="both"/>
                  </w:pPr>
                  <w:r>
                    <w:rPr>
                      <w:rFonts w:ascii="仿宋_GB2312" w:hAnsi="仿宋_GB2312" w:cs="仿宋_GB2312" w:eastAsia="仿宋_GB2312"/>
                      <w:sz w:val="20"/>
                    </w:rPr>
                    <w:t>6.接口：提供≥1个网卡专用插槽（不占用PCIE扩展槽），≥4个万兆光接口，满配多模万兆光模块，≥4个千兆电接口；PCI I/O插槽：支持≥8个标准PCIE3.0插槽；≥5个USB3.0接口，最高可扩展至6个USB接口；标配1个VGA，可选配支持最高2个VGA接口；支持后部独立的管理端口；标配1个串口。</w:t>
                  </w:r>
                </w:p>
                <w:p>
                  <w:pPr>
                    <w:pStyle w:val="null3"/>
                    <w:jc w:val="both"/>
                  </w:pPr>
                  <w:r>
                    <w:rPr>
                      <w:rFonts w:ascii="仿宋_GB2312" w:hAnsi="仿宋_GB2312" w:cs="仿宋_GB2312" w:eastAsia="仿宋_GB2312"/>
                      <w:sz w:val="20"/>
                    </w:rPr>
                    <w:t>7.支持≥3块双宽或8块单宽GPU卡</w:t>
                  </w:r>
                </w:p>
                <w:p>
                  <w:pPr>
                    <w:pStyle w:val="null3"/>
                    <w:jc w:val="both"/>
                  </w:pPr>
                  <w:r>
                    <w:rPr>
                      <w:rFonts w:ascii="仿宋_GB2312" w:hAnsi="仿宋_GB2312" w:cs="仿宋_GB2312" w:eastAsia="仿宋_GB2312"/>
                      <w:sz w:val="20"/>
                    </w:rPr>
                    <w:t>8.配置≥1Gb独立的远程管理控制端口；配置虚拟KVM功能, 可实现与操作系统无关的远程对服务器的完全控制，包括远程的开机、关机、重启、更新Firmware、虚拟光驱、虚拟文件夹等操作，提供服务器健康日记、服务器控制台录屏</w:t>
                  </w:r>
                  <w:r>
                    <w:rPr>
                      <w:rFonts w:ascii="仿宋_GB2312" w:hAnsi="仿宋_GB2312" w:cs="仿宋_GB2312" w:eastAsia="仿宋_GB2312"/>
                      <w:sz w:val="20"/>
                    </w:rPr>
                    <w:t>/回放功能，能够提供电源监控，支持3D图形化的机箱内部温度拓扑图显示，可支持动态功率封顶。</w:t>
                  </w:r>
                </w:p>
                <w:p>
                  <w:pPr>
                    <w:pStyle w:val="null3"/>
                    <w:jc w:val="both"/>
                  </w:pPr>
                  <w:r>
                    <w:rPr>
                      <w:rFonts w:ascii="仿宋_GB2312" w:hAnsi="仿宋_GB2312" w:cs="仿宋_GB2312" w:eastAsia="仿宋_GB2312"/>
                      <w:sz w:val="20"/>
                    </w:rPr>
                    <w:t>9.2个≥1300w热插拔冗余电源，热插拔冗余风扇</w:t>
                  </w:r>
                </w:p>
                <w:p>
                  <w:pPr>
                    <w:pStyle w:val="null3"/>
                    <w:jc w:val="both"/>
                  </w:pPr>
                  <w:r>
                    <w:rPr>
                      <w:rFonts w:ascii="仿宋_GB2312" w:hAnsi="仿宋_GB2312" w:cs="仿宋_GB2312" w:eastAsia="仿宋_GB2312"/>
                      <w:sz w:val="20"/>
                    </w:rPr>
                    <w:t>10.维保服务：</w:t>
                  </w:r>
                  <w:r>
                    <w:rPr>
                      <w:rFonts w:ascii="仿宋_GB2312" w:hAnsi="仿宋_GB2312" w:cs="仿宋_GB2312" w:eastAsia="仿宋_GB2312"/>
                      <w:sz w:val="20"/>
                      <w:color w:val="000000"/>
                    </w:rPr>
                    <w:t>三年整机硬件保修，设备厂商工程师上门服务。</w:t>
                  </w:r>
                  <w:r>
                    <w:rPr>
                      <w:rFonts w:ascii="仿宋_GB2312" w:hAnsi="仿宋_GB2312" w:cs="仿宋_GB2312" w:eastAsia="仿宋_GB2312"/>
                      <w:sz w:val="20"/>
                      <w:color w:val="000000"/>
                    </w:rPr>
                    <w:t>（</w:t>
                  </w:r>
                  <w:r>
                    <w:rPr>
                      <w:rFonts w:ascii="仿宋_GB2312" w:hAnsi="仿宋_GB2312" w:cs="仿宋_GB2312" w:eastAsia="仿宋_GB2312"/>
                      <w:sz w:val="20"/>
                      <w:color w:val="000000"/>
                    </w:rPr>
                    <w:t>费用包含在合同款中</w:t>
                  </w:r>
                  <w:r>
                    <w:rPr>
                      <w:rFonts w:ascii="仿宋_GB2312" w:hAnsi="仿宋_GB2312" w:cs="仿宋_GB2312" w:eastAsia="仿宋_GB2312"/>
                      <w:sz w:val="20"/>
                      <w:color w:val="000000"/>
                    </w:rPr>
                    <w:t>）</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超融合服务器（</w:t>
                  </w:r>
                  <w:r>
                    <w:rPr>
                      <w:rFonts w:ascii="仿宋_GB2312" w:hAnsi="仿宋_GB2312" w:cs="仿宋_GB2312" w:eastAsia="仿宋_GB2312"/>
                      <w:sz w:val="20"/>
                    </w:rPr>
                    <w:t>2台）</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1、两路2U机架式服务器；</w:t>
                  </w:r>
                </w:p>
                <w:p>
                  <w:pPr>
                    <w:pStyle w:val="null3"/>
                    <w:jc w:val="both"/>
                  </w:pPr>
                  <w:r>
                    <w:rPr>
                      <w:rFonts w:ascii="仿宋_GB2312" w:hAnsi="仿宋_GB2312" w:cs="仿宋_GB2312" w:eastAsia="仿宋_GB2312"/>
                      <w:sz w:val="20"/>
                    </w:rPr>
                    <w:t>2、CPU：2*6150(2.7GHz/18核/24MB/165W)处理器；</w:t>
                  </w:r>
                </w:p>
                <w:p>
                  <w:pPr>
                    <w:pStyle w:val="null3"/>
                    <w:jc w:val="both"/>
                  </w:pPr>
                  <w:r>
                    <w:rPr>
                      <w:rFonts w:ascii="仿宋_GB2312" w:hAnsi="仿宋_GB2312" w:cs="仿宋_GB2312" w:eastAsia="仿宋_GB2312"/>
                      <w:sz w:val="20"/>
                    </w:rPr>
                    <w:t>3、内存：4 * 32GB 3200MT/s DDR4，共128G；</w:t>
                  </w:r>
                </w:p>
                <w:p>
                  <w:pPr>
                    <w:pStyle w:val="null3"/>
                    <w:jc w:val="both"/>
                  </w:pPr>
                  <w:r>
                    <w:rPr>
                      <w:rFonts w:ascii="仿宋_GB2312" w:hAnsi="仿宋_GB2312" w:cs="仿宋_GB2312" w:eastAsia="仿宋_GB2312"/>
                      <w:sz w:val="20"/>
                    </w:rPr>
                    <w:t>4、硬盘：4 * 8TB SATA HDD盘，2 * 960GB SATA SSD盘；</w:t>
                  </w:r>
                </w:p>
                <w:p>
                  <w:pPr>
                    <w:pStyle w:val="null3"/>
                    <w:jc w:val="both"/>
                  </w:pPr>
                  <w:r>
                    <w:rPr>
                      <w:rFonts w:ascii="仿宋_GB2312" w:hAnsi="仿宋_GB2312" w:cs="仿宋_GB2312" w:eastAsia="仿宋_GB2312"/>
                      <w:sz w:val="20"/>
                    </w:rPr>
                    <w:t>5、RAID卡：1块1GB缓存RAID卡，包含掉电保护模块；</w:t>
                  </w:r>
                </w:p>
                <w:p>
                  <w:pPr>
                    <w:pStyle w:val="null3"/>
                    <w:jc w:val="both"/>
                  </w:pPr>
                  <w:r>
                    <w:rPr>
                      <w:rFonts w:ascii="仿宋_GB2312" w:hAnsi="仿宋_GB2312" w:cs="仿宋_GB2312" w:eastAsia="仿宋_GB2312"/>
                      <w:sz w:val="20"/>
                    </w:rPr>
                    <w:t>6、网卡：2块2端口万兆光接口卡，满配多模万兆光模块，1块4端口千兆电接口卡；</w:t>
                  </w:r>
                </w:p>
                <w:p>
                  <w:pPr>
                    <w:pStyle w:val="null3"/>
                    <w:jc w:val="both"/>
                  </w:pPr>
                  <w:r>
                    <w:rPr>
                      <w:rFonts w:ascii="仿宋_GB2312" w:hAnsi="仿宋_GB2312" w:cs="仿宋_GB2312" w:eastAsia="仿宋_GB2312"/>
                      <w:sz w:val="20"/>
                    </w:rPr>
                    <w:t>7、电源：2*1300W交流冗余电源；</w:t>
                  </w:r>
                </w:p>
                <w:p>
                  <w:pPr>
                    <w:pStyle w:val="null3"/>
                    <w:jc w:val="both"/>
                  </w:pPr>
                  <w:r>
                    <w:rPr>
                      <w:rFonts w:ascii="仿宋_GB2312" w:hAnsi="仿宋_GB2312" w:cs="仿宋_GB2312" w:eastAsia="仿宋_GB2312"/>
                      <w:sz w:val="20"/>
                    </w:rPr>
                    <w:t>8、配件：配置导轨、6*热插拔风扇等配件；</w:t>
                  </w:r>
                </w:p>
                <w:p>
                  <w:pPr>
                    <w:pStyle w:val="null3"/>
                    <w:jc w:val="both"/>
                  </w:pPr>
                  <w:r>
                    <w:rPr>
                      <w:rFonts w:ascii="仿宋_GB2312" w:hAnsi="仿宋_GB2312" w:cs="仿宋_GB2312" w:eastAsia="仿宋_GB2312"/>
                      <w:sz w:val="20"/>
                    </w:rPr>
                    <w:t>9、服务：</w:t>
                  </w:r>
                  <w:r>
                    <w:rPr>
                      <w:rFonts w:ascii="仿宋_GB2312" w:hAnsi="仿宋_GB2312" w:cs="仿宋_GB2312" w:eastAsia="仿宋_GB2312"/>
                      <w:sz w:val="20"/>
                    </w:rPr>
                    <w:t>包含一次性的安装部署服务及</w:t>
                  </w:r>
                  <w:r>
                    <w:rPr>
                      <w:rFonts w:ascii="仿宋_GB2312" w:hAnsi="仿宋_GB2312" w:cs="仿宋_GB2312" w:eastAsia="仿宋_GB2312"/>
                      <w:sz w:val="20"/>
                    </w:rPr>
                    <w:t>3年原厂服务</w:t>
                  </w:r>
                </w:p>
              </w:tc>
            </w:tr>
            <w:tr>
              <w:tc>
                <w:tcPr>
                  <w:tcW w:type="dxa" w:w="58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19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12台</w:t>
                  </w:r>
                </w:p>
              </w:tc>
            </w:tr>
          </w:tbl>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0"/>
                <w:color w:val="000000"/>
              </w:rPr>
              <w:t>万兆融合交换机</w:t>
            </w:r>
          </w:p>
          <w:tbl>
            <w:tblPr>
              <w:tblBorders>
                <w:top w:val="none" w:color="000000" w:sz="4"/>
                <w:left w:val="none" w:color="000000" w:sz="4"/>
                <w:bottom w:val="none" w:color="000000" w:sz="4"/>
                <w:right w:val="none" w:color="000000" w:sz="4"/>
                <w:insideH w:val="none"/>
                <w:insideV w:val="none"/>
              </w:tblBorders>
            </w:tblPr>
            <w:tblGrid>
              <w:gridCol w:w="607"/>
              <w:gridCol w:w="1938"/>
            </w:tblGrid>
            <w:tr>
              <w:tc>
                <w:tcPr>
                  <w:tcW w:type="dxa" w:w="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万兆融合</w:t>
                  </w:r>
                </w:p>
                <w:p>
                  <w:pPr>
                    <w:pStyle w:val="null3"/>
                    <w:jc w:val="center"/>
                  </w:pPr>
                  <w:r>
                    <w:rPr>
                      <w:rFonts w:ascii="仿宋_GB2312" w:hAnsi="仿宋_GB2312" w:cs="仿宋_GB2312" w:eastAsia="仿宋_GB2312"/>
                      <w:sz w:val="20"/>
                    </w:rPr>
                    <w:t>交换机（</w:t>
                  </w:r>
                  <w:r>
                    <w:rPr>
                      <w:rFonts w:ascii="仿宋_GB2312" w:hAnsi="仿宋_GB2312" w:cs="仿宋_GB2312" w:eastAsia="仿宋_GB2312"/>
                      <w:sz w:val="20"/>
                    </w:rPr>
                    <w:t>2台）</w:t>
                  </w:r>
                </w:p>
              </w:tc>
              <w:tc>
                <w:tcPr>
                  <w:tcW w:type="dxa" w:w="19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1.性能：交换容量≥2.56Tbps，以官网所列最低参数为准，包转发率≥360Mpps</w:t>
                  </w:r>
                </w:p>
                <w:p>
                  <w:pPr>
                    <w:pStyle w:val="null3"/>
                    <w:jc w:val="both"/>
                  </w:pPr>
                  <w:r>
                    <w:rPr>
                      <w:rFonts w:ascii="仿宋_GB2312" w:hAnsi="仿宋_GB2312" w:cs="仿宋_GB2312" w:eastAsia="仿宋_GB2312"/>
                      <w:sz w:val="20"/>
                    </w:rPr>
                    <w:t>2.硬件规格：高度1U，固定接口交换机，支持双电源，工作环境温度-5ºC～45ºC，提供官网链接证明，支持一个扩展插槽</w:t>
                  </w:r>
                </w:p>
                <w:p>
                  <w:pPr>
                    <w:pStyle w:val="null3"/>
                    <w:jc w:val="both"/>
                  </w:pPr>
                  <w:r>
                    <w:rPr>
                      <w:rFonts w:ascii="仿宋_GB2312" w:hAnsi="仿宋_GB2312" w:cs="仿宋_GB2312" w:eastAsia="仿宋_GB2312"/>
                      <w:sz w:val="20"/>
                    </w:rPr>
                    <w:t>3.软件规格：整机最大路由地址表≥16K，提供第三方测试报告，整机最大ARP地址表≥16K，提供第三方测试报告，整机最大MAC地址表≥32K，提供第三方测试报告</w:t>
                  </w:r>
                </w:p>
                <w:p>
                  <w:pPr>
                    <w:pStyle w:val="null3"/>
                    <w:jc w:val="both"/>
                  </w:pPr>
                  <w:r>
                    <w:rPr>
                      <w:rFonts w:ascii="仿宋_GB2312" w:hAnsi="仿宋_GB2312" w:cs="仿宋_GB2312" w:eastAsia="仿宋_GB2312"/>
                      <w:sz w:val="20"/>
                    </w:rPr>
                    <w:t>4.配置：实配10 GE 光接口≥16个，实配 1/2.5/5G BASE-T以太网电接口≥8个</w:t>
                  </w:r>
                </w:p>
                <w:p>
                  <w:pPr>
                    <w:pStyle w:val="null3"/>
                    <w:jc w:val="both"/>
                  </w:pPr>
                  <w:r>
                    <w:rPr>
                      <w:rFonts w:ascii="仿宋_GB2312" w:hAnsi="仿宋_GB2312" w:cs="仿宋_GB2312" w:eastAsia="仿宋_GB2312"/>
                      <w:sz w:val="20"/>
                    </w:rPr>
                    <w:t>5.三层：支持IPv4静态路由、RIP、OSPF、ISIS、BGP，支持IPv6静态路由、RIPng、OSPFv3、ISISv6、BGP4+，支持IPv4和IPv6环境下的策略路由，支持IPv6手动隧道、6to4隧道和ISATAP隧道；</w:t>
                  </w:r>
                </w:p>
                <w:p>
                  <w:pPr>
                    <w:pStyle w:val="null3"/>
                    <w:jc w:val="both"/>
                  </w:pPr>
                  <w:r>
                    <w:rPr>
                      <w:rFonts w:ascii="仿宋_GB2312" w:hAnsi="仿宋_GB2312" w:cs="仿宋_GB2312" w:eastAsia="仿宋_GB2312"/>
                      <w:sz w:val="20"/>
                    </w:rPr>
                    <w:t>6.防火墙插卡：要求设备支持防火墙插卡</w:t>
                  </w:r>
                </w:p>
                <w:p>
                  <w:pPr>
                    <w:pStyle w:val="null3"/>
                    <w:jc w:val="both"/>
                  </w:pPr>
                  <w:r>
                    <w:rPr>
                      <w:rFonts w:ascii="仿宋_GB2312" w:hAnsi="仿宋_GB2312" w:cs="仿宋_GB2312" w:eastAsia="仿宋_GB2312"/>
                      <w:sz w:val="20"/>
                    </w:rPr>
                    <w:t>7.堆叠：最大堆叠台数≥9台，支持跨设备链路聚合，单一IP管理，分布式弹性路由，支持通过标准以太端口进行堆叠，支持完善的堆叠分裂检测</w:t>
                  </w:r>
                </w:p>
              </w:tc>
            </w:tr>
            <w:tr>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万兆融合</w:t>
                  </w:r>
                </w:p>
                <w:p>
                  <w:pPr>
                    <w:pStyle w:val="null3"/>
                    <w:jc w:val="center"/>
                  </w:pPr>
                  <w:r>
                    <w:rPr>
                      <w:rFonts w:ascii="仿宋_GB2312" w:hAnsi="仿宋_GB2312" w:cs="仿宋_GB2312" w:eastAsia="仿宋_GB2312"/>
                      <w:sz w:val="20"/>
                    </w:rPr>
                    <w:t>交换机（</w:t>
                  </w:r>
                  <w:r>
                    <w:rPr>
                      <w:rFonts w:ascii="仿宋_GB2312" w:hAnsi="仿宋_GB2312" w:cs="仿宋_GB2312" w:eastAsia="仿宋_GB2312"/>
                      <w:sz w:val="20"/>
                    </w:rPr>
                    <w:t>3台）</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1、两路2U机架式服务器；</w:t>
                  </w:r>
                </w:p>
                <w:p>
                  <w:pPr>
                    <w:pStyle w:val="null3"/>
                    <w:jc w:val="both"/>
                  </w:pPr>
                  <w:r>
                    <w:rPr>
                      <w:rFonts w:ascii="仿宋_GB2312" w:hAnsi="仿宋_GB2312" w:cs="仿宋_GB2312" w:eastAsia="仿宋_GB2312"/>
                      <w:sz w:val="20"/>
                    </w:rPr>
                    <w:t>2、CPU：2*6150(2.7GHz/18核/24MB/165W)处理器；</w:t>
                  </w:r>
                </w:p>
                <w:p>
                  <w:pPr>
                    <w:pStyle w:val="null3"/>
                    <w:jc w:val="both"/>
                  </w:pPr>
                  <w:r>
                    <w:rPr>
                      <w:rFonts w:ascii="仿宋_GB2312" w:hAnsi="仿宋_GB2312" w:cs="仿宋_GB2312" w:eastAsia="仿宋_GB2312"/>
                      <w:sz w:val="20"/>
                    </w:rPr>
                    <w:t>3、内存：4 * 32GB 3200MT/s DDR4，共128G；</w:t>
                  </w:r>
                </w:p>
                <w:p>
                  <w:pPr>
                    <w:pStyle w:val="null3"/>
                    <w:jc w:val="both"/>
                  </w:pPr>
                  <w:r>
                    <w:rPr>
                      <w:rFonts w:ascii="仿宋_GB2312" w:hAnsi="仿宋_GB2312" w:cs="仿宋_GB2312" w:eastAsia="仿宋_GB2312"/>
                      <w:sz w:val="20"/>
                    </w:rPr>
                    <w:t>4、硬盘：4 * 8TB SATA HDD盘，2 * 960GB SATA SSD盘；</w:t>
                  </w:r>
                </w:p>
                <w:p>
                  <w:pPr>
                    <w:pStyle w:val="null3"/>
                    <w:jc w:val="both"/>
                  </w:pPr>
                  <w:r>
                    <w:rPr>
                      <w:rFonts w:ascii="仿宋_GB2312" w:hAnsi="仿宋_GB2312" w:cs="仿宋_GB2312" w:eastAsia="仿宋_GB2312"/>
                      <w:sz w:val="20"/>
                    </w:rPr>
                    <w:t>5、RAID卡：1块1GB缓存RAID卡，包含掉电保护模块；</w:t>
                  </w:r>
                </w:p>
                <w:p>
                  <w:pPr>
                    <w:pStyle w:val="null3"/>
                    <w:jc w:val="both"/>
                  </w:pPr>
                  <w:r>
                    <w:rPr>
                      <w:rFonts w:ascii="仿宋_GB2312" w:hAnsi="仿宋_GB2312" w:cs="仿宋_GB2312" w:eastAsia="仿宋_GB2312"/>
                      <w:sz w:val="20"/>
                    </w:rPr>
                    <w:t>6、网卡：2块2端口万兆光接口卡，满配多模万兆光模块，1块4端口千兆电接口卡；</w:t>
                  </w:r>
                </w:p>
                <w:p>
                  <w:pPr>
                    <w:pStyle w:val="null3"/>
                    <w:jc w:val="both"/>
                  </w:pPr>
                  <w:r>
                    <w:rPr>
                      <w:rFonts w:ascii="仿宋_GB2312" w:hAnsi="仿宋_GB2312" w:cs="仿宋_GB2312" w:eastAsia="仿宋_GB2312"/>
                      <w:sz w:val="20"/>
                    </w:rPr>
                    <w:t>7、电源：2*1300W交流冗余电源；</w:t>
                  </w:r>
                </w:p>
                <w:p>
                  <w:pPr>
                    <w:pStyle w:val="null3"/>
                    <w:jc w:val="both"/>
                  </w:pPr>
                  <w:r>
                    <w:rPr>
                      <w:rFonts w:ascii="仿宋_GB2312" w:hAnsi="仿宋_GB2312" w:cs="仿宋_GB2312" w:eastAsia="仿宋_GB2312"/>
                      <w:sz w:val="20"/>
                    </w:rPr>
                    <w:t>8、配件：配置导轨、6*热插拔风扇等配件；</w:t>
                  </w:r>
                </w:p>
                <w:p>
                  <w:pPr>
                    <w:pStyle w:val="null3"/>
                    <w:jc w:val="both"/>
                  </w:pPr>
                  <w:r>
                    <w:rPr>
                      <w:rFonts w:ascii="仿宋_GB2312" w:hAnsi="仿宋_GB2312" w:cs="仿宋_GB2312" w:eastAsia="仿宋_GB2312"/>
                      <w:sz w:val="20"/>
                    </w:rPr>
                    <w:t>9、服务：</w:t>
                  </w:r>
                  <w:r>
                    <w:rPr>
                      <w:rFonts w:ascii="仿宋_GB2312" w:hAnsi="仿宋_GB2312" w:cs="仿宋_GB2312" w:eastAsia="仿宋_GB2312"/>
                      <w:sz w:val="20"/>
                    </w:rPr>
                    <w:t>包含一次性的安装部署服务及</w:t>
                  </w:r>
                  <w:r>
                    <w:rPr>
                      <w:rFonts w:ascii="仿宋_GB2312" w:hAnsi="仿宋_GB2312" w:cs="仿宋_GB2312" w:eastAsia="仿宋_GB2312"/>
                      <w:sz w:val="20"/>
                    </w:rPr>
                    <w:t>3年原厂服务</w:t>
                  </w:r>
                </w:p>
              </w:tc>
            </w:tr>
            <w:tr>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5台</w:t>
                  </w:r>
                </w:p>
              </w:tc>
            </w:tr>
          </w:tbl>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0"/>
                <w:color w:val="000000"/>
              </w:rPr>
              <w:t>高性能数据中心交换机</w:t>
            </w:r>
          </w:p>
          <w:tbl>
            <w:tblPr>
              <w:tblBorders>
                <w:top w:val="none" w:color="000000" w:sz="4"/>
                <w:left w:val="none" w:color="000000" w:sz="4"/>
                <w:bottom w:val="none" w:color="000000" w:sz="4"/>
                <w:right w:val="none" w:color="000000" w:sz="4"/>
                <w:insideH w:val="none"/>
                <w:insideV w:val="none"/>
              </w:tblBorders>
            </w:tblPr>
            <w:tblGrid>
              <w:gridCol w:w="628"/>
              <w:gridCol w:w="1918"/>
            </w:tblGrid>
            <w:tr>
              <w:tc>
                <w:tcPr>
                  <w:tcW w:type="dxa" w:w="6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高性能数据中心交换机</w:t>
                  </w:r>
                </w:p>
              </w:tc>
              <w:tc>
                <w:tcPr>
                  <w:tcW w:type="dxa" w:w="1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下行端口</w:t>
                  </w:r>
                  <w:r>
                    <w:rPr>
                      <w:rFonts w:ascii="仿宋_GB2312" w:hAnsi="仿宋_GB2312" w:cs="仿宋_GB2312" w:eastAsia="仿宋_GB2312"/>
                      <w:sz w:val="20"/>
                    </w:rPr>
                    <w:t>48x10GE SFP+；上行端口 6x40/100GE QSFP28；交换容量 4.8Tbps/76.8Tbps；包转发率 2000Mpps；缓存 32MB；可靠性 LACP；微分段；硬件BFD(最小发包间隔3.3ms)；万兆多模光模块24个，24组万兆多模跳线；供电方式  配置冗余电源</w:t>
                  </w:r>
                </w:p>
              </w:tc>
            </w:tr>
            <w:tr>
              <w:tc>
                <w:tcPr>
                  <w:tcW w:type="dxa" w:w="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1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2台</w:t>
                  </w:r>
                </w:p>
              </w:tc>
            </w:tr>
          </w:tbl>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0"/>
                <w:color w:val="000000"/>
              </w:rPr>
              <w:t>虚拟化软件</w:t>
            </w:r>
          </w:p>
          <w:tbl>
            <w:tblPr>
              <w:tblBorders>
                <w:top w:val="none" w:color="000000" w:sz="4"/>
                <w:left w:val="none" w:color="000000" w:sz="4"/>
                <w:bottom w:val="none" w:color="000000" w:sz="4"/>
                <w:right w:val="none" w:color="000000" w:sz="4"/>
                <w:insideH w:val="none"/>
                <w:insideV w:val="none"/>
              </w:tblBorders>
            </w:tblPr>
            <w:tblGrid>
              <w:gridCol w:w="389"/>
              <w:gridCol w:w="286"/>
              <w:gridCol w:w="1870"/>
            </w:tblGrid>
            <w:tr>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虚拟化软件</w:t>
                  </w:r>
                </w:p>
              </w:tc>
              <w:tc>
                <w:tcPr>
                  <w:tcW w:type="dxa" w:w="215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架构设计：采用符合超融合特性的分布式架构设计，将所有节点的存储空间无缝融合为单一的存储池并支持单一存储池内横向扩展,节点间无计算、存储、管理节点之分，超融合方式每个节点同时提供计算和存储服务，无需专用SAN存储。</w:t>
                  </w:r>
                </w:p>
                <w:p>
                  <w:pPr>
                    <w:pStyle w:val="null3"/>
                    <w:jc w:val="both"/>
                  </w:pPr>
                  <w:r>
                    <w:rPr>
                      <w:rFonts w:ascii="仿宋_GB2312" w:hAnsi="仿宋_GB2312" w:cs="仿宋_GB2312" w:eastAsia="仿宋_GB2312"/>
                      <w:sz w:val="20"/>
                    </w:rPr>
                    <w:t>2.硬件资源虚拟化：实现CPU、内存、I/O的虚拟化，保证云主机的迁移、动态资源调度和动态资源扩展；</w:t>
                  </w:r>
                </w:p>
                <w:p>
                  <w:pPr>
                    <w:pStyle w:val="null3"/>
                    <w:jc w:val="both"/>
                  </w:pPr>
                  <w:r>
                    <w:rPr>
                      <w:rFonts w:ascii="仿宋_GB2312" w:hAnsi="仿宋_GB2312" w:cs="仿宋_GB2312" w:eastAsia="仿宋_GB2312"/>
                      <w:sz w:val="20"/>
                    </w:rPr>
                    <w:t>3.服务器虚拟化：提供计算、存储、网络统一管理界面，界面简洁易用；提供统一的虚拟机管理界面，提供虚拟机创建、启动、暂停、恢复、重启、关闭、关闭电源、修改、删除、查询、克隆、迁移、备份、模板导出、快照等功能；</w:t>
                  </w:r>
                </w:p>
                <w:p>
                  <w:pPr>
                    <w:pStyle w:val="null3"/>
                    <w:jc w:val="both"/>
                  </w:pPr>
                  <w:r>
                    <w:rPr>
                      <w:rFonts w:ascii="仿宋_GB2312" w:hAnsi="仿宋_GB2312" w:cs="仿宋_GB2312" w:eastAsia="仿宋_GB2312"/>
                      <w:sz w:val="20"/>
                    </w:rPr>
                    <w:t>4.授权：全功能模块虚拟化平台软件（每套配置不少于20个物理CPU授权）；</w:t>
                  </w:r>
                </w:p>
                <w:p>
                  <w:pPr>
                    <w:pStyle w:val="null3"/>
                    <w:jc w:val="both"/>
                  </w:pPr>
                  <w:r>
                    <w:rPr>
                      <w:rFonts w:ascii="仿宋_GB2312" w:hAnsi="仿宋_GB2312" w:cs="仿宋_GB2312" w:eastAsia="仿宋_GB2312"/>
                      <w:sz w:val="20"/>
                    </w:rPr>
                    <w:t>5.存储虚拟化：采用分布式存储技术，可利用服务器内置硬盘资源构建存储资源池；采用多副本（2-3份）技术、热备盘技术等保证存储数据的高可靠。通过管理平台课监控虚拟化存储系统各项指标，可自定义存储策略，课管理虚拟磁盘，可为不同虚拟机配置不同存储策略；</w:t>
                  </w:r>
                </w:p>
                <w:p>
                  <w:pPr>
                    <w:pStyle w:val="null3"/>
                    <w:jc w:val="both"/>
                  </w:pPr>
                  <w:r>
                    <w:rPr>
                      <w:rFonts w:ascii="仿宋_GB2312" w:hAnsi="仿宋_GB2312" w:cs="仿宋_GB2312" w:eastAsia="仿宋_GB2312"/>
                      <w:sz w:val="20"/>
                    </w:rPr>
                    <w:t>6.可靠性：超融合系统具备计算、存储、网络、电源和风扇等部件的冗余。提供故障切换能力，当组件自身故障时，不影响整个集群正常运行，保证业务连续性；</w:t>
                  </w:r>
                </w:p>
                <w:p>
                  <w:pPr>
                    <w:pStyle w:val="null3"/>
                    <w:jc w:val="both"/>
                  </w:pPr>
                  <w:r>
                    <w:rPr>
                      <w:rFonts w:ascii="仿宋_GB2312" w:hAnsi="仿宋_GB2312" w:cs="仿宋_GB2312" w:eastAsia="仿宋_GB2312"/>
                      <w:sz w:val="20"/>
                    </w:rPr>
                    <w:t>7.电源管理：支持智能电源管理技术，当集群内的主机负载低于设定的阈值时，将一台服务器上的虚拟机全部迁移到其它服务器中，并将该服务器自动关闭；当集群内有关闭状态的主机且集群内负载达到指定阈值时，自动唤醒关闭的主机，并通过动态资源调度功能实现负载均衡；</w:t>
                  </w:r>
                </w:p>
                <w:p>
                  <w:pPr>
                    <w:pStyle w:val="null3"/>
                    <w:jc w:val="both"/>
                  </w:pPr>
                  <w:r>
                    <w:rPr>
                      <w:rFonts w:ascii="仿宋_GB2312" w:hAnsi="仿宋_GB2312" w:cs="仿宋_GB2312" w:eastAsia="仿宋_GB2312"/>
                      <w:sz w:val="20"/>
                    </w:rPr>
                    <w:t>8.网络虚拟化：内置SDN功能，支持网络划分多个子网，子网之间相互隔离；支持批量在线迁移虚拟机网络，虚拟机运行状态下，批量完成虚拟机从一个网络切换另一个网络；通过网络虚拟化，可以在管理界面上将所有虚拟网络组件（包括虚拟路由器、虚拟交换机和虚拟防火墙）以及虚拟机实现灵活的资源编排；</w:t>
                  </w:r>
                </w:p>
                <w:p>
                  <w:pPr>
                    <w:pStyle w:val="null3"/>
                    <w:jc w:val="both"/>
                  </w:pPr>
                  <w:r>
                    <w:rPr>
                      <w:rFonts w:ascii="仿宋_GB2312" w:hAnsi="仿宋_GB2312" w:cs="仿宋_GB2312" w:eastAsia="仿宋_GB2312"/>
                      <w:sz w:val="20"/>
                    </w:rPr>
                    <w:t>9.部署升级：支持管理节点和计算节点以裸金属形式部署在同一台物理机，保障性能前提下实现物理资源集约化；</w:t>
                  </w:r>
                </w:p>
                <w:p>
                  <w:pPr>
                    <w:pStyle w:val="null3"/>
                    <w:jc w:val="both"/>
                  </w:pPr>
                  <w:r>
                    <w:rPr>
                      <w:rFonts w:ascii="仿宋_GB2312" w:hAnsi="仿宋_GB2312" w:cs="仿宋_GB2312" w:eastAsia="仿宋_GB2312"/>
                      <w:sz w:val="20"/>
                    </w:rPr>
                    <w:t>10.维保服务：虚拟化平台能够进行软硬件故障自检，有故障时服务器亮灯报警，虚拟化平台软件界面有报警提示，能够查询报警信息，提供解决故障报警的方案；三年软件升级维保，厂商工程师上门服务；</w:t>
                  </w:r>
                </w:p>
                <w:p>
                  <w:pPr>
                    <w:pStyle w:val="null3"/>
                    <w:jc w:val="both"/>
                  </w:pPr>
                  <w:r>
                    <w:rPr>
                      <w:rFonts w:ascii="仿宋_GB2312" w:hAnsi="仿宋_GB2312" w:cs="仿宋_GB2312" w:eastAsia="仿宋_GB2312"/>
                      <w:sz w:val="20"/>
                    </w:rPr>
                    <w:t>11.备份：内置备份模块，并提供统一管理界面，无需单独安装备份软件即可实现虚拟机备份；支持将虚拟机以单独文件的形式导入导出；</w:t>
                  </w:r>
                </w:p>
                <w:p>
                  <w:pPr>
                    <w:pStyle w:val="null3"/>
                    <w:jc w:val="both"/>
                  </w:pPr>
                  <w:r>
                    <w:rPr>
                      <w:rFonts w:ascii="仿宋_GB2312" w:hAnsi="仿宋_GB2312" w:cs="仿宋_GB2312" w:eastAsia="仿宋_GB2312"/>
                      <w:sz w:val="20"/>
                    </w:rPr>
                    <w:t>12.USB设备支持：支持USB设备挂载至虚拟机，在虚拟机里读取USB设备内的文件；</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虚拟化软件模块</w:t>
                  </w:r>
                  <w:r>
                    <w:rPr>
                      <w:rFonts w:ascii="仿宋_GB2312" w:hAnsi="仿宋_GB2312" w:cs="仿宋_GB2312" w:eastAsia="仿宋_GB2312"/>
                      <w:sz w:val="20"/>
                    </w:rPr>
                    <w:t>：提供虚拟化软件所有模块完整授</w:t>
                  </w:r>
                  <w:r>
                    <w:rPr>
                      <w:rFonts w:ascii="仿宋_GB2312" w:hAnsi="仿宋_GB2312" w:cs="仿宋_GB2312" w:eastAsia="仿宋_GB2312"/>
                      <w:sz w:val="20"/>
                    </w:rPr>
                    <w:t>权；在维保期内，提供所有新增模块软件授权。</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.虚拟化软件</w:t>
                  </w:r>
                  <w:r>
                    <w:rPr>
                      <w:rFonts w:ascii="仿宋_GB2312" w:hAnsi="仿宋_GB2312" w:cs="仿宋_GB2312" w:eastAsia="仿宋_GB2312"/>
                      <w:sz w:val="20"/>
                    </w:rPr>
                    <w:t>维保</w:t>
                  </w:r>
                  <w:r>
                    <w:rPr>
                      <w:rFonts w:ascii="仿宋_GB2312" w:hAnsi="仿宋_GB2312" w:cs="仿宋_GB2312" w:eastAsia="仿宋_GB2312"/>
                      <w:sz w:val="20"/>
                    </w:rPr>
                    <w:t>：</w:t>
                  </w:r>
                  <w:r>
                    <w:rPr>
                      <w:rFonts w:ascii="仿宋_GB2312" w:hAnsi="仿宋_GB2312" w:cs="仿宋_GB2312" w:eastAsia="仿宋_GB2312"/>
                      <w:sz w:val="20"/>
                    </w:rPr>
                    <w:t>包含服务器内安装的</w:t>
                  </w:r>
                  <w:r>
                    <w:rPr>
                      <w:rFonts w:ascii="仿宋_GB2312" w:hAnsi="仿宋_GB2312" w:cs="仿宋_GB2312" w:eastAsia="仿宋_GB2312"/>
                      <w:sz w:val="20"/>
                    </w:rPr>
                    <w:t>计算服务器虚拟化软件</w:t>
                  </w:r>
                  <w:r>
                    <w:rPr>
                      <w:rFonts w:ascii="仿宋_GB2312" w:hAnsi="仿宋_GB2312" w:cs="仿宋_GB2312" w:eastAsia="仿宋_GB2312"/>
                      <w:sz w:val="20"/>
                    </w:rPr>
                    <w:t>、网络虚拟化软件、虚拟存储软件</w:t>
                  </w:r>
                  <w:r>
                    <w:rPr>
                      <w:rFonts w:ascii="仿宋_GB2312" w:hAnsi="仿宋_GB2312" w:cs="仿宋_GB2312" w:eastAsia="仿宋_GB2312"/>
                      <w:sz w:val="20"/>
                    </w:rPr>
                    <w:t>升级授权（</w:t>
                  </w:r>
                  <w:r>
                    <w:rPr>
                      <w:rFonts w:ascii="仿宋_GB2312" w:hAnsi="仿宋_GB2312" w:cs="仿宋_GB2312" w:eastAsia="仿宋_GB2312"/>
                      <w:sz w:val="20"/>
                    </w:rPr>
                    <w:t>20套）一年</w:t>
                  </w:r>
                </w:p>
              </w:tc>
            </w:tr>
            <w:tr>
              <w:tc>
                <w:tcPr>
                  <w:tcW w:type="dxa" w:w="6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软件数量</w:t>
                  </w:r>
                </w:p>
              </w:tc>
              <w:tc>
                <w:tcPr>
                  <w:tcW w:type="dxa" w:w="1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1套</w:t>
                  </w:r>
                </w:p>
              </w:tc>
            </w:tr>
          </w:tbl>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20"/>
                <w:color w:val="000000"/>
              </w:rPr>
              <w:t>巡查数据备份移动硬盘</w:t>
            </w:r>
          </w:p>
          <w:tbl>
            <w:tblPr>
              <w:tblBorders>
                <w:top w:val="none" w:color="000000" w:sz="4"/>
                <w:left w:val="none" w:color="000000" w:sz="4"/>
                <w:bottom w:val="none" w:color="000000" w:sz="4"/>
                <w:right w:val="none" w:color="000000" w:sz="4"/>
                <w:insideH w:val="none"/>
                <w:insideV w:val="none"/>
              </w:tblBorders>
            </w:tblPr>
            <w:tblGrid>
              <w:gridCol w:w="552"/>
              <w:gridCol w:w="361"/>
              <w:gridCol w:w="1631"/>
            </w:tblGrid>
            <w:tr>
              <w:tc>
                <w:tcPr>
                  <w:tcW w:type="dxa" w:w="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货物名称</w:t>
                  </w:r>
                </w:p>
              </w:tc>
              <w:tc>
                <w:tcPr>
                  <w:tcW w:type="dxa" w:w="199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技术要求</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4TB巡查数据备份硬盘</w:t>
                  </w:r>
                </w:p>
                <w:p>
                  <w:pPr>
                    <w:pStyle w:val="null3"/>
                    <w:jc w:val="both"/>
                  </w:pPr>
                </w:p>
              </w:tc>
              <w:tc>
                <w:tcPr>
                  <w:tcW w:type="dxa" w:w="19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存储容量：</w:t>
                  </w:r>
                  <w:r>
                    <w:rPr>
                      <w:rFonts w:ascii="仿宋_GB2312" w:hAnsi="仿宋_GB2312" w:cs="仿宋_GB2312" w:eastAsia="仿宋_GB2312"/>
                      <w:sz w:val="20"/>
                    </w:rPr>
                    <w:t>4TB</w:t>
                  </w:r>
                </w:p>
                <w:p>
                  <w:pPr>
                    <w:pStyle w:val="null3"/>
                    <w:jc w:val="both"/>
                  </w:pPr>
                  <w:r>
                    <w:rPr>
                      <w:rFonts w:ascii="仿宋_GB2312" w:hAnsi="仿宋_GB2312" w:cs="仿宋_GB2312" w:eastAsia="仿宋_GB2312"/>
                      <w:sz w:val="20"/>
                    </w:rPr>
                    <w:t>硬盘尺寸：</w:t>
                  </w:r>
                  <w:r>
                    <w:rPr>
                      <w:rFonts w:ascii="仿宋_GB2312" w:hAnsi="仿宋_GB2312" w:cs="仿宋_GB2312" w:eastAsia="仿宋_GB2312"/>
                      <w:sz w:val="20"/>
                    </w:rPr>
                    <w:t>2.5英寸移动硬盘</w:t>
                  </w:r>
                </w:p>
                <w:p>
                  <w:pPr>
                    <w:pStyle w:val="null3"/>
                    <w:jc w:val="both"/>
                  </w:pPr>
                  <w:r>
                    <w:rPr>
                      <w:rFonts w:ascii="仿宋_GB2312" w:hAnsi="仿宋_GB2312" w:cs="仿宋_GB2312" w:eastAsia="仿宋_GB2312"/>
                      <w:sz w:val="20"/>
                    </w:rPr>
                    <w:t>接口类型：</w:t>
                  </w:r>
                  <w:r>
                    <w:rPr>
                      <w:rFonts w:ascii="仿宋_GB2312" w:hAnsi="仿宋_GB2312" w:cs="仿宋_GB2312" w:eastAsia="仿宋_GB2312"/>
                      <w:sz w:val="20"/>
                    </w:rPr>
                    <w:t>USB3.0接口,兼容USB2.0</w:t>
                  </w:r>
                </w:p>
                <w:p>
                  <w:pPr>
                    <w:pStyle w:val="null3"/>
                    <w:jc w:val="both"/>
                  </w:pPr>
                  <w:r>
                    <w:rPr>
                      <w:rFonts w:ascii="仿宋_GB2312" w:hAnsi="仿宋_GB2312" w:cs="仿宋_GB2312" w:eastAsia="仿宋_GB2312"/>
                      <w:sz w:val="20"/>
                    </w:rPr>
                    <w:t>外壳材质：塑料</w:t>
                  </w:r>
                  <w:r>
                    <w:rPr>
                      <w:rFonts w:ascii="仿宋_GB2312" w:hAnsi="仿宋_GB2312" w:cs="仿宋_GB2312" w:eastAsia="仿宋_GB2312"/>
                      <w:sz w:val="20"/>
                    </w:rPr>
                    <w:t>/金属</w:t>
                  </w:r>
                </w:p>
                <w:p>
                  <w:pPr>
                    <w:pStyle w:val="null3"/>
                    <w:jc w:val="both"/>
                  </w:pPr>
                  <w:r>
                    <w:rPr>
                      <w:rFonts w:ascii="仿宋_GB2312" w:hAnsi="仿宋_GB2312" w:cs="仿宋_GB2312" w:eastAsia="仿宋_GB2312"/>
                      <w:sz w:val="20"/>
                    </w:rPr>
                    <w:t>系统要求：</w:t>
                  </w:r>
                  <w:r>
                    <w:rPr>
                      <w:rFonts w:ascii="仿宋_GB2312" w:hAnsi="仿宋_GB2312" w:cs="仿宋_GB2312" w:eastAsia="仿宋_GB2312"/>
                      <w:sz w:val="20"/>
                    </w:rPr>
                    <w:t>Windows 10/8/7/XP/linux</w:t>
                  </w:r>
                </w:p>
                <w:p>
                  <w:pPr>
                    <w:pStyle w:val="null3"/>
                    <w:jc w:val="both"/>
                  </w:pPr>
                  <w:r>
                    <w:rPr>
                      <w:rFonts w:ascii="仿宋_GB2312" w:hAnsi="仿宋_GB2312" w:cs="仿宋_GB2312" w:eastAsia="仿宋_GB2312"/>
                      <w:sz w:val="20"/>
                    </w:rPr>
                    <w:t>技术规范：</w:t>
                  </w:r>
                  <w:r>
                    <w:rPr>
                      <w:rFonts w:ascii="仿宋_GB2312" w:hAnsi="仿宋_GB2312" w:cs="仿宋_GB2312" w:eastAsia="仿宋_GB2312"/>
                      <w:sz w:val="20"/>
                    </w:rPr>
                    <w:t>USB总线供电</w:t>
                  </w:r>
                </w:p>
                <w:p>
                  <w:pPr>
                    <w:pStyle w:val="null3"/>
                    <w:jc w:val="both"/>
                  </w:pPr>
                  <w:r>
                    <w:rPr>
                      <w:rFonts w:ascii="仿宋_GB2312" w:hAnsi="仿宋_GB2312" w:cs="仿宋_GB2312" w:eastAsia="仿宋_GB2312"/>
                      <w:sz w:val="20"/>
                    </w:rPr>
                    <w:t>承诺供货时提供硬盘生产厂家出具的原厂供货证明；</w:t>
                  </w:r>
                </w:p>
              </w:tc>
            </w:tr>
            <w:tr>
              <w:tc>
                <w:tcPr>
                  <w:tcW w:type="dxa" w:w="91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100块</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货物名称</w:t>
                  </w:r>
                </w:p>
              </w:tc>
              <w:tc>
                <w:tcPr>
                  <w:tcW w:type="dxa" w:w="19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技术要求</w:t>
                  </w:r>
                </w:p>
              </w:tc>
            </w:tr>
            <w:tr>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4TB机械硬盘</w:t>
                  </w:r>
                </w:p>
                <w:p>
                  <w:pPr>
                    <w:pStyle w:val="null3"/>
                    <w:jc w:val="both"/>
                  </w:pPr>
                </w:p>
              </w:tc>
              <w:tc>
                <w:tcPr>
                  <w:tcW w:type="dxa" w:w="199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存储容量：</w:t>
                  </w:r>
                  <w:r>
                    <w:rPr>
                      <w:rFonts w:ascii="仿宋_GB2312" w:hAnsi="仿宋_GB2312" w:cs="仿宋_GB2312" w:eastAsia="仿宋_GB2312"/>
                      <w:sz w:val="20"/>
                    </w:rPr>
                    <w:t>4TB</w:t>
                  </w:r>
                </w:p>
                <w:p>
                  <w:pPr>
                    <w:pStyle w:val="null3"/>
                    <w:jc w:val="both"/>
                  </w:pPr>
                  <w:r>
                    <w:rPr>
                      <w:rFonts w:ascii="仿宋_GB2312" w:hAnsi="仿宋_GB2312" w:cs="仿宋_GB2312" w:eastAsia="仿宋_GB2312"/>
                      <w:sz w:val="20"/>
                    </w:rPr>
                    <w:t>硬盘尺寸：</w:t>
                  </w:r>
                  <w:r>
                    <w:rPr>
                      <w:rFonts w:ascii="仿宋_GB2312" w:hAnsi="仿宋_GB2312" w:cs="仿宋_GB2312" w:eastAsia="仿宋_GB2312"/>
                      <w:sz w:val="20"/>
                    </w:rPr>
                    <w:t>3.5英寸机械硬盘</w:t>
                  </w:r>
                </w:p>
                <w:p>
                  <w:pPr>
                    <w:pStyle w:val="null3"/>
                    <w:jc w:val="both"/>
                  </w:pPr>
                  <w:r>
                    <w:rPr>
                      <w:rFonts w:ascii="仿宋_GB2312" w:hAnsi="仿宋_GB2312" w:cs="仿宋_GB2312" w:eastAsia="仿宋_GB2312"/>
                      <w:sz w:val="20"/>
                    </w:rPr>
                    <w:t>接口类型：</w:t>
                  </w:r>
                  <w:r>
                    <w:rPr>
                      <w:rFonts w:ascii="仿宋_GB2312" w:hAnsi="仿宋_GB2312" w:cs="仿宋_GB2312" w:eastAsia="仿宋_GB2312"/>
                      <w:sz w:val="20"/>
                    </w:rPr>
                    <w:t>SATA</w:t>
                  </w:r>
                </w:p>
                <w:p>
                  <w:pPr>
                    <w:pStyle w:val="null3"/>
                    <w:jc w:val="both"/>
                  </w:pPr>
                  <w:r>
                    <w:rPr>
                      <w:rFonts w:ascii="仿宋_GB2312" w:hAnsi="仿宋_GB2312" w:cs="仿宋_GB2312" w:eastAsia="仿宋_GB2312"/>
                      <w:sz w:val="20"/>
                    </w:rPr>
                    <w:t>硬盘转速</w:t>
                  </w:r>
                  <w:r>
                    <w:rPr>
                      <w:rFonts w:ascii="仿宋_GB2312" w:hAnsi="仿宋_GB2312" w:cs="仿宋_GB2312" w:eastAsia="仿宋_GB2312"/>
                      <w:sz w:val="20"/>
                    </w:rPr>
                    <w:t>:7200转</w:t>
                  </w:r>
                </w:p>
                <w:p>
                  <w:pPr>
                    <w:pStyle w:val="null3"/>
                    <w:jc w:val="both"/>
                  </w:pPr>
                  <w:r>
                    <w:rPr>
                      <w:rFonts w:ascii="仿宋_GB2312" w:hAnsi="仿宋_GB2312" w:cs="仿宋_GB2312" w:eastAsia="仿宋_GB2312"/>
                      <w:sz w:val="20"/>
                    </w:rPr>
                    <w:t>缓存容量</w:t>
                  </w:r>
                  <w:r>
                    <w:rPr>
                      <w:rFonts w:ascii="仿宋_GB2312" w:hAnsi="仿宋_GB2312" w:cs="仿宋_GB2312" w:eastAsia="仿宋_GB2312"/>
                      <w:sz w:val="20"/>
                    </w:rPr>
                    <w:t>:256MB</w:t>
                  </w:r>
                </w:p>
                <w:p>
                  <w:pPr>
                    <w:pStyle w:val="null3"/>
                    <w:jc w:val="both"/>
                  </w:pPr>
                  <w:r>
                    <w:rPr>
                      <w:rFonts w:ascii="仿宋_GB2312" w:hAnsi="仿宋_GB2312" w:cs="仿宋_GB2312" w:eastAsia="仿宋_GB2312"/>
                      <w:sz w:val="20"/>
                    </w:rPr>
                    <w:t>硬盘类型：企业级硬盘</w:t>
                  </w:r>
                </w:p>
                <w:p>
                  <w:pPr>
                    <w:pStyle w:val="null3"/>
                    <w:jc w:val="both"/>
                  </w:pPr>
                  <w:r>
                    <w:rPr>
                      <w:rFonts w:ascii="仿宋_GB2312" w:hAnsi="仿宋_GB2312" w:cs="仿宋_GB2312" w:eastAsia="仿宋_GB2312"/>
                      <w:sz w:val="20"/>
                    </w:rPr>
                    <w:t>承诺供货时提供硬盘生产厂家出具的原厂供货证明；</w:t>
                  </w:r>
                </w:p>
              </w:tc>
            </w:tr>
            <w:tr>
              <w:tc>
                <w:tcPr>
                  <w:tcW w:type="dxa" w:w="91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20块</w:t>
                  </w:r>
                </w:p>
              </w:tc>
            </w:tr>
          </w:tbl>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0"/>
                <w:color w:val="000000"/>
              </w:rPr>
              <w:t>网闸</w:t>
            </w:r>
            <w:r>
              <w:rPr>
                <w:rFonts w:ascii="仿宋_GB2312" w:hAnsi="仿宋_GB2312" w:cs="仿宋_GB2312" w:eastAsia="仿宋_GB2312"/>
                <w:sz w:val="20"/>
                <w:color w:val="000000"/>
              </w:rPr>
              <w:t>1</w:t>
            </w:r>
          </w:p>
          <w:tbl>
            <w:tblPr>
              <w:tblBorders>
                <w:top w:val="none" w:color="000000" w:sz="4"/>
                <w:left w:val="none" w:color="000000" w:sz="4"/>
                <w:bottom w:val="none" w:color="000000" w:sz="4"/>
                <w:right w:val="none" w:color="000000" w:sz="4"/>
                <w:insideH w:val="none"/>
                <w:insideV w:val="none"/>
              </w:tblBorders>
            </w:tblPr>
            <w:tblGrid>
              <w:gridCol w:w="589"/>
              <w:gridCol w:w="1964"/>
            </w:tblGrid>
            <w:tr>
              <w:tc>
                <w:tcPr>
                  <w:tcW w:type="dxa" w:w="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功能及技术指标</w:t>
                  </w:r>
                </w:p>
              </w:tc>
              <w:tc>
                <w:tcPr>
                  <w:tcW w:type="dxa" w:w="19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参数要求</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w:t>
                  </w:r>
                  <w:r>
                    <w:rPr>
                      <w:rFonts w:ascii="仿宋_GB2312" w:hAnsi="仿宋_GB2312" w:cs="仿宋_GB2312" w:eastAsia="仿宋_GB2312"/>
                      <w:sz w:val="20"/>
                    </w:rPr>
                    <w:t>2+1硬件架构，内外端机+专用传输隔离部件，2U高设备，单电源，64G SSD固态硬盘，内端机有5个千兆电口+2个千兆光口+1个管理口，外端机有5个千兆电口+2个千兆光口+1个HA口</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性能</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网络吞吐量为</w:t>
                  </w:r>
                  <w:r>
                    <w:rPr>
                      <w:rFonts w:ascii="仿宋_GB2312" w:hAnsi="仿宋_GB2312" w:cs="仿宋_GB2312" w:eastAsia="仿宋_GB2312"/>
                      <w:sz w:val="20"/>
                    </w:rPr>
                    <w:t>700Mbps，系统整体时延</w:t>
                  </w:r>
                  <w:r>
                    <w:rPr>
                      <w:rFonts w:ascii="仿宋_GB2312" w:hAnsi="仿宋_GB2312" w:cs="仿宋_GB2312" w:eastAsia="仿宋_GB2312"/>
                      <w:sz w:val="20"/>
                    </w:rPr>
                    <w:t>＜</w:t>
                  </w:r>
                  <w:r>
                    <w:rPr>
                      <w:rFonts w:ascii="仿宋_GB2312" w:hAnsi="仿宋_GB2312" w:cs="仿宋_GB2312" w:eastAsia="仿宋_GB2312"/>
                      <w:sz w:val="20"/>
                    </w:rPr>
                    <w:t>1ms，并发连接数20000，最大受控协议通道数2000个</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功能</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内外端机为</w:t>
                  </w:r>
                  <w:r>
                    <w:rPr>
                      <w:rFonts w:ascii="仿宋_GB2312" w:hAnsi="仿宋_GB2312" w:cs="仿宋_GB2312" w:eastAsia="仿宋_GB2312"/>
                      <w:sz w:val="20"/>
                    </w:rPr>
                    <w:t>TCP/IP网络协议的终点，内外端机之间采用专用硬件和专用协议进行连接；支持只能通过内端机上的管理口对网闸进行配置，支持上网访问、邮件访问、文件传输、文件同步、数据库访问等功能，支持视频传输模块，支持自定义专用协议，安全管理支持由安全管理员、系统管理员和安全审计员进行三权分立管理</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性能参数</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网络吞吐量：</w:t>
                  </w:r>
                  <w:r>
                    <w:rPr>
                      <w:rFonts w:ascii="仿宋_GB2312" w:hAnsi="仿宋_GB2312" w:cs="仿宋_GB2312" w:eastAsia="仿宋_GB2312"/>
                      <w:sz w:val="20"/>
                    </w:rPr>
                    <w:t>700Mbps；最大受控协议通道数：2000个；整体时延：＜1ms；文件同步任务数：20（推荐同时最多6个任务）；并发连接数：3W</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配套授权</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默认支持自带受控通道、</w:t>
                  </w:r>
                  <w:r>
                    <w:rPr>
                      <w:rFonts w:ascii="仿宋_GB2312" w:hAnsi="仿宋_GB2312" w:cs="仿宋_GB2312" w:eastAsia="仿宋_GB2312"/>
                      <w:sz w:val="20"/>
                    </w:rPr>
                    <w:t>HTTP应用、安全邮件、文件访问、文件传输、数据库访问、日志审计、自定义应用授权，可扩展视频传输模块功能</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r>
          </w:tbl>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0"/>
                <w:color w:val="000000"/>
              </w:rPr>
              <w:t>网闸</w:t>
            </w:r>
            <w:r>
              <w:rPr>
                <w:rFonts w:ascii="仿宋_GB2312" w:hAnsi="仿宋_GB2312" w:cs="仿宋_GB2312" w:eastAsia="仿宋_GB2312"/>
                <w:sz w:val="20"/>
                <w:color w:val="000000"/>
              </w:rPr>
              <w:t>2</w:t>
            </w:r>
          </w:p>
          <w:tbl>
            <w:tblPr>
              <w:tblBorders>
                <w:top w:val="none" w:color="000000" w:sz="4"/>
                <w:left w:val="none" w:color="000000" w:sz="4"/>
                <w:bottom w:val="none" w:color="000000" w:sz="4"/>
                <w:right w:val="none" w:color="000000" w:sz="4"/>
                <w:insideH w:val="none"/>
                <w:insideV w:val="none"/>
              </w:tblBorders>
            </w:tblPr>
            <w:tblGrid>
              <w:gridCol w:w="589"/>
              <w:gridCol w:w="0"/>
              <w:gridCol w:w="982"/>
              <w:gridCol w:w="982"/>
            </w:tblGrid>
            <w:tr>
              <w:tc>
                <w:tcPr>
                  <w:tcW w:type="dxa" w:w="58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功能及技术指标</w:t>
                  </w:r>
                </w:p>
              </w:tc>
              <w:tc>
                <w:tcPr>
                  <w:tcW w:type="dxa" w:w="19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参数要求</w:t>
                  </w:r>
                </w:p>
              </w:tc>
            </w:tr>
            <w:tr>
              <w:tc>
                <w:tcPr>
                  <w:tcW w:type="dxa" w:w="5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系统基本架构</w:t>
                  </w:r>
                </w:p>
              </w:tc>
              <w:tc>
                <w:tcPr>
                  <w:tcW w:type="dxa" w:w="1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w:t>
                  </w:r>
                  <w:r>
                    <w:rPr>
                      <w:rFonts w:ascii="仿宋_GB2312" w:hAnsi="仿宋_GB2312" w:cs="仿宋_GB2312" w:eastAsia="仿宋_GB2312"/>
                      <w:sz w:val="20"/>
                    </w:rPr>
                    <w:t>2+1架构，专用传输隔离部件完全自主开发且外部无法编程控制</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内外端机为</w:t>
                  </w:r>
                  <w:r>
                    <w:rPr>
                      <w:rFonts w:ascii="仿宋_GB2312" w:hAnsi="仿宋_GB2312" w:cs="仿宋_GB2312" w:eastAsia="仿宋_GB2312"/>
                      <w:sz w:val="20"/>
                    </w:rPr>
                    <w:t>TCP/IP网络协议的终点，阻断TCP/IP协议的直接贯通；</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内外端机之间采用专用硬件和专用协议进行连接，不可编程。网闸以软硬件结合的方式，有效地隔断内外网络间直接的连接，防止信息无限制交换；</w:t>
                  </w:r>
                </w:p>
              </w:tc>
            </w:tr>
            <w:tr>
              <w:tc>
                <w:tcPr>
                  <w:tcW w:type="dxa" w:w="5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安全体系结构</w:t>
                  </w:r>
                </w:p>
              </w:tc>
              <w:tc>
                <w:tcPr>
                  <w:tcW w:type="dxa" w:w="1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仲裁审计系统部署于内端机上，通用协议无法通过外端机直接连接到仲裁系统；</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只能通过内端机上的管理口对网闸进行配置，外端机上禁止配置管理</w:t>
                  </w:r>
                </w:p>
              </w:tc>
            </w:tr>
            <w:tr>
              <w:tc>
                <w:tcPr>
                  <w:tcW w:type="dxa" w:w="5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操作系统</w:t>
                  </w:r>
                </w:p>
              </w:tc>
              <w:tc>
                <w:tcPr>
                  <w:tcW w:type="dxa" w:w="1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采用安全操作系统、增强型内核，能够对两个主机系统提供多层次、高强度的安全防护，保护其重要进程、文件、数据不受黑客侵袭；</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采用对象互斥和线程守护技术，保护主要进程的安全性和稳定性；</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不采用通用的指令库和函数库，只提供有限的内部调试用指令函数；</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内置病毒查杀库，可查杀基于</w:t>
                  </w:r>
                  <w:r>
                    <w:rPr>
                      <w:rFonts w:ascii="仿宋_GB2312" w:hAnsi="仿宋_GB2312" w:cs="仿宋_GB2312" w:eastAsia="仿宋_GB2312"/>
                      <w:sz w:val="20"/>
                    </w:rPr>
                    <w:t>Linux操作系统各种主流病毒，保证操作系统安全，保证网闸自身不受病毒、木马侵害；</w:t>
                  </w:r>
                </w:p>
              </w:tc>
            </w:tr>
            <w:tr>
              <w:tc>
                <w:tcPr>
                  <w:tcW w:type="dxa" w:w="5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系统管理</w:t>
                  </w:r>
                </w:p>
              </w:tc>
              <w:tc>
                <w:tcPr>
                  <w:tcW w:type="dxa" w:w="1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三权分立：安全管理流程主要由安全管理员、系统管理员和安全审计员通过安全管理中心执行，分别实施系统维护、安全策略制定和部署、审计记录分析和结果响应等。</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支持所有配置导入导出</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自带数据分析和网络诊断工具</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支持日志详细查询、备份和回滚机制</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支持邮件告警</w:t>
                  </w:r>
                </w:p>
              </w:tc>
            </w:tr>
            <w:tr>
              <w:tc>
                <w:tcPr>
                  <w:tcW w:type="dxa" w:w="5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安全上网功能</w:t>
                  </w:r>
                </w:p>
              </w:tc>
              <w:tc>
                <w:tcPr>
                  <w:tcW w:type="dxa" w:w="1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提供安全的上网访问，支持</w:t>
                  </w:r>
                  <w:r>
                    <w:rPr>
                      <w:rFonts w:ascii="仿宋_GB2312" w:hAnsi="仿宋_GB2312" w:cs="仿宋_GB2312" w:eastAsia="仿宋_GB2312"/>
                      <w:sz w:val="20"/>
                    </w:rPr>
                    <w:t>HTTP协议及代理等；</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访问控制对象：源地址、目标地址、目的端目、域名、</w:t>
                  </w:r>
                  <w:r>
                    <w:rPr>
                      <w:rFonts w:ascii="仿宋_GB2312" w:hAnsi="仿宋_GB2312" w:cs="仿宋_GB2312" w:eastAsia="仿宋_GB2312"/>
                      <w:sz w:val="20"/>
                    </w:rPr>
                    <w:t>URL、访问方式等；</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内容过滤：关键字过滤；</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脚本过滤：</w:t>
                  </w:r>
                  <w:r>
                    <w:rPr>
                      <w:rFonts w:ascii="仿宋_GB2312" w:hAnsi="仿宋_GB2312" w:cs="仿宋_GB2312" w:eastAsia="仿宋_GB2312"/>
                      <w:sz w:val="20"/>
                    </w:rPr>
                    <w:t>javascript、Applet、ActiveX等；</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其他过滤策略：文件类型、页面提交方式等；</w:t>
                  </w:r>
                </w:p>
              </w:tc>
            </w:tr>
            <w:tr>
              <w:tc>
                <w:tcPr>
                  <w:tcW w:type="dxa" w:w="5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安全邮件功能</w:t>
                  </w:r>
                </w:p>
              </w:tc>
              <w:tc>
                <w:tcPr>
                  <w:tcW w:type="dxa" w:w="1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提供安全的邮件访问，支持</w:t>
                  </w:r>
                  <w:r>
                    <w:rPr>
                      <w:rFonts w:ascii="仿宋_GB2312" w:hAnsi="仿宋_GB2312" w:cs="仿宋_GB2312" w:eastAsia="仿宋_GB2312"/>
                      <w:sz w:val="20"/>
                    </w:rPr>
                    <w:t>POP3、SMTP协议；</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支持邮件主机地址、邮件内容、发件地址、收件地址、邮件主题过滤；</w:t>
                  </w:r>
                </w:p>
              </w:tc>
            </w:tr>
            <w:tr>
              <w:tc>
                <w:tcPr>
                  <w:tcW w:type="dxa" w:w="5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数据库访问功能</w:t>
                  </w:r>
                </w:p>
              </w:tc>
              <w:tc>
                <w:tcPr>
                  <w:tcW w:type="dxa" w:w="1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提供对多种主流数据库（</w:t>
                  </w:r>
                  <w:r>
                    <w:rPr>
                      <w:rFonts w:ascii="仿宋_GB2312" w:hAnsi="仿宋_GB2312" w:cs="仿宋_GB2312" w:eastAsia="仿宋_GB2312"/>
                      <w:sz w:val="20"/>
                    </w:rPr>
                    <w:t>SQL、ORACLE、DB2、SYBASE等）数据库系统的安全访问；</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支持用户查询、修改、添加、删除等操作；</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支持全表复制、增量更新、全表更新等；</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支持各种实例访问；</w:t>
                  </w:r>
                </w:p>
              </w:tc>
            </w:tr>
            <w:tr>
              <w:tc>
                <w:tcPr>
                  <w:tcW w:type="dxa" w:w="5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数据库同步功能</w:t>
                  </w:r>
                </w:p>
              </w:tc>
              <w:tc>
                <w:tcPr>
                  <w:tcW w:type="dxa" w:w="1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基于专用客户端与网闸安全连接方式，提供多种主流数据库（</w:t>
                  </w:r>
                  <w:r>
                    <w:rPr>
                      <w:rFonts w:ascii="仿宋_GB2312" w:hAnsi="仿宋_GB2312" w:cs="仿宋_GB2312" w:eastAsia="仿宋_GB2312"/>
                      <w:sz w:val="20"/>
                    </w:rPr>
                    <w:t>SQL、ORACLE、DB2、SYBASE等）的单、双向数据交换；</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无需修改数据库表结构，不涉及到代码修改及二次开发；</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同步粒度可以达到表内具体字段；</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支持多种增量同步方式，可分别定义增加、删除、修改的传输方式；</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支持数据的单向或双向交换和同步；</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支持实时交换或定时同步的策略定义；</w:t>
                  </w:r>
                </w:p>
              </w:tc>
            </w:tr>
            <w:tr>
              <w:tc>
                <w:tcPr>
                  <w:tcW w:type="dxa" w:w="5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接口要求</w:t>
                  </w:r>
                </w:p>
              </w:tc>
              <w:tc>
                <w:tcPr>
                  <w:tcW w:type="dxa" w:w="1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内网</w:t>
                  </w:r>
                  <w:r>
                    <w:rPr>
                      <w:rFonts w:ascii="仿宋_GB2312" w:hAnsi="仿宋_GB2312" w:cs="仿宋_GB2312" w:eastAsia="仿宋_GB2312"/>
                      <w:sz w:val="20"/>
                    </w:rPr>
                    <w:t>6个10/100/1000M RJ45接口（其中含MAN口1个）2个1000M的SPF光口，2个万兆SFP接口，1个串口，2个USB口；</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外网</w:t>
                  </w:r>
                  <w:r>
                    <w:rPr>
                      <w:rFonts w:ascii="仿宋_GB2312" w:hAnsi="仿宋_GB2312" w:cs="仿宋_GB2312" w:eastAsia="仿宋_GB2312"/>
                      <w:sz w:val="20"/>
                    </w:rPr>
                    <w:t>6个10/100/1000M RJ45接口（其中含HA口1个）2个1000M的SFP光口，2个万兆SFP接口，1个串口，2个USB口；</w:t>
                  </w:r>
                </w:p>
              </w:tc>
            </w:tr>
            <w:tr>
              <w:tc>
                <w:tcPr>
                  <w:tcW w:type="dxa" w:w="5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性能指标</w:t>
                  </w:r>
                </w:p>
              </w:tc>
              <w:tc>
                <w:tcPr>
                  <w:tcW w:type="dxa" w:w="1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网络吞吐量：</w:t>
                  </w:r>
                  <w:r>
                    <w:rPr>
                      <w:rFonts w:ascii="仿宋_GB2312" w:hAnsi="仿宋_GB2312" w:cs="仿宋_GB2312" w:eastAsia="仿宋_GB2312"/>
                      <w:sz w:val="20"/>
                    </w:rPr>
                    <w:t>5Gbps</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系统整体时延：</w:t>
                  </w:r>
                  <w:r>
                    <w:rPr>
                      <w:rFonts w:ascii="仿宋_GB2312" w:hAnsi="仿宋_GB2312" w:cs="仿宋_GB2312" w:eastAsia="仿宋_GB2312"/>
                      <w:sz w:val="20"/>
                    </w:rPr>
                    <w:t>&lt;1ms</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并发连接数：</w:t>
                  </w:r>
                  <w:r>
                    <w:rPr>
                      <w:rFonts w:ascii="仿宋_GB2312" w:hAnsi="仿宋_GB2312" w:cs="仿宋_GB2312" w:eastAsia="仿宋_GB2312"/>
                      <w:sz w:val="20"/>
                    </w:rPr>
                    <w:t>200000</w:t>
                  </w:r>
                </w:p>
              </w:tc>
            </w:tr>
            <w:tr>
              <w:tc>
                <w:tcPr>
                  <w:tcW w:type="dxa" w:w="5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196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r>
          </w:tbl>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0"/>
                <w:color w:val="000000"/>
              </w:rPr>
              <w:t>高清视频会议摄像机</w:t>
            </w:r>
          </w:p>
          <w:tbl>
            <w:tblPr>
              <w:tblBorders>
                <w:top w:val="none" w:color="000000" w:sz="4"/>
                <w:left w:val="none" w:color="000000" w:sz="4"/>
                <w:bottom w:val="none" w:color="000000" w:sz="4"/>
                <w:right w:val="none" w:color="000000" w:sz="4"/>
                <w:insideH w:val="none"/>
                <w:insideV w:val="none"/>
              </w:tblBorders>
            </w:tblPr>
            <w:tblGrid>
              <w:gridCol w:w="602"/>
              <w:gridCol w:w="0"/>
              <w:gridCol w:w="975"/>
              <w:gridCol w:w="975"/>
            </w:tblGrid>
            <w:tr>
              <w:tc>
                <w:tcPr>
                  <w:tcW w:type="dxa" w:w="60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功能及技术指标</w:t>
                  </w:r>
                </w:p>
              </w:tc>
              <w:tc>
                <w:tcPr>
                  <w:tcW w:type="dxa" w:w="19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参数要求</w:t>
                  </w:r>
                </w:p>
              </w:tc>
            </w:tr>
            <w:tr>
              <w:tc>
                <w:tcPr>
                  <w:tcW w:type="dxa" w:w="6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总体要求</w:t>
                  </w:r>
                </w:p>
              </w:tc>
              <w:tc>
                <w:tcPr>
                  <w:tcW w:type="dxa" w:w="19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摄像机需与视频终端同一品牌。</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支持壁装、三脚架安装或吊顶安装等多种安装方式，可按用户需求进行安装。</w:t>
                  </w:r>
                </w:p>
              </w:tc>
            </w:tr>
            <w:tr>
              <w:tc>
                <w:tcPr>
                  <w:tcW w:type="dxa" w:w="6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传感器及镜头要求</w:t>
                  </w:r>
                </w:p>
              </w:tc>
              <w:tc>
                <w:tcPr>
                  <w:tcW w:type="dxa" w:w="19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镜头图像传感器采用不小于</w:t>
                  </w:r>
                  <w:r>
                    <w:rPr>
                      <w:rFonts w:ascii="仿宋_GB2312" w:hAnsi="仿宋_GB2312" w:cs="仿宋_GB2312" w:eastAsia="仿宋_GB2312"/>
                      <w:sz w:val="20"/>
                    </w:rPr>
                    <w:t>1/1.9" 图像传感器，支持1080p60、1080p30、1080p25、720p60、720p50等高清信号输出。</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支持不小于</w:t>
                  </w:r>
                  <w:r>
                    <w:rPr>
                      <w:rFonts w:ascii="仿宋_GB2312" w:hAnsi="仿宋_GB2312" w:cs="仿宋_GB2312" w:eastAsia="仿宋_GB2312"/>
                      <w:sz w:val="20"/>
                    </w:rPr>
                    <w:t>20倍光学变焦。</w:t>
                  </w:r>
                </w:p>
              </w:tc>
            </w:tr>
            <w:tr>
              <w:tc>
                <w:tcPr>
                  <w:tcW w:type="dxa" w:w="6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接口要求</w:t>
                  </w:r>
                </w:p>
              </w:tc>
              <w:tc>
                <w:tcPr>
                  <w:tcW w:type="dxa" w:w="19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视频输出接口具备</w:t>
                  </w:r>
                  <w:r>
                    <w:rPr>
                      <w:rFonts w:ascii="仿宋_GB2312" w:hAnsi="仿宋_GB2312" w:cs="仿宋_GB2312" w:eastAsia="仿宋_GB2312"/>
                      <w:sz w:val="20"/>
                    </w:rPr>
                    <w:t>SDI、DVI、HDBaseT接口。（需提供检测报告证明）</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支持供电、显示、控制多线合一，只连接一根超五类网线实现供电、图像显示、摄像机控制，支持信号传输</w:t>
                  </w:r>
                  <w:r>
                    <w:rPr>
                      <w:rFonts w:ascii="仿宋_GB2312" w:hAnsi="仿宋_GB2312" w:cs="仿宋_GB2312" w:eastAsia="仿宋_GB2312"/>
                      <w:sz w:val="20"/>
                    </w:rPr>
                    <w:t>100米。（需提供检测报告证明）</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RS422控制接口，支持标准VISCA协议，支持摄像机通过控制口RS422实现菊花链控制，菊花链控制摄像机不小于7个。</w:t>
                  </w:r>
                </w:p>
              </w:tc>
            </w:tr>
            <w:tr>
              <w:tc>
                <w:tcPr>
                  <w:tcW w:type="dxa" w:w="6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功能特性</w:t>
                  </w:r>
                </w:p>
              </w:tc>
              <w:tc>
                <w:tcPr>
                  <w:tcW w:type="dxa" w:w="19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支持中文</w:t>
                  </w:r>
                  <w:r>
                    <w:rPr>
                      <w:rFonts w:ascii="仿宋_GB2312" w:hAnsi="仿宋_GB2312" w:cs="仿宋_GB2312" w:eastAsia="仿宋_GB2312"/>
                      <w:sz w:val="20"/>
                    </w:rPr>
                    <w:t>OSD菜单，可在OSD中对摄像机进行设置。</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水平转动范围：</w:t>
                  </w:r>
                  <w:r>
                    <w:rPr>
                      <w:rFonts w:ascii="仿宋_GB2312" w:hAnsi="仿宋_GB2312" w:cs="仿宋_GB2312" w:eastAsia="仿宋_GB2312"/>
                      <w:sz w:val="20"/>
                    </w:rPr>
                    <w:t>≥ ±160°，垂直转动范围：≥ -90°～50°</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支持自带显示屏，可方便显示视频输出分辨率。（需提供检测报告证明）</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支持根据安装方向自动翻转图像。（需提供检测报告证明）</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支持保存不少于</w:t>
                  </w:r>
                  <w:r>
                    <w:rPr>
                      <w:rFonts w:ascii="仿宋_GB2312" w:hAnsi="仿宋_GB2312" w:cs="仿宋_GB2312" w:eastAsia="仿宋_GB2312"/>
                      <w:sz w:val="20"/>
                    </w:rPr>
                    <w:t>255个预置位。</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360°无线控制、有遮挡物时也能正常控制。（需提供检测报告证明）</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支持终端遥控器通过摄像机反向控制会议终端。</w:t>
                  </w:r>
                </w:p>
              </w:tc>
            </w:tr>
            <w:tr>
              <w:tc>
                <w:tcPr>
                  <w:tcW w:type="dxa" w:w="6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证书要求</w:t>
                  </w:r>
                </w:p>
              </w:tc>
              <w:tc>
                <w:tcPr>
                  <w:tcW w:type="dxa" w:w="19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提供产品</w:t>
                  </w:r>
                  <w:r>
                    <w:rPr>
                      <w:rFonts w:ascii="仿宋_GB2312" w:hAnsi="仿宋_GB2312" w:cs="仿宋_GB2312" w:eastAsia="仿宋_GB2312"/>
                      <w:sz w:val="20"/>
                    </w:rPr>
                    <w:t>RoHS证书复印件。</w:t>
                  </w:r>
                </w:p>
              </w:tc>
            </w:tr>
            <w:tr>
              <w:tc>
                <w:tcPr>
                  <w:tcW w:type="dxa" w:w="6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设备数量</w:t>
                  </w:r>
                </w:p>
              </w:tc>
              <w:tc>
                <w:tcPr>
                  <w:tcW w:type="dxa" w:w="19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r>
          </w:tbl>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20"/>
                <w:color w:val="000000"/>
              </w:rPr>
              <w:t>分体式会议终端</w:t>
            </w:r>
          </w:p>
          <w:tbl>
            <w:tblPr>
              <w:tblBorders>
                <w:top w:val="none" w:color="000000" w:sz="4"/>
                <w:left w:val="none" w:color="000000" w:sz="4"/>
                <w:bottom w:val="none" w:color="000000" w:sz="4"/>
                <w:right w:val="none" w:color="000000" w:sz="4"/>
                <w:insideH w:val="none"/>
                <w:insideV w:val="none"/>
              </w:tblBorders>
            </w:tblPr>
            <w:tblGrid>
              <w:gridCol w:w="561"/>
              <w:gridCol w:w="1991"/>
            </w:tblGrid>
            <w:tr>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功能及技术指标</w:t>
                  </w:r>
                </w:p>
              </w:tc>
              <w:tc>
                <w:tcPr>
                  <w:tcW w:type="dxa" w:w="1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参数要求</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技术要求</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 终端采用硬件分体式结构，非PC架构、非工控机架构</w:t>
                  </w:r>
                </w:p>
                <w:p>
                  <w:pPr>
                    <w:pStyle w:val="null3"/>
                  </w:pPr>
                  <w:r>
                    <w:rPr>
                      <w:rFonts w:ascii="仿宋_GB2312" w:hAnsi="仿宋_GB2312" w:cs="仿宋_GB2312" w:eastAsia="仿宋_GB2312"/>
                      <w:sz w:val="20"/>
                    </w:rPr>
                    <w:t>2. 支持ITU-T H.323协议标准；会议速率支持256kbps—4Mbps；</w:t>
                  </w:r>
                </w:p>
                <w:p>
                  <w:pPr>
                    <w:pStyle w:val="null3"/>
                  </w:pPr>
                  <w:r>
                    <w:rPr>
                      <w:rFonts w:ascii="仿宋_GB2312" w:hAnsi="仿宋_GB2312" w:cs="仿宋_GB2312" w:eastAsia="仿宋_GB2312"/>
                      <w:sz w:val="20"/>
                    </w:rPr>
                    <w:t>3. 视频协议支持H.263、H.264、H.264 high profile等视频编解码算法；</w:t>
                  </w:r>
                </w:p>
                <w:p>
                  <w:pPr>
                    <w:pStyle w:val="null3"/>
                  </w:pPr>
                  <w:r>
                    <w:rPr>
                      <w:rFonts w:ascii="仿宋_GB2312" w:hAnsi="仿宋_GB2312" w:cs="仿宋_GB2312" w:eastAsia="仿宋_GB2312"/>
                      <w:sz w:val="20"/>
                    </w:rPr>
                    <w:t>4. 音频协议G.711、G.722、G.728、G.722.1AnnexC、G.719、MPEG4-AAC LC/LD等音频协议，可达到20KHz以上的宽频效果；</w:t>
                  </w:r>
                </w:p>
                <w:p>
                  <w:pPr>
                    <w:pStyle w:val="null3"/>
                  </w:pPr>
                  <w:r>
                    <w:rPr>
                      <w:rFonts w:ascii="仿宋_GB2312" w:hAnsi="仿宋_GB2312" w:cs="仿宋_GB2312" w:eastAsia="仿宋_GB2312"/>
                      <w:sz w:val="20"/>
                    </w:rPr>
                    <w:t>5. 支持1080P30高清视频解码，并向下兼容720p30、4CIF、CIF标清图像格式；</w:t>
                  </w:r>
                </w:p>
                <w:p>
                  <w:pPr>
                    <w:pStyle w:val="null3"/>
                  </w:pPr>
                  <w:r>
                    <w:rPr>
                      <w:rFonts w:ascii="仿宋_GB2312" w:hAnsi="仿宋_GB2312" w:cs="仿宋_GB2312" w:eastAsia="仿宋_GB2312"/>
                      <w:sz w:val="20"/>
                    </w:rPr>
                    <w:t>6. 提供不少于4路音频输入接口，4路音频输出接口；</w:t>
                  </w:r>
                </w:p>
                <w:p>
                  <w:pPr>
                    <w:pStyle w:val="null3"/>
                  </w:pPr>
                  <w:r>
                    <w:rPr>
                      <w:rFonts w:ascii="仿宋_GB2312" w:hAnsi="仿宋_GB2312" w:cs="仿宋_GB2312" w:eastAsia="仿宋_GB2312"/>
                      <w:sz w:val="20"/>
                    </w:rPr>
                    <w:t>7. 提供不少于4路独立的高清视频输入接口、4路高清输出接口，不得采用私有非标接口或转接线缆实现。</w:t>
                  </w:r>
                </w:p>
                <w:p>
                  <w:pPr>
                    <w:pStyle w:val="null3"/>
                  </w:pPr>
                  <w:r>
                    <w:rPr>
                      <w:rFonts w:ascii="仿宋_GB2312" w:hAnsi="仿宋_GB2312" w:cs="仿宋_GB2312" w:eastAsia="仿宋_GB2312"/>
                      <w:sz w:val="20"/>
                    </w:rPr>
                    <w:t>8. 支持一键调出视频源选择界面，灵活选择主视频源和辅视频源的输入接口。（需提供功能截图证明）</w:t>
                  </w:r>
                </w:p>
                <w:p>
                  <w:pPr>
                    <w:pStyle w:val="null3"/>
                  </w:pPr>
                  <w:r>
                    <w:rPr>
                      <w:rFonts w:ascii="仿宋_GB2312" w:hAnsi="仿宋_GB2312" w:cs="仿宋_GB2312" w:eastAsia="仿宋_GB2312"/>
                      <w:sz w:val="20"/>
                    </w:rPr>
                    <w:t>▲9. 音频支持模拟卡侬麦克风，RCA接口；视频支持HDMI、DVI等接，分体式会议终端与陕西省教育大数据视频会议系统相连通。</w:t>
                  </w:r>
                </w:p>
              </w:tc>
            </w:tr>
            <w:tr>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1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r>
          </w:tbl>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20"/>
                <w:color w:val="000000"/>
              </w:rPr>
              <w:t>平台</w:t>
            </w:r>
          </w:p>
          <w:tbl>
            <w:tblPr>
              <w:tblBorders>
                <w:top w:val="none" w:color="000000" w:sz="4"/>
                <w:left w:val="none" w:color="000000" w:sz="4"/>
                <w:bottom w:val="none" w:color="000000" w:sz="4"/>
                <w:right w:val="none" w:color="000000" w:sz="4"/>
                <w:insideH w:val="none"/>
                <w:insideV w:val="none"/>
              </w:tblBorders>
            </w:tblPr>
            <w:tblGrid>
              <w:gridCol w:w="602"/>
              <w:gridCol w:w="0"/>
              <w:gridCol w:w="975"/>
              <w:gridCol w:w="975"/>
            </w:tblGrid>
            <w:tr>
              <w:tc>
                <w:tcPr>
                  <w:tcW w:type="dxa" w:w="60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功能及技术指标</w:t>
                  </w:r>
                </w:p>
              </w:tc>
              <w:tc>
                <w:tcPr>
                  <w:tcW w:type="dxa" w:w="19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参数要求</w:t>
                  </w:r>
                </w:p>
              </w:tc>
            </w:tr>
            <w:tr>
              <w:tc>
                <w:tcPr>
                  <w:tcW w:type="dxa" w:w="6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技术参数</w:t>
                  </w:r>
                </w:p>
              </w:tc>
              <w:tc>
                <w:tcPr>
                  <w:tcW w:type="dxa" w:w="19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MCU支持虚拟化部署；</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H.323和SIP、 RTMP等多种国际标准通信协议；（提供第三方权威机构检验报告或功能截图）</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H.239、BFCP高清动态双流协议；</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IPv4、IPv6；</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4K、1080P60、1080P30、720P60、720P30、4CIF、CIF等多种视频分辨率；（提供第三方权威机构检验报告或功能截图）</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H.265、H.264HP、H.264BP、H.263等多种国际通用视频编解码协议；（提供第三方权威机构检验报告或功能截图）</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OPUS、G.711、G.722、、G722.1C、G.729、G.729A、8、G.729AB、MPEG-4、AAC-LC等音频编解码协议；</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支持全编全解，具备动态资源分配功能，当</w:t>
                  </w:r>
                  <w:r>
                    <w:rPr>
                      <w:rFonts w:ascii="仿宋_GB2312" w:hAnsi="仿宋_GB2312" w:cs="仿宋_GB2312" w:eastAsia="仿宋_GB2312"/>
                      <w:sz w:val="20"/>
                    </w:rPr>
                    <w:t>MCU建立多方视频会议，支持全适配混合速率，可针对每个接入终端独立编码；（提供第三方权威机构检验报告或功能截图）</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支持多种等分布局，支持不少于</w:t>
                  </w:r>
                  <w:r>
                    <w:rPr>
                      <w:rFonts w:ascii="仿宋_GB2312" w:hAnsi="仿宋_GB2312" w:cs="仿宋_GB2312" w:eastAsia="仿宋_GB2312"/>
                      <w:sz w:val="20"/>
                    </w:rPr>
                    <w:t>36分屏，支持不少于7种1+N布局模式；</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支持广播布局，支持设置多种布局模板，可指定不同参会人员显示不同布局内容；（提供第三方权威机构检验报告或功能截图）</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支持服务器集群技，可实现三台及以上服务器互为热备，当某台</w:t>
                  </w:r>
                  <w:r>
                    <w:rPr>
                      <w:rFonts w:ascii="仿宋_GB2312" w:hAnsi="仿宋_GB2312" w:cs="仿宋_GB2312" w:eastAsia="仿宋_GB2312"/>
                      <w:sz w:val="20"/>
                    </w:rPr>
                    <w:t>MCU发生故障时，系统自动切换资源服务器，保障服务正常会议不中断；</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WebRTC网页入会；（提供第三方权威机构检验报告或功能截图）</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windows、IOS、安卓等移动端接入；</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支持多级权限管理，且区分读写权限；</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最高支持</w:t>
                  </w:r>
                  <w:r>
                    <w:rPr>
                      <w:rFonts w:ascii="仿宋_GB2312" w:hAnsi="仿宋_GB2312" w:cs="仿宋_GB2312" w:eastAsia="仿宋_GB2312"/>
                      <w:sz w:val="20"/>
                    </w:rPr>
                    <w:t>30%抗视频丢包能力， 70%音频抗丢包能力；</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AES-256位加密技术保障会议安全；（提供第三方权威机构检验报告或功能截图）</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SIP的TLS加密，支持H.323的H.235加密，支持流媒体加密；</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MCU应可保障7x24小时不间断运行需求，保证设备性能的稳定性；</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平台具备权威机构颁发的通讯能力安全认证评级，评级等级</w:t>
                  </w:r>
                  <w:r>
                    <w:rPr>
                      <w:rFonts w:ascii="仿宋_GB2312" w:hAnsi="仿宋_GB2312" w:cs="仿宋_GB2312" w:eastAsia="仿宋_GB2312"/>
                      <w:sz w:val="20"/>
                    </w:rPr>
                    <w:t>4星以上（提供认证证书）</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提供进网许可、</w:t>
                  </w:r>
                  <w:r>
                    <w:rPr>
                      <w:rFonts w:ascii="仿宋_GB2312" w:hAnsi="仿宋_GB2312" w:cs="仿宋_GB2312" w:eastAsia="仿宋_GB2312"/>
                      <w:sz w:val="20"/>
                    </w:rPr>
                    <w:t>CCC及权威机构出具的产品检测报告；</w:t>
                  </w:r>
                </w:p>
              </w:tc>
            </w:tr>
            <w:tr>
              <w:tc>
                <w:tcPr>
                  <w:tcW w:type="dxa" w:w="6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19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r>
          </w:tbl>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0"/>
                <w:color w:val="000000"/>
              </w:rPr>
              <w:t>终端</w:t>
            </w:r>
          </w:p>
          <w:tbl>
            <w:tblPr>
              <w:tblBorders>
                <w:top w:val="none" w:color="000000" w:sz="4"/>
                <w:left w:val="none" w:color="000000" w:sz="4"/>
                <w:bottom w:val="none" w:color="000000" w:sz="4"/>
                <w:right w:val="none" w:color="000000" w:sz="4"/>
                <w:insideH w:val="none"/>
                <w:insideV w:val="none"/>
              </w:tblBorders>
            </w:tblPr>
            <w:tblGrid>
              <w:gridCol w:w="602"/>
              <w:gridCol w:w="0"/>
              <w:gridCol w:w="975"/>
              <w:gridCol w:w="975"/>
            </w:tblGrid>
            <w:tr>
              <w:tc>
                <w:tcPr>
                  <w:tcW w:type="dxa" w:w="60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功能及技术指标</w:t>
                  </w:r>
                </w:p>
              </w:tc>
              <w:tc>
                <w:tcPr>
                  <w:tcW w:type="dxa" w:w="19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参数要求</w:t>
                  </w:r>
                </w:p>
              </w:tc>
            </w:tr>
            <w:tr>
              <w:tc>
                <w:tcPr>
                  <w:tcW w:type="dxa" w:w="6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技术参数</w:t>
                  </w:r>
                </w:p>
              </w:tc>
              <w:tc>
                <w:tcPr>
                  <w:tcW w:type="dxa" w:w="19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采用嵌入式操作系统，非</w:t>
                  </w:r>
                  <w:r>
                    <w:rPr>
                      <w:rFonts w:ascii="仿宋_GB2312" w:hAnsi="仿宋_GB2312" w:cs="仿宋_GB2312" w:eastAsia="仿宋_GB2312"/>
                      <w:sz w:val="20"/>
                    </w:rPr>
                    <w:t>Windows、Android操作系统；（提供第三方权威机构检验报告）</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SIP、H.323国际标准通信协议，不得使用私有协议转换为国际标准H.323和SIP协议；（提供第三方权威机构检验报告或功能截图）</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支持不少于</w:t>
                  </w:r>
                  <w:r>
                    <w:rPr>
                      <w:rFonts w:ascii="仿宋_GB2312" w:hAnsi="仿宋_GB2312" w:cs="仿宋_GB2312" w:eastAsia="仿宋_GB2312"/>
                      <w:sz w:val="20"/>
                    </w:rPr>
                    <w:t>10方内置MCU，在平台出现不可抗力的异常情况下，作为应急通讯备份；（提供第三方权威机构检验报告或功能截图）</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H.265/HEVC、H.264HP、H.264、H.263、H263+等多种国际通用视频编解码协议；</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1080p60fps、1080p30fps、720p30fps等多种视频格式的编解码；</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OPUS、G.711、G.722、G722.1、G722.1C、等音频编解码协议；</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H.239、BFCP高清动态双流；</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视频会议终端需支持主流</w:t>
                  </w:r>
                  <w:r>
                    <w:rPr>
                      <w:rFonts w:ascii="仿宋_GB2312" w:hAnsi="仿宋_GB2312" w:cs="仿宋_GB2312" w:eastAsia="仿宋_GB2312"/>
                      <w:sz w:val="20"/>
                    </w:rPr>
                    <w:t>1080P60fps，辅流1080P30fps；</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在不接入视频矩阵情况下，支持不少于</w:t>
                  </w:r>
                  <w:r>
                    <w:rPr>
                      <w:rFonts w:ascii="仿宋_GB2312" w:hAnsi="仿宋_GB2312" w:cs="仿宋_GB2312" w:eastAsia="仿宋_GB2312"/>
                      <w:sz w:val="20"/>
                    </w:rPr>
                    <w:t>6路高清摄像机同时接入并输出图像，满足省级大型报告厅会场画面进行多角度、多方位进行画面获取；（提供第三方权威机构检验报告或功能截图）</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支持多路本地摄像机组合画面分辨率达</w:t>
                  </w:r>
                  <w:r>
                    <w:rPr>
                      <w:rFonts w:ascii="仿宋_GB2312" w:hAnsi="仿宋_GB2312" w:cs="仿宋_GB2312" w:eastAsia="仿宋_GB2312"/>
                      <w:sz w:val="20"/>
                    </w:rPr>
                    <w:t>1080P60fps，以主视频方式发送给远端会场；</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IPV4和IPV6协议栈；</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具备先进的网络丢包恢复机制，视频会议时：</w:t>
                  </w:r>
                  <w:r>
                    <w:rPr>
                      <w:rFonts w:ascii="仿宋_GB2312" w:hAnsi="仿宋_GB2312" w:cs="仿宋_GB2312" w:eastAsia="仿宋_GB2312"/>
                      <w:sz w:val="20"/>
                    </w:rPr>
                    <w:t>30%丢包下，图像较流畅；音频通信时：70%丢包下，声音基本连贯，语义可理解；（提供第三方权威机构检验报告或功能截图）</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支持蓝牙连接，可连接至指定麦克风；（提供第三方权威机构检验报告或功能截图）</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支持通过外接</w:t>
                  </w:r>
                  <w:r>
                    <w:rPr>
                      <w:rFonts w:ascii="仿宋_GB2312" w:hAnsi="仿宋_GB2312" w:cs="仿宋_GB2312" w:eastAsia="仿宋_GB2312"/>
                      <w:sz w:val="20"/>
                    </w:rPr>
                    <w:t>USB存储设备录制720P高清视频，并支持在终端上播放，可暂停、快进、快退；（提供第三方权威机构检验报告或功能截图）</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双屏显示，自定义第二屏显示本地</w:t>
                  </w:r>
                  <w:r>
                    <w:rPr>
                      <w:rFonts w:ascii="仿宋_GB2312" w:hAnsi="仿宋_GB2312" w:cs="仿宋_GB2312" w:eastAsia="仿宋_GB2312"/>
                      <w:sz w:val="20"/>
                    </w:rPr>
                    <w:t>/远端/辅流图像；</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支持红外透传功能，实现终端遥控器通过摄像机控制机房内会议终端，方便调试；</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支持网页管理端控制、调测终端；</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支持会议白名单及黑名单；</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支持通过第三方触屏电视对会议终端进行操作控制，满足后续会场显示设备升级需求；（提供第三方权威机构检验报告或功能截图）</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提供进网许可、</w:t>
                  </w:r>
                  <w:r>
                    <w:rPr>
                      <w:rFonts w:ascii="仿宋_GB2312" w:hAnsi="仿宋_GB2312" w:cs="仿宋_GB2312" w:eastAsia="仿宋_GB2312"/>
                      <w:sz w:val="20"/>
                    </w:rPr>
                    <w:t>CCC及权威机构出具的产品检测报告；</w:t>
                  </w:r>
                </w:p>
              </w:tc>
            </w:tr>
            <w:tr>
              <w:tc>
                <w:tcPr>
                  <w:tcW w:type="dxa" w:w="6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19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r>
          </w:tbl>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0"/>
                <w:color w:val="000000"/>
              </w:rPr>
              <w:t>摄像机</w:t>
            </w:r>
          </w:p>
          <w:tbl>
            <w:tblPr>
              <w:tblBorders>
                <w:top w:val="none" w:color="000000" w:sz="4"/>
                <w:left w:val="none" w:color="000000" w:sz="4"/>
                <w:bottom w:val="none" w:color="000000" w:sz="4"/>
                <w:right w:val="none" w:color="000000" w:sz="4"/>
                <w:insideH w:val="none"/>
                <w:insideV w:val="none"/>
              </w:tblBorders>
            </w:tblPr>
            <w:tblGrid>
              <w:gridCol w:w="602"/>
              <w:gridCol w:w="0"/>
              <w:gridCol w:w="975"/>
              <w:gridCol w:w="975"/>
            </w:tblGrid>
            <w:tr>
              <w:tc>
                <w:tcPr>
                  <w:tcW w:type="dxa" w:w="60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功能及技术指标</w:t>
                  </w:r>
                </w:p>
              </w:tc>
              <w:tc>
                <w:tcPr>
                  <w:tcW w:type="dxa" w:w="195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参数要求</w:t>
                  </w:r>
                </w:p>
              </w:tc>
            </w:tr>
            <w:tr>
              <w:tc>
                <w:tcPr>
                  <w:tcW w:type="dxa" w:w="6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技术参数</w:t>
                  </w:r>
                </w:p>
              </w:tc>
              <w:tc>
                <w:tcPr>
                  <w:tcW w:type="dxa" w:w="19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为保持系统兼容稳定及后期运营维护方便，摄像机和终端保持同品牌，摄像头支持不低于</w:t>
                  </w:r>
                  <w:r>
                    <w:rPr>
                      <w:rFonts w:ascii="仿宋_GB2312" w:hAnsi="仿宋_GB2312" w:cs="仿宋_GB2312" w:eastAsia="仿宋_GB2312"/>
                      <w:sz w:val="20"/>
                    </w:rPr>
                    <w:t>12倍光学+3倍数码变焦；支持云台和PTZ控制</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摄像机水平视角</w:t>
                  </w:r>
                  <w:r>
                    <w:rPr>
                      <w:rFonts w:ascii="仿宋_GB2312" w:hAnsi="仿宋_GB2312" w:cs="仿宋_GB2312" w:eastAsia="仿宋_GB2312"/>
                      <w:sz w:val="20"/>
                    </w:rPr>
                    <w:t>≥70°，垂直视角≥40°；摄像机水平转动角度≥±100°；垂直转动角度≥±40°；</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POE供电及数据传输；</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摄像机可以选择切换手动和自动模式，实现调整聚焦、曝光、白平衡功能；</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摄像头支持红外透传功能，方便部署及调试；</w:t>
                  </w:r>
                </w:p>
              </w:tc>
            </w:tr>
            <w:tr>
              <w:tc>
                <w:tcPr>
                  <w:tcW w:type="dxa" w:w="6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19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r>
          </w:tbl>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0"/>
                <w:color w:val="000000"/>
              </w:rPr>
              <w:t>专网</w:t>
            </w:r>
            <w:r>
              <w:rPr>
                <w:rFonts w:ascii="仿宋_GB2312" w:hAnsi="仿宋_GB2312" w:cs="仿宋_GB2312" w:eastAsia="仿宋_GB2312"/>
                <w:sz w:val="20"/>
                <w:color w:val="000000"/>
              </w:rPr>
              <w:t>DNS</w:t>
            </w:r>
          </w:p>
          <w:p>
            <w:pPr>
              <w:pStyle w:val="null3"/>
            </w:pPr>
            <w:r>
              <w:rPr>
                <w:rFonts w:ascii="仿宋_GB2312" w:hAnsi="仿宋_GB2312" w:cs="仿宋_GB2312" w:eastAsia="仿宋_GB2312"/>
                <w:sz w:val="20"/>
                <w:color w:val="000000"/>
              </w:rPr>
              <w:t>考务平台服务器</w:t>
            </w:r>
          </w:p>
          <w:tbl>
            <w:tblPr>
              <w:tblBorders>
                <w:top w:val="none" w:color="000000" w:sz="4"/>
                <w:left w:val="none" w:color="000000" w:sz="4"/>
                <w:bottom w:val="none" w:color="000000" w:sz="4"/>
                <w:right w:val="none" w:color="000000" w:sz="4"/>
                <w:insideH w:val="none"/>
                <w:insideV w:val="none"/>
              </w:tblBorders>
            </w:tblPr>
            <w:tblGrid>
              <w:gridCol w:w="493"/>
              <w:gridCol w:w="2060"/>
            </w:tblGrid>
            <w:tr>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0"/>
                    </w:rPr>
                    <w:t>名</w:t>
                  </w:r>
                  <w:r>
                    <w:rPr>
                      <w:rFonts w:ascii="仿宋_GB2312" w:hAnsi="仿宋_GB2312" w:cs="仿宋_GB2312" w:eastAsia="仿宋_GB2312"/>
                      <w:sz w:val="20"/>
                    </w:rPr>
                    <w:t xml:space="preserve">  </w:t>
                  </w:r>
                  <w:r>
                    <w:rPr>
                      <w:rFonts w:ascii="仿宋_GB2312" w:hAnsi="仿宋_GB2312" w:cs="仿宋_GB2312" w:eastAsia="仿宋_GB2312"/>
                      <w:sz w:val="20"/>
                    </w:rPr>
                    <w:t>称</w:t>
                  </w:r>
                </w:p>
              </w:tc>
              <w:tc>
                <w:tcPr>
                  <w:tcW w:type="dxa" w:w="20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主要技术参数</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考务平台服务器</w:t>
                  </w:r>
                </w:p>
                <w:p>
                  <w:pPr>
                    <w:pStyle w:val="null3"/>
                    <w:jc w:val="center"/>
                  </w:pP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平台</w:t>
                  </w:r>
                  <w:r>
                    <w:rPr>
                      <w:rFonts w:ascii="仿宋_GB2312" w:hAnsi="仿宋_GB2312" w:cs="仿宋_GB2312" w:eastAsia="仿宋_GB2312"/>
                      <w:sz w:val="20"/>
                    </w:rPr>
                    <w:t>:12*3.5英寸机型(2*Kunpeng 920,7261K,64 Core@2.6GHz)/4*GE；</w:t>
                  </w:r>
                </w:p>
                <w:p>
                  <w:pPr>
                    <w:pStyle w:val="null3"/>
                    <w:jc w:val="both"/>
                  </w:pPr>
                  <w:r>
                    <w:rPr>
                      <w:rFonts w:ascii="仿宋_GB2312" w:hAnsi="仿宋_GB2312" w:cs="仿宋_GB2312" w:eastAsia="仿宋_GB2312"/>
                      <w:sz w:val="20"/>
                    </w:rPr>
                    <w:t>内存：</w:t>
                  </w:r>
                  <w:r>
                    <w:rPr>
                      <w:rFonts w:ascii="仿宋_GB2312" w:hAnsi="仿宋_GB2312" w:cs="仿宋_GB2312" w:eastAsia="仿宋_GB2312"/>
                      <w:sz w:val="20"/>
                    </w:rPr>
                    <w:t>8*32GB/DDR4 RDIMM/2933；</w:t>
                  </w:r>
                </w:p>
                <w:p>
                  <w:pPr>
                    <w:pStyle w:val="null3"/>
                    <w:jc w:val="both"/>
                  </w:pPr>
                  <w:r>
                    <w:rPr>
                      <w:rFonts w:ascii="仿宋_GB2312" w:hAnsi="仿宋_GB2312" w:cs="仿宋_GB2312" w:eastAsia="仿宋_GB2312"/>
                      <w:sz w:val="20"/>
                    </w:rPr>
                    <w:t>硬盘：</w:t>
                  </w:r>
                  <w:r>
                    <w:rPr>
                      <w:rFonts w:ascii="仿宋_GB2312" w:hAnsi="仿宋_GB2312" w:cs="仿宋_GB2312" w:eastAsia="仿宋_GB2312"/>
                      <w:sz w:val="20"/>
                    </w:rPr>
                    <w:t>2*480G/SSD/SATA-6Gb/s-读取密集型；2*960G/SSD/SATA-6Gb/s-读取密集型；4*8T/HDD/SATA 6Gb/s-7.2K rpm；</w:t>
                  </w:r>
                </w:p>
                <w:p>
                  <w:pPr>
                    <w:pStyle w:val="null3"/>
                    <w:jc w:val="both"/>
                  </w:pPr>
                  <w:r>
                    <w:rPr>
                      <w:rFonts w:ascii="仿宋_GB2312" w:hAnsi="仿宋_GB2312" w:cs="仿宋_GB2312" w:eastAsia="仿宋_GB2312"/>
                      <w:sz w:val="20"/>
                    </w:rPr>
                    <w:t>RAID: 1*9460-8i RAID标卡-2GB缓存；</w:t>
                  </w:r>
                </w:p>
                <w:p>
                  <w:pPr>
                    <w:pStyle w:val="null3"/>
                    <w:jc w:val="both"/>
                  </w:pPr>
                  <w:r>
                    <w:rPr>
                      <w:rFonts w:ascii="仿宋_GB2312" w:hAnsi="仿宋_GB2312" w:cs="仿宋_GB2312" w:eastAsia="仿宋_GB2312"/>
                      <w:sz w:val="20"/>
                    </w:rPr>
                    <w:t>Riser卡：3*16X SLOT (PCIE X8) RISER1&amp;2 模组</w:t>
                  </w:r>
                </w:p>
                <w:p>
                  <w:pPr>
                    <w:pStyle w:val="null3"/>
                    <w:jc w:val="both"/>
                  </w:pPr>
                  <w:r>
                    <w:rPr>
                      <w:rFonts w:ascii="仿宋_GB2312" w:hAnsi="仿宋_GB2312" w:cs="仿宋_GB2312" w:eastAsia="仿宋_GB2312"/>
                      <w:sz w:val="20"/>
                    </w:rPr>
                    <w:t>网卡：</w:t>
                  </w:r>
                  <w:r>
                    <w:rPr>
                      <w:rFonts w:ascii="仿宋_GB2312" w:hAnsi="仿宋_GB2312" w:cs="仿宋_GB2312" w:eastAsia="仿宋_GB2312"/>
                      <w:sz w:val="20"/>
                    </w:rPr>
                    <w:t>2*以太网卡-10Gb光口(Mellanox MT27712A0)-双端口-SFP+(不含光模块)-PCIe 3.0 x8</w:t>
                  </w:r>
                </w:p>
                <w:p>
                  <w:pPr>
                    <w:pStyle w:val="null3"/>
                    <w:jc w:val="both"/>
                  </w:pPr>
                  <w:r>
                    <w:rPr>
                      <w:rFonts w:ascii="仿宋_GB2312" w:hAnsi="仿宋_GB2312" w:cs="仿宋_GB2312" w:eastAsia="仿宋_GB2312"/>
                      <w:sz w:val="20"/>
                    </w:rPr>
                    <w:t>光模块：</w:t>
                  </w:r>
                  <w:r>
                    <w:rPr>
                      <w:rFonts w:ascii="仿宋_GB2312" w:hAnsi="仿宋_GB2312" w:cs="仿宋_GB2312" w:eastAsia="仿宋_GB2312"/>
                      <w:sz w:val="20"/>
                    </w:rPr>
                    <w:t>4*光模块-SFP+-10G多模模块(850nm,0.3km,LC)</w:t>
                  </w:r>
                </w:p>
                <w:p>
                  <w:pPr>
                    <w:pStyle w:val="null3"/>
                    <w:jc w:val="both"/>
                  </w:pPr>
                  <w:r>
                    <w:rPr>
                      <w:rFonts w:ascii="仿宋_GB2312" w:hAnsi="仿宋_GB2312" w:cs="仿宋_GB2312" w:eastAsia="仿宋_GB2312"/>
                      <w:sz w:val="20"/>
                    </w:rPr>
                    <w:t>电源模块：</w:t>
                  </w:r>
                  <w:r>
                    <w:rPr>
                      <w:rFonts w:ascii="仿宋_GB2312" w:hAnsi="仿宋_GB2312" w:cs="仿宋_GB2312" w:eastAsia="仿宋_GB2312"/>
                      <w:sz w:val="20"/>
                    </w:rPr>
                    <w:t>900W白金交流电源模块；</w:t>
                  </w:r>
                </w:p>
                <w:p>
                  <w:pPr>
                    <w:pStyle w:val="null3"/>
                    <w:jc w:val="both"/>
                  </w:pPr>
                  <w:r>
                    <w:rPr>
                      <w:rFonts w:ascii="仿宋_GB2312" w:hAnsi="仿宋_GB2312" w:cs="仿宋_GB2312" w:eastAsia="仿宋_GB2312"/>
                      <w:sz w:val="20"/>
                    </w:rPr>
                    <w:t>滑轨：</w:t>
                  </w:r>
                  <w:r>
                    <w:rPr>
                      <w:rFonts w:ascii="仿宋_GB2312" w:hAnsi="仿宋_GB2312" w:cs="仿宋_GB2312" w:eastAsia="仿宋_GB2312"/>
                      <w:sz w:val="20"/>
                    </w:rPr>
                    <w:t>2U静态滑轨套件；</w:t>
                  </w:r>
                </w:p>
                <w:p>
                  <w:pPr>
                    <w:pStyle w:val="null3"/>
                    <w:jc w:val="both"/>
                  </w:pPr>
                  <w:r>
                    <w:rPr>
                      <w:rFonts w:ascii="仿宋_GB2312" w:hAnsi="仿宋_GB2312" w:cs="仿宋_GB2312" w:eastAsia="仿宋_GB2312"/>
                      <w:sz w:val="20"/>
                    </w:rPr>
                    <w:t>操作系统：预装国产银河麒麟操作系统；</w:t>
                  </w:r>
                </w:p>
                <w:p>
                  <w:pPr>
                    <w:pStyle w:val="null3"/>
                    <w:jc w:val="both"/>
                  </w:pPr>
                  <w:r>
                    <w:rPr>
                      <w:rFonts w:ascii="仿宋_GB2312" w:hAnsi="仿宋_GB2312" w:cs="仿宋_GB2312" w:eastAsia="仿宋_GB2312"/>
                      <w:sz w:val="20"/>
                    </w:rPr>
                    <w:t>维保服务：三年免费整机硬件保修，设备厂商工程师免费上门服务。</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设备数量</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2台</w:t>
                  </w:r>
                </w:p>
              </w:tc>
            </w:tr>
          </w:tbl>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sz w:val="20"/>
                <w:color w:val="000000"/>
              </w:rPr>
              <w:t>考试院办公区内各区域无线网络</w:t>
            </w:r>
          </w:p>
          <w:p>
            <w:pPr>
              <w:pStyle w:val="null3"/>
              <w:spacing w:before="60" w:after="60"/>
              <w:outlineLvl w:val="2"/>
            </w:pPr>
            <w:r>
              <w:rPr>
                <w:rFonts w:ascii="仿宋_GB2312" w:hAnsi="仿宋_GB2312" w:cs="仿宋_GB2312" w:eastAsia="仿宋_GB2312"/>
                <w:sz w:val="20"/>
                <w:b/>
              </w:rPr>
              <w:t>考试院办公区内各区域无线网络</w:t>
            </w:r>
          </w:p>
          <w:p>
            <w:pPr>
              <w:pStyle w:val="null3"/>
              <w:spacing w:before="60" w:after="60"/>
              <w:outlineLvl w:val="3"/>
            </w:pPr>
            <w:r>
              <w:rPr>
                <w:rFonts w:ascii="仿宋_GB2312" w:hAnsi="仿宋_GB2312" w:cs="仿宋_GB2312" w:eastAsia="仿宋_GB2312"/>
                <w:sz w:val="20"/>
                <w:b/>
              </w:rPr>
              <w:t>室内面板</w:t>
            </w:r>
            <w:r>
              <w:rPr>
                <w:rFonts w:ascii="仿宋_GB2312" w:hAnsi="仿宋_GB2312" w:cs="仿宋_GB2312" w:eastAsia="仿宋_GB2312"/>
                <w:sz w:val="20"/>
                <w:b/>
              </w:rPr>
              <w:t>AP</w:t>
            </w:r>
          </w:p>
          <w:tbl>
            <w:tblPr>
              <w:tblInd w:type="dxa" w:w="120"/>
              <w:tblBorders>
                <w:top w:val="none" w:color="000000" w:sz="4"/>
                <w:left w:val="none" w:color="000000" w:sz="4"/>
                <w:bottom w:val="none" w:color="000000" w:sz="4"/>
                <w:right w:val="none" w:color="000000" w:sz="4"/>
                <w:insideH w:val="none"/>
                <w:insideV w:val="none"/>
              </w:tblBorders>
            </w:tblPr>
            <w:tblGrid>
              <w:gridCol w:w="589"/>
              <w:gridCol w:w="1964"/>
            </w:tblGrid>
            <w:tr>
              <w:tc>
                <w:tcPr>
                  <w:tcW w:type="dxa" w:w="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功能及技术指标</w:t>
                  </w:r>
                </w:p>
              </w:tc>
              <w:tc>
                <w:tcPr>
                  <w:tcW w:type="dxa" w:w="19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参数要求</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协议标准</w:t>
                  </w:r>
                </w:p>
                <w:p>
                  <w:pPr>
                    <w:pStyle w:val="null3"/>
                    <w:jc w:val="center"/>
                  </w:p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802.11a/n/ac/ac wave2协议标准</w:t>
                  </w:r>
                </w:p>
              </w:tc>
            </w:tr>
            <w:tr>
              <w:tc>
                <w:tcPr>
                  <w:tcW w:type="dxa" w:w="589"/>
                  <w:vMerge/>
                  <w:tcBorders>
                    <w:top w:val="none" w:color="000000" w:sz="4"/>
                    <w:left w:val="single" w:color="000000" w:sz="4"/>
                    <w:bottom w:val="single" w:color="000000" w:sz="4"/>
                    <w:right w:val="single" w:color="000000" w:sz="4"/>
                  </w:tcBorders>
                </w:tc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2.4GHz/5GHz双频段同时工作</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安装方式</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匹配国标</w:t>
                  </w:r>
                  <w:r>
                    <w:rPr>
                      <w:rFonts w:ascii="仿宋_GB2312" w:hAnsi="仿宋_GB2312" w:cs="仿宋_GB2312" w:eastAsia="仿宋_GB2312"/>
                      <w:sz w:val="20"/>
                    </w:rPr>
                    <w:t>86mm面板设计，可安装在86盒上，厚度不超过40mm</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用户接入</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支持最大接入用户数</w:t>
                  </w:r>
                  <w:r>
                    <w:rPr>
                      <w:rFonts w:ascii="仿宋_GB2312" w:hAnsi="仿宋_GB2312" w:cs="仿宋_GB2312" w:eastAsia="仿宋_GB2312"/>
                      <w:sz w:val="20"/>
                    </w:rPr>
                    <w:t>≥200个</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射频</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MU-MIMO，2空间流，整机速率≥1.26Gbps</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接口</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1个GE上行接口</w:t>
                  </w:r>
                </w:p>
              </w:tc>
            </w:tr>
            <w:tr>
              <w:tc>
                <w:tcPr>
                  <w:tcW w:type="dxa" w:w="589"/>
                  <w:vMerge/>
                  <w:tcBorders>
                    <w:top w:val="none" w:color="000000" w:sz="4"/>
                    <w:left w:val="single" w:color="000000" w:sz="4"/>
                    <w:bottom w:val="single" w:color="000000" w:sz="4"/>
                    <w:right w:val="single" w:color="000000" w:sz="4"/>
                  </w:tcBorders>
                </w:tc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4个GE下行接口</w:t>
                  </w:r>
                </w:p>
              </w:tc>
            </w:tr>
            <w:tr>
              <w:tc>
                <w:tcPr>
                  <w:tcW w:type="dxa" w:w="589"/>
                  <w:vMerge/>
                  <w:tcBorders>
                    <w:top w:val="none" w:color="000000" w:sz="4"/>
                    <w:left w:val="single" w:color="000000" w:sz="4"/>
                    <w:bottom w:val="single" w:color="000000" w:sz="4"/>
                    <w:right w:val="single" w:color="000000" w:sz="4"/>
                  </w:tcBorders>
                </w:tc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2个RJ45直通口，兼容RJ11</w:t>
                  </w:r>
                </w:p>
              </w:tc>
            </w:tr>
            <w:tr>
              <w:tc>
                <w:tcPr>
                  <w:tcW w:type="dxa" w:w="589"/>
                  <w:vMerge/>
                  <w:tcBorders>
                    <w:top w:val="none" w:color="000000" w:sz="4"/>
                    <w:left w:val="single" w:color="000000" w:sz="4"/>
                    <w:bottom w:val="single" w:color="000000" w:sz="4"/>
                    <w:right w:val="single" w:color="000000" w:sz="4"/>
                  </w:tcBorders>
                </w:tc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支持标准</w:t>
                  </w:r>
                  <w:r>
                    <w:rPr>
                      <w:rFonts w:ascii="仿宋_GB2312" w:hAnsi="仿宋_GB2312" w:cs="仿宋_GB2312" w:eastAsia="仿宋_GB2312"/>
                      <w:sz w:val="20"/>
                    </w:rPr>
                    <w:t>USB接口，可以给手机充电</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蓝牙</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内置蓝牙</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天线</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内置全向天线</w:t>
                  </w:r>
                </w:p>
              </w:tc>
            </w:tr>
            <w:tr>
              <w:tc>
                <w:tcPr>
                  <w:tcW w:type="dxa" w:w="589"/>
                  <w:vMerge/>
                  <w:tcBorders>
                    <w:top w:val="none" w:color="000000" w:sz="4"/>
                    <w:left w:val="single" w:color="000000" w:sz="4"/>
                    <w:bottom w:val="single" w:color="000000" w:sz="4"/>
                    <w:right w:val="single" w:color="000000" w:sz="4"/>
                  </w:tcBorders>
                </w:tc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发射功率</w:t>
                  </w:r>
                  <w:r>
                    <w:rPr>
                      <w:rFonts w:ascii="仿宋_GB2312" w:hAnsi="仿宋_GB2312" w:cs="仿宋_GB2312" w:eastAsia="仿宋_GB2312"/>
                      <w:sz w:val="20"/>
                    </w:rPr>
                    <w:t>≥20dBm，支持按1dB步长调整发射功率</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功能特性</w:t>
                  </w:r>
                </w:p>
                <w:p>
                  <w:pPr>
                    <w:pStyle w:val="null3"/>
                    <w:jc w:val="both"/>
                  </w:p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MAC认证、Portal认证、802.1X认证、WAPI认证、PSK认证模式 ，并可支持MAC + Portal混合认证</w:t>
                  </w:r>
                </w:p>
              </w:tc>
            </w:tr>
            <w:tr>
              <w:tc>
                <w:tcPr>
                  <w:tcW w:type="dxa" w:w="589"/>
                  <w:vMerge/>
                  <w:tcBorders>
                    <w:top w:val="none" w:color="000000" w:sz="4"/>
                    <w:left w:val="single" w:color="000000" w:sz="4"/>
                    <w:bottom w:val="single" w:color="000000" w:sz="4"/>
                    <w:right w:val="single" w:color="000000" w:sz="4"/>
                  </w:tcBorders>
                </w:tc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AP本地转发模式下的应用识别，能识别语音和视频业务流，帮助实现精细化QoS管理</w:t>
                  </w:r>
                </w:p>
              </w:tc>
            </w:tr>
            <w:tr>
              <w:tc>
                <w:tcPr>
                  <w:tcW w:type="dxa" w:w="589"/>
                  <w:vMerge/>
                  <w:tcBorders>
                    <w:top w:val="none" w:color="000000" w:sz="4"/>
                    <w:left w:val="single" w:color="000000" w:sz="4"/>
                    <w:bottom w:val="single" w:color="000000" w:sz="4"/>
                    <w:right w:val="single" w:color="000000" w:sz="4"/>
                  </w:tcBorders>
                </w:tc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基于</w:t>
                  </w:r>
                  <w:r>
                    <w:rPr>
                      <w:rFonts w:ascii="仿宋_GB2312" w:hAnsi="仿宋_GB2312" w:cs="仿宋_GB2312" w:eastAsia="仿宋_GB2312"/>
                      <w:sz w:val="20"/>
                    </w:rPr>
                    <w:t>802.11k和802.11v协议的智能漫游技术，使终端接入到信号质量最好的AP，需提供佐证材料，包含但不限于官网链接、彩页、截图、第三方测试报告等证明文件</w:t>
                  </w:r>
                </w:p>
              </w:tc>
            </w:tr>
            <w:tr>
              <w:tc>
                <w:tcPr>
                  <w:tcW w:type="dxa" w:w="589"/>
                  <w:vMerge/>
                  <w:tcBorders>
                    <w:top w:val="none" w:color="000000" w:sz="4"/>
                    <w:left w:val="single" w:color="000000" w:sz="4"/>
                    <w:bottom w:val="single" w:color="000000" w:sz="4"/>
                    <w:right w:val="single" w:color="000000" w:sz="4"/>
                  </w:tcBorders>
                </w:tc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支持频谱分析功能，对婴儿监视器</w:t>
                  </w:r>
                  <w:r>
                    <w:rPr>
                      <w:rFonts w:ascii="仿宋_GB2312" w:hAnsi="仿宋_GB2312" w:cs="仿宋_GB2312" w:eastAsia="仿宋_GB2312"/>
                      <w:sz w:val="20"/>
                    </w:rPr>
                    <w:t>BabyMonitor、蓝牙设备、数字无绳电话、无线音频发射器、游戏手柄和微波炉等干扰源进行识别</w:t>
                  </w:r>
                </w:p>
              </w:tc>
            </w:tr>
            <w:tr>
              <w:tc>
                <w:tcPr>
                  <w:tcW w:type="dxa" w:w="589"/>
                  <w:vMerge/>
                  <w:tcBorders>
                    <w:top w:val="none" w:color="000000" w:sz="4"/>
                    <w:left w:val="single" w:color="000000" w:sz="4"/>
                    <w:bottom w:val="single" w:color="000000" w:sz="4"/>
                    <w:right w:val="single" w:color="000000" w:sz="4"/>
                  </w:tcBorders>
                </w:tc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支持通过内置蓝牙模块扫描蓝牙</w:t>
                  </w:r>
                  <w:r>
                    <w:rPr>
                      <w:rFonts w:ascii="仿宋_GB2312" w:hAnsi="仿宋_GB2312" w:cs="仿宋_GB2312" w:eastAsia="仿宋_GB2312"/>
                      <w:sz w:val="20"/>
                    </w:rPr>
                    <w:t>Tag的广播报文并上送到定位服务器进行定位，实现人员定位、资产定位等功能</w:t>
                  </w:r>
                </w:p>
              </w:tc>
            </w:tr>
            <w:tr>
              <w:tc>
                <w:tcPr>
                  <w:tcW w:type="dxa" w:w="5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供电</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支持本地</w:t>
                  </w:r>
                  <w:r>
                    <w:rPr>
                      <w:rFonts w:ascii="仿宋_GB2312" w:hAnsi="仿宋_GB2312" w:cs="仿宋_GB2312" w:eastAsia="仿宋_GB2312"/>
                      <w:sz w:val="20"/>
                    </w:rPr>
                    <w:t>DC电源供电和PoE供电两种供电模式</w:t>
                  </w:r>
                </w:p>
              </w:tc>
            </w:tr>
            <w:tr>
              <w:tc>
                <w:tcPr>
                  <w:tcW w:type="dxa" w:w="589"/>
                  <w:vMerge/>
                  <w:tcBorders>
                    <w:top w:val="none" w:color="000000" w:sz="4"/>
                    <w:left w:val="single" w:color="000000" w:sz="4"/>
                    <w:bottom w:val="single" w:color="000000" w:sz="4"/>
                    <w:right w:val="single" w:color="000000" w:sz="4"/>
                  </w:tcBorders>
                </w:tcP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PoE输出供电，可为IP话机等终端供电</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资质要求</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国家无线电委员会入网核准证</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设备数量</w:t>
                  </w:r>
                </w:p>
              </w:tc>
              <w:tc>
                <w:tcPr>
                  <w:tcW w:type="dxa" w:w="19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135台</w:t>
                  </w:r>
                </w:p>
              </w:tc>
            </w:tr>
          </w:tbl>
          <w:p>
            <w:pPr>
              <w:pStyle w:val="null3"/>
              <w:spacing w:before="60" w:after="60"/>
              <w:outlineLvl w:val="3"/>
            </w:pPr>
            <w:r>
              <w:rPr>
                <w:rFonts w:ascii="仿宋_GB2312" w:hAnsi="仿宋_GB2312" w:cs="仿宋_GB2312" w:eastAsia="仿宋_GB2312"/>
                <w:sz w:val="20"/>
                <w:b/>
              </w:rPr>
              <w:t>室内吸顶</w:t>
            </w:r>
            <w:r>
              <w:rPr>
                <w:rFonts w:ascii="仿宋_GB2312" w:hAnsi="仿宋_GB2312" w:cs="仿宋_GB2312" w:eastAsia="仿宋_GB2312"/>
                <w:sz w:val="20"/>
                <w:b/>
              </w:rPr>
              <w:t>/放装AP</w:t>
            </w:r>
          </w:p>
          <w:tbl>
            <w:tblPr>
              <w:tblInd w:type="dxa" w:w="120"/>
              <w:tblBorders>
                <w:top w:val="none" w:color="000000" w:sz="4"/>
                <w:left w:val="none" w:color="000000" w:sz="4"/>
                <w:bottom w:val="none" w:color="000000" w:sz="4"/>
                <w:right w:val="none" w:color="000000" w:sz="4"/>
                <w:insideH w:val="none"/>
                <w:insideV w:val="none"/>
              </w:tblBorders>
            </w:tblPr>
            <w:tblGrid>
              <w:gridCol w:w="486"/>
              <w:gridCol w:w="2067"/>
            </w:tblGrid>
            <w:tr>
              <w:tc>
                <w:tcPr>
                  <w:tcW w:type="dxa" w:w="48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功能及技术指标</w:t>
                  </w:r>
                </w:p>
              </w:tc>
              <w:tc>
                <w:tcPr>
                  <w:tcW w:type="dxa" w:w="206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参数要求</w:t>
                  </w:r>
                </w:p>
              </w:tc>
            </w:tr>
            <w:tr>
              <w:tc>
                <w:tcPr>
                  <w:tcW w:type="dxa" w:w="48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协议标准</w:t>
                  </w: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802.11a/n/ac/ac wave2协议标准</w:t>
                  </w:r>
                </w:p>
              </w:tc>
            </w:tr>
            <w:tr>
              <w:tc>
                <w:tcPr>
                  <w:tcW w:type="dxa" w:w="486"/>
                  <w:vMerge/>
                  <w:tcBorders>
                    <w:top w:val="none" w:color="000000" w:sz="4"/>
                    <w:left w:val="single" w:color="000000" w:sz="4"/>
                    <w:bottom w:val="single" w:color="000000" w:sz="4"/>
                    <w:right w:val="single" w:color="000000" w:sz="4"/>
                  </w:tcBorders>
                </w:tcP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2.4GHz/5GHz双频段同时工作</w:t>
                  </w:r>
                </w:p>
              </w:tc>
            </w:tr>
            <w:tr>
              <w:tc>
                <w:tcPr>
                  <w:tcW w:type="dxa" w:w="4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用户接入</w:t>
                  </w: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支持最大接入用户数</w:t>
                  </w:r>
                  <w:r>
                    <w:rPr>
                      <w:rFonts w:ascii="仿宋_GB2312" w:hAnsi="仿宋_GB2312" w:cs="仿宋_GB2312" w:eastAsia="仿宋_GB2312"/>
                      <w:sz w:val="20"/>
                    </w:rPr>
                    <w:t>≥510个；需提供佐证材料，包含但不限于官网链接、彩页、截图、第三方测试报告等证明文件</w:t>
                  </w:r>
                </w:p>
              </w:tc>
            </w:tr>
            <w:tr>
              <w:tc>
                <w:tcPr>
                  <w:tcW w:type="dxa" w:w="48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射频</w:t>
                  </w: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MU-MIMO，每射频4条空间流，整机速率≥2.5Gbps</w:t>
                  </w:r>
                </w:p>
              </w:tc>
            </w:tr>
            <w:tr>
              <w:tc>
                <w:tcPr>
                  <w:tcW w:type="dxa" w:w="486"/>
                  <w:vMerge/>
                  <w:tcBorders>
                    <w:top w:val="none" w:color="000000" w:sz="4"/>
                    <w:left w:val="single" w:color="000000" w:sz="4"/>
                    <w:bottom w:val="single" w:color="000000" w:sz="4"/>
                    <w:right w:val="single" w:color="000000" w:sz="4"/>
                  </w:tcBorders>
                </w:tcP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单射频接入</w:t>
                  </w:r>
                  <w:r>
                    <w:rPr>
                      <w:rFonts w:ascii="仿宋_GB2312" w:hAnsi="仿宋_GB2312" w:cs="仿宋_GB2312" w:eastAsia="仿宋_GB2312"/>
                      <w:sz w:val="20"/>
                    </w:rPr>
                    <w:t>10个wave2终端并发下载，总吞吐量不低于450Mbps，需提供佐证材料，包含但不限于官网链接、彩页、截图、第三方测试报告等证明文件</w:t>
                  </w:r>
                </w:p>
              </w:tc>
            </w:tr>
            <w:tr>
              <w:tc>
                <w:tcPr>
                  <w:tcW w:type="dxa" w:w="4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接口</w:t>
                  </w: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≥2个10/100/1000Mbps(RJ45 )</w:t>
                  </w:r>
                </w:p>
              </w:tc>
            </w:tr>
            <w:tr>
              <w:tc>
                <w:tcPr>
                  <w:tcW w:type="dxa" w:w="4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USB</w:t>
                  </w: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USB接口，可用于扩展存储等其他设备</w:t>
                  </w:r>
                </w:p>
              </w:tc>
            </w:tr>
            <w:tr>
              <w:tc>
                <w:tcPr>
                  <w:tcW w:type="dxa" w:w="48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天线</w:t>
                  </w: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内置全向天线</w:t>
                  </w:r>
                </w:p>
              </w:tc>
            </w:tr>
            <w:tr>
              <w:tc>
                <w:tcPr>
                  <w:tcW w:type="dxa" w:w="486"/>
                  <w:vMerge/>
                  <w:tcBorders>
                    <w:top w:val="none" w:color="000000" w:sz="4"/>
                    <w:left w:val="single" w:color="000000" w:sz="4"/>
                    <w:bottom w:val="single" w:color="000000" w:sz="4"/>
                    <w:right w:val="single" w:color="000000" w:sz="4"/>
                  </w:tcBorders>
                </w:tcP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发射功率</w:t>
                  </w:r>
                  <w:r>
                    <w:rPr>
                      <w:rFonts w:ascii="仿宋_GB2312" w:hAnsi="仿宋_GB2312" w:cs="仿宋_GB2312" w:eastAsia="仿宋_GB2312"/>
                      <w:sz w:val="20"/>
                    </w:rPr>
                    <w:t>≥20dBm，支持按1dB步长调整发射功率</w:t>
                  </w:r>
                </w:p>
              </w:tc>
            </w:tr>
            <w:tr>
              <w:tc>
                <w:tcPr>
                  <w:tcW w:type="dxa" w:w="4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工作温度</w:t>
                  </w: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工作温度</w:t>
                  </w:r>
                  <w:r>
                    <w:rPr>
                      <w:rFonts w:ascii="仿宋_GB2312" w:hAnsi="仿宋_GB2312" w:cs="仿宋_GB2312" w:eastAsia="仿宋_GB2312"/>
                      <w:sz w:val="20"/>
                    </w:rPr>
                    <w:t>-10°C~50°C，需提供佐证材料，包含但不限于官网链接、彩页、截图、第三方测试报告等证明文件</w:t>
                  </w:r>
                </w:p>
              </w:tc>
            </w:tr>
            <w:tr>
              <w:tc>
                <w:tcPr>
                  <w:tcW w:type="dxa" w:w="48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功能特性</w:t>
                  </w: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MAC认证、Portal认证、802.1X认证、WAPI认证、PSK认证模式 ，并可支持MAC + Portal混合认证</w:t>
                  </w:r>
                </w:p>
              </w:tc>
            </w:tr>
            <w:tr>
              <w:tc>
                <w:tcPr>
                  <w:tcW w:type="dxa" w:w="486"/>
                  <w:vMerge/>
                  <w:tcBorders>
                    <w:top w:val="none" w:color="000000" w:sz="4"/>
                    <w:left w:val="single" w:color="000000" w:sz="4"/>
                    <w:bottom w:val="single" w:color="000000" w:sz="4"/>
                    <w:right w:val="single" w:color="000000" w:sz="4"/>
                  </w:tcBorders>
                </w:tcP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AP本地转发模式下的应用识别，能识别语音和视频业务流，帮助实现精细化QoS管理</w:t>
                  </w:r>
                </w:p>
              </w:tc>
            </w:tr>
            <w:tr>
              <w:tc>
                <w:tcPr>
                  <w:tcW w:type="dxa" w:w="486"/>
                  <w:vMerge/>
                  <w:tcBorders>
                    <w:top w:val="none" w:color="000000" w:sz="4"/>
                    <w:left w:val="single" w:color="000000" w:sz="4"/>
                    <w:bottom w:val="single" w:color="000000" w:sz="4"/>
                    <w:right w:val="single" w:color="000000" w:sz="4"/>
                  </w:tcBorders>
                </w:tcP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基于</w:t>
                  </w:r>
                  <w:r>
                    <w:rPr>
                      <w:rFonts w:ascii="仿宋_GB2312" w:hAnsi="仿宋_GB2312" w:cs="仿宋_GB2312" w:eastAsia="仿宋_GB2312"/>
                      <w:sz w:val="20"/>
                    </w:rPr>
                    <w:t>802.11k和802.11v协议的智能漫游技术，使终端接入到信号质量最好的AP，需提供佐证材料，包含但不限于官网链接、彩页、截图、第三方测试报告等证明文件</w:t>
                  </w:r>
                </w:p>
              </w:tc>
            </w:tr>
            <w:tr>
              <w:tc>
                <w:tcPr>
                  <w:tcW w:type="dxa" w:w="486"/>
                  <w:vMerge/>
                  <w:tcBorders>
                    <w:top w:val="none" w:color="000000" w:sz="4"/>
                    <w:left w:val="single" w:color="000000" w:sz="4"/>
                    <w:bottom w:val="single" w:color="000000" w:sz="4"/>
                    <w:right w:val="single" w:color="000000" w:sz="4"/>
                  </w:tcBorders>
                </w:tcP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支持频谱分析功能，对婴儿监视器</w:t>
                  </w:r>
                  <w:r>
                    <w:rPr>
                      <w:rFonts w:ascii="仿宋_GB2312" w:hAnsi="仿宋_GB2312" w:cs="仿宋_GB2312" w:eastAsia="仿宋_GB2312"/>
                      <w:sz w:val="20"/>
                    </w:rPr>
                    <w:t>BabyMonitor、蓝牙设备、数字无绳电话、无线音频发射器、游戏手柄和微波炉等干扰源进行识别</w:t>
                  </w:r>
                </w:p>
              </w:tc>
            </w:tr>
            <w:tr>
              <w:tc>
                <w:tcPr>
                  <w:tcW w:type="dxa" w:w="4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供电</w:t>
                  </w: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支持本地</w:t>
                  </w:r>
                  <w:r>
                    <w:rPr>
                      <w:rFonts w:ascii="仿宋_GB2312" w:hAnsi="仿宋_GB2312" w:cs="仿宋_GB2312" w:eastAsia="仿宋_GB2312"/>
                      <w:sz w:val="20"/>
                    </w:rPr>
                    <w:t>DC电源供电和PoE供电两种供电模式</w:t>
                  </w:r>
                </w:p>
              </w:tc>
            </w:tr>
            <w:tr>
              <w:tc>
                <w:tcPr>
                  <w:tcW w:type="dxa" w:w="486"/>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▲资质要求</w:t>
                  </w: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国家无线电委员会入网核准证</w:t>
                  </w:r>
                </w:p>
              </w:tc>
            </w:tr>
            <w:tr>
              <w:tc>
                <w:tcPr>
                  <w:tcW w:type="dxa" w:w="486"/>
                  <w:vMerge/>
                  <w:tcBorders>
                    <w:top w:val="none" w:color="000000" w:sz="4"/>
                    <w:left w:val="single" w:color="000000" w:sz="4"/>
                    <w:bottom w:val="single" w:color="000000" w:sz="4"/>
                    <w:right w:val="single" w:color="000000" w:sz="4"/>
                  </w:tcBorders>
                </w:tcP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WIFI联盟认证证书</w:t>
                  </w:r>
                </w:p>
              </w:tc>
            </w:tr>
            <w:tr>
              <w:tc>
                <w:tcPr>
                  <w:tcW w:type="dxa" w:w="48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设备数量</w:t>
                  </w:r>
                </w:p>
              </w:tc>
              <w:tc>
                <w:tcPr>
                  <w:tcW w:type="dxa" w:w="206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26台</w:t>
                  </w:r>
                </w:p>
              </w:tc>
            </w:tr>
          </w:tbl>
          <w:p>
            <w:pPr>
              <w:pStyle w:val="null3"/>
              <w:spacing w:before="60" w:after="60"/>
              <w:outlineLvl w:val="3"/>
            </w:pPr>
            <w:r>
              <w:rPr>
                <w:rFonts w:ascii="仿宋_GB2312" w:hAnsi="仿宋_GB2312" w:cs="仿宋_GB2312" w:eastAsia="仿宋_GB2312"/>
                <w:sz w:val="20"/>
                <w:b/>
              </w:rPr>
              <w:t>会议室高密</w:t>
            </w:r>
            <w:r>
              <w:rPr>
                <w:rFonts w:ascii="仿宋_GB2312" w:hAnsi="仿宋_GB2312" w:cs="仿宋_GB2312" w:eastAsia="仿宋_GB2312"/>
                <w:sz w:val="20"/>
                <w:b/>
              </w:rPr>
              <w:t>AP</w:t>
            </w:r>
          </w:p>
          <w:tbl>
            <w:tblPr>
              <w:tblInd w:type="dxa" w:w="120"/>
              <w:tblBorders>
                <w:top w:val="none" w:color="000000" w:sz="4"/>
                <w:left w:val="none" w:color="000000" w:sz="4"/>
                <w:bottom w:val="none" w:color="000000" w:sz="4"/>
                <w:right w:val="none" w:color="000000" w:sz="4"/>
                <w:insideH w:val="none"/>
                <w:insideV w:val="none"/>
              </w:tblBorders>
            </w:tblPr>
            <w:tblGrid>
              <w:gridCol w:w="630"/>
              <w:gridCol w:w="1923"/>
            </w:tblGrid>
            <w:tr>
              <w:tc>
                <w:tcPr>
                  <w:tcW w:type="dxa" w:w="63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功能及技术指标</w:t>
                  </w:r>
                </w:p>
              </w:tc>
              <w:tc>
                <w:tcPr>
                  <w:tcW w:type="dxa" w:w="192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参数要求</w:t>
                  </w:r>
                </w:p>
              </w:tc>
            </w:tr>
            <w:tr>
              <w:tc>
                <w:tcPr>
                  <w:tcW w:type="dxa" w:w="63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协议标准</w:t>
                  </w: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802.11a/n/ac/ac wave2协议标准</w:t>
                  </w:r>
                </w:p>
              </w:tc>
            </w:tr>
            <w:tr>
              <w:tc>
                <w:tcPr>
                  <w:tcW w:type="dxa" w:w="630"/>
                  <w:vMerge/>
                  <w:tcBorders>
                    <w:top w:val="none" w:color="000000" w:sz="4"/>
                    <w:left w:val="single" w:color="000000" w:sz="4"/>
                    <w:bottom w:val="single" w:color="000000" w:sz="4"/>
                    <w:right w:val="single" w:color="000000" w:sz="4"/>
                  </w:tcBorders>
                </w:tcP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2.4GHz/5GHz双频段同时工作</w:t>
                  </w:r>
                </w:p>
              </w:tc>
            </w:tr>
            <w:tr>
              <w:tc>
                <w:tcPr>
                  <w:tcW w:type="dxa" w:w="6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用户接入</w:t>
                  </w: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支持最大接入用户数</w:t>
                  </w:r>
                  <w:r>
                    <w:rPr>
                      <w:rFonts w:ascii="仿宋_GB2312" w:hAnsi="仿宋_GB2312" w:cs="仿宋_GB2312" w:eastAsia="仿宋_GB2312"/>
                      <w:sz w:val="20"/>
                    </w:rPr>
                    <w:t>≥750个</w:t>
                  </w:r>
                </w:p>
              </w:tc>
            </w:tr>
            <w:tr>
              <w:tc>
                <w:tcPr>
                  <w:tcW w:type="dxa" w:w="63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射频</w:t>
                  </w: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MU-MIMO，单射频支持4条空间流</w:t>
                  </w:r>
                </w:p>
              </w:tc>
            </w:tr>
            <w:tr>
              <w:tc>
                <w:tcPr>
                  <w:tcW w:type="dxa" w:w="630"/>
                  <w:vMerge/>
                  <w:tcBorders>
                    <w:top w:val="none" w:color="000000" w:sz="4"/>
                    <w:left w:val="single" w:color="000000" w:sz="4"/>
                    <w:bottom w:val="single" w:color="000000" w:sz="4"/>
                    <w:right w:val="single" w:color="000000" w:sz="4"/>
                  </w:tcBorders>
                </w:tcP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整机速率</w:t>
                  </w:r>
                  <w:r>
                    <w:rPr>
                      <w:rFonts w:ascii="仿宋_GB2312" w:hAnsi="仿宋_GB2312" w:cs="仿宋_GB2312" w:eastAsia="仿宋_GB2312"/>
                      <w:sz w:val="20"/>
                    </w:rPr>
                    <w:t>≥3Gbps</w:t>
                  </w:r>
                </w:p>
              </w:tc>
            </w:tr>
            <w:tr>
              <w:tc>
                <w:tcPr>
                  <w:tcW w:type="dxa" w:w="630"/>
                  <w:vMerge/>
                  <w:tcBorders>
                    <w:top w:val="none" w:color="000000" w:sz="4"/>
                    <w:left w:val="single" w:color="000000" w:sz="4"/>
                    <w:bottom w:val="single" w:color="000000" w:sz="4"/>
                    <w:right w:val="single" w:color="000000" w:sz="4"/>
                  </w:tcBorders>
                </w:tcP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整机支持三个射频</w:t>
                  </w:r>
                </w:p>
              </w:tc>
            </w:tr>
            <w:tr>
              <w:tc>
                <w:tcPr>
                  <w:tcW w:type="dxa" w:w="6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接口</w:t>
                  </w: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2个10/100/1000Mbps自适应以太网接口</w:t>
                  </w:r>
                </w:p>
              </w:tc>
            </w:tr>
            <w:tr>
              <w:tc>
                <w:tcPr>
                  <w:tcW w:type="dxa" w:w="6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USB接口</w:t>
                  </w: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USB接口，可用于对外供电，也可用于存储</w:t>
                  </w:r>
                </w:p>
              </w:tc>
            </w:tr>
            <w:tr>
              <w:tc>
                <w:tcPr>
                  <w:tcW w:type="dxa" w:w="63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天线</w:t>
                  </w: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内置全向天线</w:t>
                  </w:r>
                </w:p>
              </w:tc>
            </w:tr>
            <w:tr>
              <w:tc>
                <w:tcPr>
                  <w:tcW w:type="dxa" w:w="630"/>
                  <w:vMerge/>
                  <w:tcBorders>
                    <w:top w:val="none" w:color="000000" w:sz="4"/>
                    <w:left w:val="single" w:color="000000" w:sz="4"/>
                    <w:bottom w:val="single" w:color="000000" w:sz="4"/>
                    <w:right w:val="single" w:color="000000" w:sz="4"/>
                  </w:tcBorders>
                </w:tcP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最大发射功率</w:t>
                  </w:r>
                  <w:r>
                    <w:rPr>
                      <w:rFonts w:ascii="仿宋_GB2312" w:hAnsi="仿宋_GB2312" w:cs="仿宋_GB2312" w:eastAsia="仿宋_GB2312"/>
                      <w:sz w:val="20"/>
                    </w:rPr>
                    <w:t>≥22dBm，支持按1dB步长调整发射功率</w:t>
                  </w:r>
                </w:p>
              </w:tc>
            </w:tr>
            <w:tr>
              <w:tc>
                <w:tcPr>
                  <w:tcW w:type="dxa" w:w="6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蓝牙</w:t>
                  </w: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内置蓝牙，可实现蓝牙终端精确定位；</w:t>
                  </w:r>
                </w:p>
              </w:tc>
            </w:tr>
            <w:tr>
              <w:tc>
                <w:tcPr>
                  <w:tcW w:type="dxa" w:w="6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工作温度</w:t>
                  </w: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工作温度</w:t>
                  </w:r>
                  <w:r>
                    <w:rPr>
                      <w:rFonts w:ascii="仿宋_GB2312" w:hAnsi="仿宋_GB2312" w:cs="仿宋_GB2312" w:eastAsia="仿宋_GB2312"/>
                      <w:sz w:val="20"/>
                    </w:rPr>
                    <w:t>-10°C~50°C</w:t>
                  </w:r>
                </w:p>
              </w:tc>
            </w:tr>
            <w:tr>
              <w:tc>
                <w:tcPr>
                  <w:tcW w:type="dxa" w:w="63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功能特性</w:t>
                  </w: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MAC认证、Portal认证、802.1X认证、WAPI认证、PSK认证模式 ，并可支持MAC + Portal混合认证</w:t>
                  </w:r>
                </w:p>
              </w:tc>
            </w:tr>
            <w:tr>
              <w:tc>
                <w:tcPr>
                  <w:tcW w:type="dxa" w:w="630"/>
                  <w:vMerge/>
                  <w:tcBorders>
                    <w:top w:val="none" w:color="000000" w:sz="4"/>
                    <w:left w:val="single" w:color="000000" w:sz="4"/>
                    <w:bottom w:val="single" w:color="000000" w:sz="4"/>
                    <w:right w:val="single" w:color="000000" w:sz="4"/>
                  </w:tcBorders>
                </w:tcP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AP本地转发模式下的应用识别，能识别语音和视频业务流，帮助实现精细化QoS管理</w:t>
                  </w:r>
                </w:p>
              </w:tc>
            </w:tr>
            <w:tr>
              <w:tc>
                <w:tcPr>
                  <w:tcW w:type="dxa" w:w="630"/>
                  <w:vMerge/>
                  <w:tcBorders>
                    <w:top w:val="none" w:color="000000" w:sz="4"/>
                    <w:left w:val="single" w:color="000000" w:sz="4"/>
                    <w:bottom w:val="single" w:color="000000" w:sz="4"/>
                    <w:right w:val="single" w:color="000000" w:sz="4"/>
                  </w:tcBorders>
                </w:tcP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基于</w:t>
                  </w:r>
                  <w:r>
                    <w:rPr>
                      <w:rFonts w:ascii="仿宋_GB2312" w:hAnsi="仿宋_GB2312" w:cs="仿宋_GB2312" w:eastAsia="仿宋_GB2312"/>
                      <w:sz w:val="20"/>
                    </w:rPr>
                    <w:t>802.11k和802.11v协议的智能漫游技术，使终端接入到信号质量最好的AP；需提供佐证材料，包含但不限于官网链接、彩页、截图、第三方测试报告等证明文件</w:t>
                  </w:r>
                </w:p>
              </w:tc>
            </w:tr>
            <w:tr>
              <w:tc>
                <w:tcPr>
                  <w:tcW w:type="dxa" w:w="630"/>
                  <w:vMerge/>
                  <w:tcBorders>
                    <w:top w:val="none" w:color="000000" w:sz="4"/>
                    <w:left w:val="single" w:color="000000" w:sz="4"/>
                    <w:bottom w:val="single" w:color="000000" w:sz="4"/>
                    <w:right w:val="single" w:color="000000" w:sz="4"/>
                  </w:tcBorders>
                </w:tcP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支持频谱分析功能，对婴儿监视器</w:t>
                  </w:r>
                  <w:r>
                    <w:rPr>
                      <w:rFonts w:ascii="仿宋_GB2312" w:hAnsi="仿宋_GB2312" w:cs="仿宋_GB2312" w:eastAsia="仿宋_GB2312"/>
                      <w:sz w:val="20"/>
                    </w:rPr>
                    <w:t>BabyMonitor、蓝牙设备、数字无绳电话、无线音频发射器、游戏手柄和微波炉等干扰源进行识别</w:t>
                  </w:r>
                </w:p>
              </w:tc>
            </w:tr>
            <w:tr>
              <w:tc>
                <w:tcPr>
                  <w:tcW w:type="dxa" w:w="630"/>
                  <w:vMerge/>
                  <w:tcBorders>
                    <w:top w:val="none" w:color="000000" w:sz="4"/>
                    <w:left w:val="single" w:color="000000" w:sz="4"/>
                    <w:bottom w:val="single" w:color="000000" w:sz="4"/>
                    <w:right w:val="single" w:color="000000" w:sz="4"/>
                  </w:tcBorders>
                </w:tcP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支持通过内置蓝牙模块扫描蓝牙</w:t>
                  </w:r>
                  <w:r>
                    <w:rPr>
                      <w:rFonts w:ascii="仿宋_GB2312" w:hAnsi="仿宋_GB2312" w:cs="仿宋_GB2312" w:eastAsia="仿宋_GB2312"/>
                      <w:sz w:val="20"/>
                    </w:rPr>
                    <w:t>Tag的广播报文并上送到定位服务器进行定位，实现人员定位、资产定位等功能</w:t>
                  </w:r>
                </w:p>
              </w:tc>
            </w:tr>
            <w:tr>
              <w:tc>
                <w:tcPr>
                  <w:tcW w:type="dxa" w:w="630"/>
                  <w:vMerge/>
                  <w:tcBorders>
                    <w:top w:val="none" w:color="000000" w:sz="4"/>
                    <w:left w:val="single" w:color="000000" w:sz="4"/>
                    <w:bottom w:val="single" w:color="000000" w:sz="4"/>
                    <w:right w:val="single" w:color="000000" w:sz="4"/>
                  </w:tcBorders>
                </w:tcP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支持云管理，可通过云管理平台对</w:t>
                  </w:r>
                  <w:r>
                    <w:rPr>
                      <w:rFonts w:ascii="仿宋_GB2312" w:hAnsi="仿宋_GB2312" w:cs="仿宋_GB2312" w:eastAsia="仿宋_GB2312"/>
                      <w:sz w:val="20"/>
                    </w:rPr>
                    <w:t>AP设备及业务进行管理和运维</w:t>
                  </w:r>
                </w:p>
              </w:tc>
            </w:tr>
            <w:tr>
              <w:tc>
                <w:tcPr>
                  <w:tcW w:type="dxa" w:w="6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▲供电</w:t>
                  </w: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支持两个以太网口双</w:t>
                  </w:r>
                  <w:r>
                    <w:rPr>
                      <w:rFonts w:ascii="仿宋_GB2312" w:hAnsi="仿宋_GB2312" w:cs="仿宋_GB2312" w:eastAsia="仿宋_GB2312"/>
                      <w:sz w:val="20"/>
                    </w:rPr>
                    <w:t>PoE供电备份</w:t>
                  </w:r>
                </w:p>
              </w:tc>
            </w:tr>
            <w:tr>
              <w:tc>
                <w:tcPr>
                  <w:tcW w:type="dxa" w:w="6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▲资质要求</w:t>
                  </w: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国家无线电委员会入网核准证</w:t>
                  </w:r>
                </w:p>
              </w:tc>
            </w:tr>
            <w:tr>
              <w:tc>
                <w:tcPr>
                  <w:tcW w:type="dxa" w:w="63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设备数量</w:t>
                  </w:r>
                </w:p>
              </w:tc>
              <w:tc>
                <w:tcPr>
                  <w:tcW w:type="dxa" w:w="192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7台</w:t>
                  </w:r>
                </w:p>
              </w:tc>
            </w:tr>
          </w:tbl>
          <w:p>
            <w:pPr>
              <w:pStyle w:val="null3"/>
              <w:spacing w:before="60" w:after="60"/>
              <w:outlineLvl w:val="3"/>
            </w:pPr>
            <w:r>
              <w:rPr>
                <w:rFonts w:ascii="仿宋_GB2312" w:hAnsi="仿宋_GB2312" w:cs="仿宋_GB2312" w:eastAsia="仿宋_GB2312"/>
                <w:sz w:val="20"/>
                <w:b/>
              </w:rPr>
              <w:t>无线控制器</w:t>
            </w:r>
          </w:p>
          <w:tbl>
            <w:tblPr>
              <w:tblInd w:type="dxa" w:w="120"/>
              <w:tblBorders>
                <w:top w:val="none" w:color="000000" w:sz="4"/>
                <w:left w:val="none" w:color="000000" w:sz="4"/>
                <w:bottom w:val="none" w:color="000000" w:sz="4"/>
                <w:right w:val="none" w:color="000000" w:sz="4"/>
                <w:insideH w:val="none"/>
                <w:insideV w:val="none"/>
              </w:tblBorders>
            </w:tblPr>
            <w:tblGrid>
              <w:gridCol w:w="452"/>
              <w:gridCol w:w="2101"/>
            </w:tblGrid>
            <w:tr>
              <w:tc>
                <w:tcPr>
                  <w:tcW w:type="dxa" w:w="45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功能及技术指标</w:t>
                  </w:r>
                </w:p>
              </w:tc>
              <w:tc>
                <w:tcPr>
                  <w:tcW w:type="dxa" w:w="210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参数要求</w:t>
                  </w:r>
                </w:p>
              </w:tc>
            </w:tr>
            <w:tr>
              <w:tc>
                <w:tcPr>
                  <w:tcW w:type="dxa" w:w="4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▲管理AP数</w:t>
                  </w: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支持最大管理</w:t>
                  </w:r>
                  <w:r>
                    <w:rPr>
                      <w:rFonts w:ascii="仿宋_GB2312" w:hAnsi="仿宋_GB2312" w:cs="仿宋_GB2312" w:eastAsia="仿宋_GB2312"/>
                      <w:sz w:val="20"/>
                    </w:rPr>
                    <w:t>AP数量≥256</w:t>
                  </w:r>
                </w:p>
              </w:tc>
            </w:tr>
            <w:tr>
              <w:tc>
                <w:tcPr>
                  <w:tcW w:type="dxa" w:w="4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▲转发性能</w:t>
                  </w: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数据转发性能</w:t>
                  </w:r>
                  <w:r>
                    <w:rPr>
                      <w:rFonts w:ascii="仿宋_GB2312" w:hAnsi="仿宋_GB2312" w:cs="仿宋_GB2312" w:eastAsia="仿宋_GB2312"/>
                      <w:sz w:val="20"/>
                    </w:rPr>
                    <w:t>≥6Gbit/s</w:t>
                  </w:r>
                </w:p>
              </w:tc>
            </w:tr>
            <w:tr>
              <w:tc>
                <w:tcPr>
                  <w:tcW w:type="dxa" w:w="4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端口要求</w:t>
                  </w:r>
                </w:p>
              </w:tc>
              <w:tc>
                <w:tcPr>
                  <w:tcW w:type="dxa" w:w="2101"/>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pPr>
                  <w:r>
                    <w:rPr>
                      <w:rFonts w:ascii="仿宋_GB2312" w:hAnsi="仿宋_GB2312" w:cs="仿宋_GB2312" w:eastAsia="仿宋_GB2312"/>
                      <w:sz w:val="20"/>
                    </w:rPr>
                    <w:t>提供</w:t>
                  </w:r>
                  <w:r>
                    <w:rPr>
                      <w:rFonts w:ascii="仿宋_GB2312" w:hAnsi="仿宋_GB2312" w:cs="仿宋_GB2312" w:eastAsia="仿宋_GB2312"/>
                      <w:sz w:val="20"/>
                    </w:rPr>
                    <w:t>2 个 10GE 光口, 10 个 GE 电口，</w:t>
                  </w:r>
                </w:p>
              </w:tc>
            </w:tr>
            <w:tr>
              <w:tc>
                <w:tcPr>
                  <w:tcW w:type="dxa" w:w="4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USB</w:t>
                  </w: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提供</w:t>
                  </w:r>
                  <w:r>
                    <w:rPr>
                      <w:rFonts w:ascii="仿宋_GB2312" w:hAnsi="仿宋_GB2312" w:cs="仿宋_GB2312" w:eastAsia="仿宋_GB2312"/>
                      <w:sz w:val="20"/>
                    </w:rPr>
                    <w:t>USB接口，配合U盘使用，可用于开局、传输配置文件、升级文件等</w:t>
                  </w:r>
                </w:p>
              </w:tc>
            </w:tr>
            <w:tr>
              <w:tc>
                <w:tcPr>
                  <w:tcW w:type="dxa" w:w="4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路由特性</w:t>
                  </w: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支持静态路由，</w:t>
                  </w:r>
                  <w:r>
                    <w:rPr>
                      <w:rFonts w:ascii="仿宋_GB2312" w:hAnsi="仿宋_GB2312" w:cs="仿宋_GB2312" w:eastAsia="仿宋_GB2312"/>
                      <w:sz w:val="20"/>
                    </w:rPr>
                    <w:t>RIP-1/RIP-2，OSPF，BGP，IS-IS，路由策略、策略路由，需提供佐证材料，包含但不限于官网链接、彩页、截图、第三方测试报告等证明文件</w:t>
                  </w:r>
                </w:p>
              </w:tc>
            </w:tr>
            <w:tr>
              <w:tc>
                <w:tcPr>
                  <w:tcW w:type="dxa" w:w="45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认证加密</w:t>
                  </w: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MAC 地址认证、802.1x认证（EAP-PAP、EAP-MD5、EAP-PEAP、EAP-TLS、EAP-TTLS）、Portal认证、MAC+Portal混合认证、WAPI认证；</w:t>
                  </w:r>
                </w:p>
              </w:tc>
            </w:tr>
            <w:tr>
              <w:tc>
                <w:tcPr>
                  <w:tcW w:type="dxa" w:w="452"/>
                  <w:vMerge/>
                  <w:tcBorders>
                    <w:top w:val="none" w:color="000000" w:sz="4"/>
                    <w:left w:val="single" w:color="000000" w:sz="4"/>
                    <w:bottom w:val="single" w:color="000000" w:sz="4"/>
                    <w:right w:val="single" w:color="000000" w:sz="4"/>
                  </w:tcBorders>
                </w:tcP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WPA标准、WEP(WEP64/WEP128)、TKIP、CCMP；</w:t>
                  </w:r>
                </w:p>
              </w:tc>
            </w:tr>
            <w:tr>
              <w:tc>
                <w:tcPr>
                  <w:tcW w:type="dxa" w:w="452"/>
                  <w:vMerge/>
                  <w:tcBorders>
                    <w:top w:val="none" w:color="000000" w:sz="4"/>
                    <w:left w:val="single" w:color="000000" w:sz="4"/>
                    <w:bottom w:val="single" w:color="000000" w:sz="4"/>
                    <w:right w:val="single" w:color="000000" w:sz="4"/>
                  </w:tcBorders>
                </w:tcP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支持内置</w:t>
                  </w:r>
                  <w:r>
                    <w:rPr>
                      <w:rFonts w:ascii="仿宋_GB2312" w:hAnsi="仿宋_GB2312" w:cs="仿宋_GB2312" w:eastAsia="仿宋_GB2312"/>
                      <w:sz w:val="20"/>
                    </w:rPr>
                    <w:t>portal服务器；</w:t>
                  </w:r>
                </w:p>
              </w:tc>
            </w:tr>
            <w:tr>
              <w:tc>
                <w:tcPr>
                  <w:tcW w:type="dxa" w:w="452"/>
                  <w:vMerge/>
                  <w:tcBorders>
                    <w:top w:val="none" w:color="000000" w:sz="4"/>
                    <w:left w:val="single" w:color="000000" w:sz="4"/>
                    <w:bottom w:val="single" w:color="000000" w:sz="4"/>
                    <w:right w:val="single" w:color="000000" w:sz="4"/>
                  </w:tcBorders>
                </w:tcP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支持内置微信认证；</w:t>
                  </w:r>
                </w:p>
              </w:tc>
            </w:tr>
            <w:tr>
              <w:tc>
                <w:tcPr>
                  <w:tcW w:type="dxa" w:w="45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功能特性</w:t>
                  </w: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支持基于</w:t>
                  </w:r>
                  <w:r>
                    <w:rPr>
                      <w:rFonts w:ascii="仿宋_GB2312" w:hAnsi="仿宋_GB2312" w:cs="仿宋_GB2312" w:eastAsia="仿宋_GB2312"/>
                      <w:sz w:val="20"/>
                    </w:rPr>
                    <w:t>802.11k 和 802.11v协议的智能漫游，解决终端始终不漫游问题，需提供佐证材料，包含但不限于官网链接、彩页、截图、第三方测试报告等证明文件</w:t>
                  </w:r>
                </w:p>
              </w:tc>
            </w:tr>
            <w:tr>
              <w:tc>
                <w:tcPr>
                  <w:tcW w:type="dxa" w:w="452"/>
                  <w:vMerge/>
                  <w:tcBorders>
                    <w:top w:val="none" w:color="000000" w:sz="4"/>
                    <w:left w:val="single" w:color="000000" w:sz="4"/>
                    <w:bottom w:val="single" w:color="000000" w:sz="4"/>
                    <w:right w:val="single" w:color="000000" w:sz="4"/>
                  </w:tcBorders>
                </w:tcP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支持应用识别（如</w:t>
                  </w:r>
                  <w:r>
                    <w:rPr>
                      <w:rFonts w:ascii="仿宋_GB2312" w:hAnsi="仿宋_GB2312" w:cs="仿宋_GB2312" w:eastAsia="仿宋_GB2312"/>
                      <w:sz w:val="20"/>
                    </w:rPr>
                    <w:t>QQ、BT、微信等），能针对识别出的不同应用设定相应管控策略，需提供佐证材料，包含但不限于官网链接、彩页、截图、第三方测试报告等证明文件</w:t>
                  </w:r>
                </w:p>
              </w:tc>
            </w:tr>
            <w:tr>
              <w:tc>
                <w:tcPr>
                  <w:tcW w:type="dxa" w:w="452"/>
                  <w:vMerge/>
                  <w:tcBorders>
                    <w:top w:val="none" w:color="000000" w:sz="4"/>
                    <w:left w:val="single" w:color="000000" w:sz="4"/>
                    <w:bottom w:val="single" w:color="000000" w:sz="4"/>
                    <w:right w:val="single" w:color="000000" w:sz="4"/>
                  </w:tcBorders>
                </w:tcP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URL过滤，允许或禁止用户访问某些网页资源，提供官网链接证明</w:t>
                  </w:r>
                </w:p>
              </w:tc>
            </w:tr>
            <w:tr>
              <w:tc>
                <w:tcPr>
                  <w:tcW w:type="dxa" w:w="452"/>
                  <w:vMerge/>
                  <w:tcBorders>
                    <w:top w:val="none" w:color="000000" w:sz="4"/>
                    <w:left w:val="single" w:color="000000" w:sz="4"/>
                    <w:bottom w:val="single" w:color="000000" w:sz="4"/>
                    <w:right w:val="single" w:color="000000" w:sz="4"/>
                  </w:tcBorders>
                </w:tcP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支持反病毒功能，需提供佐证材料，包含但不限于官网链接、彩页、截图、第三方测试报告等证明文件</w:t>
                  </w:r>
                </w:p>
              </w:tc>
            </w:tr>
            <w:tr>
              <w:tc>
                <w:tcPr>
                  <w:tcW w:type="dxa" w:w="452"/>
                  <w:vMerge/>
                  <w:tcBorders>
                    <w:top w:val="none" w:color="000000" w:sz="4"/>
                    <w:left w:val="single" w:color="000000" w:sz="4"/>
                    <w:bottom w:val="single" w:color="000000" w:sz="4"/>
                    <w:right w:val="single" w:color="000000" w:sz="4"/>
                  </w:tcBorders>
                </w:tcP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支持入侵防御，检测和中止入侵行为（包括缓冲区溢出攻击、木马、蠕虫等）</w:t>
                  </w:r>
                </w:p>
              </w:tc>
            </w:tr>
            <w:tr>
              <w:tc>
                <w:tcPr>
                  <w:tcW w:type="dxa" w:w="45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可靠性</w:t>
                  </w: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支持设备冗余备份功能，可支持</w:t>
                  </w:r>
                  <w:r>
                    <w:rPr>
                      <w:rFonts w:ascii="仿宋_GB2312" w:hAnsi="仿宋_GB2312" w:cs="仿宋_GB2312" w:eastAsia="仿宋_GB2312"/>
                      <w:sz w:val="20"/>
                    </w:rPr>
                    <w:t>1+1或N+1备份，并支持主备AC间配置同步</w:t>
                  </w:r>
                </w:p>
              </w:tc>
            </w:tr>
            <w:tr>
              <w:tc>
                <w:tcPr>
                  <w:tcW w:type="dxa" w:w="452"/>
                  <w:vMerge/>
                  <w:tcBorders>
                    <w:top w:val="none" w:color="000000" w:sz="4"/>
                    <w:left w:val="single" w:color="000000" w:sz="4"/>
                    <w:bottom w:val="single" w:color="000000" w:sz="4"/>
                    <w:right w:val="single" w:color="000000" w:sz="4"/>
                  </w:tcBorders>
                </w:tcP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应支持双电源备份，并支持交流供和直流二种供电方式。支持电源模块热插拔。</w:t>
                  </w:r>
                </w:p>
              </w:tc>
            </w:tr>
            <w:tr>
              <w:tc>
                <w:tcPr>
                  <w:tcW w:type="dxa" w:w="452"/>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管理特性</w:t>
                  </w: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CLI、SNMP V1/V2/V3，支持WEB管理、SSH管理</w:t>
                  </w:r>
                </w:p>
              </w:tc>
            </w:tr>
            <w:tr>
              <w:tc>
                <w:tcPr>
                  <w:tcW w:type="dxa" w:w="452"/>
                  <w:vMerge/>
                  <w:tcBorders>
                    <w:top w:val="none" w:color="000000" w:sz="4"/>
                    <w:left w:val="single" w:color="000000" w:sz="4"/>
                    <w:bottom w:val="single" w:color="000000" w:sz="4"/>
                    <w:right w:val="single" w:color="000000" w:sz="4"/>
                  </w:tcBorders>
                </w:tcP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提供整体无线网络性能监控，支持对</w:t>
                  </w:r>
                  <w:r>
                    <w:rPr>
                      <w:rFonts w:ascii="仿宋_GB2312" w:hAnsi="仿宋_GB2312" w:cs="仿宋_GB2312" w:eastAsia="仿宋_GB2312"/>
                      <w:sz w:val="20"/>
                    </w:rPr>
                    <w:t>AC/AP/射频/终端的性能监控，需提供佐证材料，包含但不限于官网链接、彩页、截图、第三方测试报告等证明文件</w:t>
                  </w:r>
                </w:p>
              </w:tc>
            </w:tr>
            <w:tr>
              <w:tc>
                <w:tcPr>
                  <w:tcW w:type="dxa" w:w="452"/>
                  <w:vMerge/>
                  <w:tcBorders>
                    <w:top w:val="none" w:color="000000" w:sz="4"/>
                    <w:left w:val="single" w:color="000000" w:sz="4"/>
                    <w:bottom w:val="single" w:color="000000" w:sz="4"/>
                    <w:right w:val="single" w:color="000000" w:sz="4"/>
                  </w:tcBorders>
                </w:tcP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支持可视化故障诊断，对用户、</w:t>
                  </w:r>
                  <w:r>
                    <w:rPr>
                      <w:rFonts w:ascii="仿宋_GB2312" w:hAnsi="仿宋_GB2312" w:cs="仿宋_GB2312" w:eastAsia="仿宋_GB2312"/>
                      <w:sz w:val="20"/>
                    </w:rPr>
                    <w:t>AP、AC的故障呈现故障根因和处理建议，需提供佐证材料，包含但不限于官网链接、彩页、截图、第三方测试报告等证明文件</w:t>
                  </w:r>
                </w:p>
              </w:tc>
            </w:tr>
            <w:tr>
              <w:tc>
                <w:tcPr>
                  <w:tcW w:type="dxa" w:w="4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▲资质要求</w:t>
                  </w: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提供工信部入网证书。</w:t>
                  </w:r>
                </w:p>
              </w:tc>
            </w:tr>
            <w:tr>
              <w:tc>
                <w:tcPr>
                  <w:tcW w:type="dxa" w:w="4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配置</w:t>
                  </w:r>
                </w:p>
              </w:tc>
              <w:tc>
                <w:tcPr>
                  <w:tcW w:type="dxa" w:w="210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主机</w:t>
                  </w:r>
                  <w:r>
                    <w:rPr>
                      <w:rFonts w:ascii="仿宋_GB2312" w:hAnsi="仿宋_GB2312" w:cs="仿宋_GB2312" w:eastAsia="仿宋_GB2312"/>
                      <w:sz w:val="20"/>
                    </w:rPr>
                    <w:t>1台，AP管理授权数≥133</w:t>
                  </w:r>
                </w:p>
              </w:tc>
            </w:tr>
          </w:tbl>
          <w:p>
            <w:pPr>
              <w:pStyle w:val="null3"/>
              <w:spacing w:before="60" w:after="60"/>
              <w:outlineLvl w:val="3"/>
            </w:pPr>
            <w:r>
              <w:rPr>
                <w:rFonts w:ascii="仿宋_GB2312" w:hAnsi="仿宋_GB2312" w:cs="仿宋_GB2312" w:eastAsia="仿宋_GB2312"/>
                <w:sz w:val="20"/>
                <w:b/>
              </w:rPr>
              <w:t>POE交换机</w:t>
            </w:r>
          </w:p>
          <w:tbl>
            <w:tblPr>
              <w:tblInd w:type="dxa" w:w="120"/>
              <w:tblBorders>
                <w:top w:val="none" w:color="000000" w:sz="4"/>
                <w:left w:val="none" w:color="000000" w:sz="4"/>
                <w:bottom w:val="none" w:color="000000" w:sz="4"/>
                <w:right w:val="none" w:color="000000" w:sz="4"/>
                <w:insideH w:val="none"/>
                <w:insideV w:val="none"/>
              </w:tblBorders>
            </w:tblPr>
            <w:tblGrid>
              <w:gridCol w:w="505"/>
              <w:gridCol w:w="2041"/>
            </w:tblGrid>
            <w:tr>
              <w:tc>
                <w:tcPr>
                  <w:tcW w:type="dxa" w:w="50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功能及技术指标</w:t>
                  </w:r>
                </w:p>
              </w:tc>
              <w:tc>
                <w:tcPr>
                  <w:tcW w:type="dxa" w:w="204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参数要求</w:t>
                  </w:r>
                </w:p>
              </w:tc>
            </w:tr>
            <w:tr>
              <w:tc>
                <w:tcPr>
                  <w:tcW w:type="dxa" w:w="5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交换容量</w:t>
                  </w: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▲交换容量≥330Gbps</w:t>
                  </w:r>
                </w:p>
              </w:tc>
            </w:tr>
            <w:tr>
              <w:tc>
                <w:tcPr>
                  <w:tcW w:type="dxa" w:w="5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包转发率</w:t>
                  </w: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▲包转发率≥140Mpps</w:t>
                  </w:r>
                </w:p>
              </w:tc>
            </w:tr>
            <w:tr>
              <w:tc>
                <w:tcPr>
                  <w:tcW w:type="dxa" w:w="5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端口类型</w:t>
                  </w: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48个千兆电口，4个万兆SFP+端口</w:t>
                  </w:r>
                </w:p>
              </w:tc>
            </w:tr>
            <w:tr>
              <w:tc>
                <w:tcPr>
                  <w:tcW w:type="dxa" w:w="50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USB口</w:t>
                  </w:r>
                </w:p>
              </w:tc>
              <w:tc>
                <w:tcPr>
                  <w:tcW w:type="dxa" w:w="204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支持标准</w:t>
                  </w:r>
                  <w:r>
                    <w:rPr>
                      <w:rFonts w:ascii="仿宋_GB2312" w:hAnsi="仿宋_GB2312" w:cs="仿宋_GB2312" w:eastAsia="仿宋_GB2312"/>
                      <w:sz w:val="20"/>
                    </w:rPr>
                    <w:t>USB接口，便于U盘快速开局</w:t>
                  </w:r>
                </w:p>
              </w:tc>
            </w:tr>
            <w:tr>
              <w:tc>
                <w:tcPr>
                  <w:tcW w:type="dxa" w:w="505"/>
                  <w:vMerge/>
                  <w:tcBorders>
                    <w:top w:val="none" w:color="000000" w:sz="4"/>
                    <w:left w:val="single" w:color="000000" w:sz="4"/>
                    <w:bottom w:val="single" w:color="000000" w:sz="4"/>
                    <w:right w:val="single" w:color="000000" w:sz="4"/>
                  </w:tcBorders>
                </w:tcPr>
                <w:p/>
              </w:tc>
              <w:tc>
                <w:tcPr>
                  <w:tcW w:type="dxa" w:w="2041"/>
                  <w:vMerge/>
                  <w:tcBorders>
                    <w:top w:val="none" w:color="000000" w:sz="4"/>
                    <w:left w:val="none" w:color="000000" w:sz="4"/>
                    <w:bottom w:val="single" w:color="000000" w:sz="4"/>
                    <w:right w:val="single" w:color="000000" w:sz="4"/>
                  </w:tcBorders>
                </w:tcPr>
                <w:p/>
              </w:tc>
            </w:tr>
            <w:tr>
              <w:tc>
                <w:tcPr>
                  <w:tcW w:type="dxa" w:w="5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PoE</w:t>
                  </w: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PoE（802.3af）和PoE+（802.3at）</w:t>
                  </w:r>
                </w:p>
              </w:tc>
            </w:tr>
            <w:tr>
              <w:tc>
                <w:tcPr>
                  <w:tcW w:type="dxa" w:w="50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二层功能</w:t>
                  </w: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▲支持MAC地址≥16K，需提供佐证材料，包含但不限于官网链接、彩页、截图、第三方测试报告等证明文件</w:t>
                  </w:r>
                </w:p>
              </w:tc>
            </w:tr>
            <w:tr>
              <w:tc>
                <w:tcPr>
                  <w:tcW w:type="dxa" w:w="505"/>
                  <w:vMerge/>
                  <w:tcBorders>
                    <w:top w:val="none" w:color="000000" w:sz="4"/>
                    <w:left w:val="single" w:color="000000" w:sz="4"/>
                    <w:bottom w:val="single" w:color="000000" w:sz="4"/>
                    <w:right w:val="single" w:color="000000" w:sz="4"/>
                  </w:tcBorders>
                </w:tcP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▲支持ARP表项≥2K，需提供佐证材料，包含但不限于官网链接、彩页、截图、第三方测试报告等证明文件</w:t>
                  </w:r>
                </w:p>
              </w:tc>
            </w:tr>
            <w:tr>
              <w:tc>
                <w:tcPr>
                  <w:tcW w:type="dxa" w:w="505"/>
                  <w:vMerge/>
                  <w:tcBorders>
                    <w:top w:val="none" w:color="000000" w:sz="4"/>
                    <w:left w:val="single" w:color="000000" w:sz="4"/>
                    <w:bottom w:val="single" w:color="000000" w:sz="4"/>
                    <w:right w:val="single" w:color="000000" w:sz="4"/>
                  </w:tcBorders>
                </w:tcP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4K个VLAN，支持Voice VLAN，基于端口的VLAN，基于MAC的VLAN，基于协议的VLAN</w:t>
                  </w:r>
                </w:p>
              </w:tc>
            </w:tr>
            <w:tr>
              <w:tc>
                <w:tcPr>
                  <w:tcW w:type="dxa" w:w="505"/>
                  <w:vMerge/>
                  <w:tcBorders>
                    <w:top w:val="none" w:color="000000" w:sz="4"/>
                    <w:left w:val="single" w:color="000000" w:sz="4"/>
                    <w:bottom w:val="single" w:color="000000" w:sz="4"/>
                    <w:right w:val="single" w:color="000000" w:sz="4"/>
                  </w:tcBorders>
                </w:tcP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VLAN内端口隔离</w:t>
                  </w:r>
                </w:p>
              </w:tc>
            </w:tr>
            <w:tr>
              <w:tc>
                <w:tcPr>
                  <w:tcW w:type="dxa" w:w="505"/>
                  <w:vMerge/>
                  <w:tcBorders>
                    <w:top w:val="none" w:color="000000" w:sz="4"/>
                    <w:left w:val="single" w:color="000000" w:sz="4"/>
                    <w:bottom w:val="single" w:color="000000" w:sz="4"/>
                    <w:right w:val="single" w:color="000000" w:sz="4"/>
                  </w:tcBorders>
                </w:tcP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Smart link</w:t>
                  </w:r>
                </w:p>
              </w:tc>
            </w:tr>
            <w:tr>
              <w:tc>
                <w:tcPr>
                  <w:tcW w:type="dxa" w:w="505"/>
                  <w:vMerge/>
                  <w:tcBorders>
                    <w:top w:val="none" w:color="000000" w:sz="4"/>
                    <w:left w:val="single" w:color="000000" w:sz="4"/>
                    <w:bottom w:val="single" w:color="000000" w:sz="4"/>
                    <w:right w:val="single" w:color="000000" w:sz="4"/>
                  </w:tcBorders>
                </w:tcP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支持端口聚合，每个聚合组至少</w:t>
                  </w:r>
                  <w:r>
                    <w:rPr>
                      <w:rFonts w:ascii="仿宋_GB2312" w:hAnsi="仿宋_GB2312" w:cs="仿宋_GB2312" w:eastAsia="仿宋_GB2312"/>
                      <w:sz w:val="20"/>
                    </w:rPr>
                    <w:t>8个端口；</w:t>
                  </w:r>
                </w:p>
              </w:tc>
            </w:tr>
            <w:tr>
              <w:tc>
                <w:tcPr>
                  <w:tcW w:type="dxa" w:w="505"/>
                  <w:vMerge/>
                  <w:tcBorders>
                    <w:top w:val="none" w:color="000000" w:sz="4"/>
                    <w:left w:val="single" w:color="000000" w:sz="4"/>
                    <w:bottom w:val="single" w:color="000000" w:sz="4"/>
                    <w:right w:val="single" w:color="000000" w:sz="4"/>
                  </w:tcBorders>
                </w:tcP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支持跨设备链路聚合</w:t>
                  </w:r>
                </w:p>
              </w:tc>
            </w:tr>
            <w:tr>
              <w:tc>
                <w:tcPr>
                  <w:tcW w:type="dxa" w:w="50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三层功能</w:t>
                  </w: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RIP、RIPng、OSPF，需提供佐证材料，包含但不限于官网链接、彩页、截图、第三方测试报告等证明文件</w:t>
                  </w:r>
                </w:p>
              </w:tc>
            </w:tr>
            <w:tr>
              <w:tc>
                <w:tcPr>
                  <w:tcW w:type="dxa" w:w="505"/>
                  <w:vMerge/>
                  <w:tcBorders>
                    <w:top w:val="none" w:color="000000" w:sz="4"/>
                    <w:left w:val="single" w:color="000000" w:sz="4"/>
                    <w:bottom w:val="single" w:color="000000" w:sz="4"/>
                    <w:right w:val="single" w:color="000000" w:sz="4"/>
                  </w:tcBorders>
                </w:tcP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IPv4 FIB表项≥4K，需提供佐证材料，包含但不限于官网链接、彩页、截图、第三方测试报告等证明文件</w:t>
                  </w:r>
                </w:p>
              </w:tc>
            </w:tr>
            <w:tr>
              <w:tc>
                <w:tcPr>
                  <w:tcW w:type="dxa" w:w="5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可靠性</w:t>
                  </w: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G.8032开放环网协议，需提供佐证材料，包含但不限于官网链接、彩页、截图、第三方测试报告等证明文件</w:t>
                  </w:r>
                </w:p>
              </w:tc>
            </w:tr>
            <w:tr>
              <w:tc>
                <w:tcPr>
                  <w:tcW w:type="dxa" w:w="50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虚拟化</w:t>
                  </w: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支持智能堆叠，堆叠后逻辑上虚拟为一台设备，具有统一的表项和管理，堆叠系统通过多台成员设备之间冗余备份</w:t>
                  </w:r>
                </w:p>
              </w:tc>
            </w:tr>
            <w:tr>
              <w:tc>
                <w:tcPr>
                  <w:tcW w:type="dxa" w:w="505"/>
                  <w:vMerge/>
                  <w:tcBorders>
                    <w:top w:val="none" w:color="000000" w:sz="4"/>
                    <w:left w:val="single" w:color="000000" w:sz="4"/>
                    <w:bottom w:val="single" w:color="000000" w:sz="4"/>
                    <w:right w:val="single" w:color="000000" w:sz="4"/>
                  </w:tcBorders>
                </w:tcP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实配专用堆叠线缆，实现空配置开局快速完成堆叠系统的组建，简化配置部署，提高开局配置效率</w:t>
                  </w:r>
                </w:p>
              </w:tc>
            </w:tr>
            <w:tr>
              <w:tc>
                <w:tcPr>
                  <w:tcW w:type="dxa" w:w="505"/>
                  <w:vMerge/>
                  <w:tcBorders>
                    <w:top w:val="none" w:color="000000" w:sz="4"/>
                    <w:left w:val="single" w:color="000000" w:sz="4"/>
                    <w:bottom w:val="single" w:color="000000" w:sz="4"/>
                    <w:right w:val="single" w:color="000000" w:sz="4"/>
                  </w:tcBorders>
                </w:tcPr>
                <w:p/>
              </w:tc>
              <w:tc>
                <w:tcPr>
                  <w:tcW w:type="dxa" w:w="204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支持以太网电口堆叠，用网线连接实现堆叠功能</w:t>
                  </w:r>
                </w:p>
              </w:tc>
            </w:tr>
            <w:tr>
              <w:tc>
                <w:tcPr>
                  <w:tcW w:type="dxa" w:w="505"/>
                  <w:vMerge/>
                  <w:tcBorders>
                    <w:top w:val="none" w:color="000000" w:sz="4"/>
                    <w:left w:val="single" w:color="000000" w:sz="4"/>
                    <w:bottom w:val="single" w:color="000000" w:sz="4"/>
                    <w:right w:val="single" w:color="000000" w:sz="4"/>
                  </w:tcBorders>
                </w:tcPr>
                <w:p/>
              </w:tc>
              <w:tc>
                <w:tcPr>
                  <w:tcW w:type="dxa" w:w="2041"/>
                  <w:vMerge/>
                  <w:tcBorders>
                    <w:top w:val="none" w:color="000000" w:sz="4"/>
                    <w:left w:val="none" w:color="000000" w:sz="4"/>
                    <w:bottom w:val="single" w:color="000000" w:sz="4"/>
                    <w:right w:val="single" w:color="000000" w:sz="4"/>
                  </w:tcBorders>
                </w:tcPr>
                <w:p/>
              </w:tc>
            </w:tr>
            <w:tr>
              <w:tc>
                <w:tcPr>
                  <w:tcW w:type="dxa" w:w="505"/>
                  <w:vMerge/>
                  <w:tcBorders>
                    <w:top w:val="none" w:color="000000" w:sz="4"/>
                    <w:left w:val="single" w:color="000000" w:sz="4"/>
                    <w:bottom w:val="single" w:color="000000" w:sz="4"/>
                    <w:right w:val="single" w:color="000000" w:sz="4"/>
                  </w:tcBorders>
                </w:tcPr>
                <w:p/>
              </w:tc>
              <w:tc>
                <w:tcPr>
                  <w:tcW w:type="dxa" w:w="204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实配交换机堆叠的线缆长度</w:t>
                  </w:r>
                  <w:r>
                    <w:rPr>
                      <w:rFonts w:ascii="仿宋_GB2312" w:hAnsi="仿宋_GB2312" w:cs="仿宋_GB2312" w:eastAsia="仿宋_GB2312"/>
                      <w:sz w:val="20"/>
                    </w:rPr>
                    <w:t>≥30米</w:t>
                  </w:r>
                </w:p>
              </w:tc>
            </w:tr>
            <w:tr>
              <w:tc>
                <w:tcPr>
                  <w:tcW w:type="dxa" w:w="505"/>
                  <w:vMerge/>
                  <w:tcBorders>
                    <w:top w:val="none" w:color="000000" w:sz="4"/>
                    <w:left w:val="single" w:color="000000" w:sz="4"/>
                    <w:bottom w:val="single" w:color="000000" w:sz="4"/>
                    <w:right w:val="single" w:color="000000" w:sz="4"/>
                  </w:tcBorders>
                </w:tcPr>
                <w:p/>
              </w:tc>
              <w:tc>
                <w:tcPr>
                  <w:tcW w:type="dxa" w:w="2041"/>
                  <w:vMerge/>
                  <w:tcBorders>
                    <w:top w:val="none" w:color="000000" w:sz="4"/>
                    <w:left w:val="none" w:color="000000" w:sz="4"/>
                    <w:bottom w:val="single" w:color="000000" w:sz="4"/>
                    <w:right w:val="single" w:color="000000" w:sz="4"/>
                  </w:tcBorders>
                </w:tcPr>
                <w:p/>
              </w:tc>
            </w:tr>
            <w:tr>
              <w:tc>
                <w:tcPr>
                  <w:tcW w:type="dxa" w:w="505"/>
                  <w:vMerge/>
                  <w:tcBorders>
                    <w:top w:val="none" w:color="000000" w:sz="4"/>
                    <w:left w:val="single" w:color="000000" w:sz="4"/>
                    <w:bottom w:val="single" w:color="000000" w:sz="4"/>
                    <w:right w:val="single" w:color="000000" w:sz="4"/>
                  </w:tcBorders>
                </w:tcPr>
                <w:p/>
              </w:tc>
              <w:tc>
                <w:tcPr>
                  <w:tcW w:type="dxa" w:w="204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支持纵向虚拟化，作为纵向子节点零配置即插即用，提供权威第三方测试报告</w:t>
                  </w:r>
                </w:p>
              </w:tc>
            </w:tr>
            <w:tr>
              <w:tc>
                <w:tcPr>
                  <w:tcW w:type="dxa" w:w="505"/>
                  <w:vMerge/>
                  <w:tcBorders>
                    <w:top w:val="none" w:color="000000" w:sz="4"/>
                    <w:left w:val="single" w:color="000000" w:sz="4"/>
                    <w:bottom w:val="single" w:color="000000" w:sz="4"/>
                    <w:right w:val="single" w:color="000000" w:sz="4"/>
                  </w:tcBorders>
                </w:tcPr>
                <w:p/>
              </w:tc>
              <w:tc>
                <w:tcPr>
                  <w:tcW w:type="dxa" w:w="2041"/>
                  <w:vMerge/>
                  <w:tcBorders>
                    <w:top w:val="none" w:color="000000" w:sz="4"/>
                    <w:left w:val="none" w:color="000000" w:sz="4"/>
                    <w:bottom w:val="single" w:color="000000" w:sz="4"/>
                    <w:right w:val="single" w:color="000000" w:sz="4"/>
                  </w:tcBorders>
                </w:tcPr>
                <w:p/>
              </w:tc>
            </w:tr>
            <w:tr>
              <w:tc>
                <w:tcPr>
                  <w:tcW w:type="dxa" w:w="50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QOS</w:t>
                  </w: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支持对端口接收报文速率和发送报文速率进行限制</w:t>
                  </w:r>
                </w:p>
              </w:tc>
            </w:tr>
            <w:tr>
              <w:tc>
                <w:tcPr>
                  <w:tcW w:type="dxa" w:w="505"/>
                  <w:vMerge/>
                  <w:tcBorders>
                    <w:top w:val="none" w:color="000000" w:sz="4"/>
                    <w:left w:val="single" w:color="000000" w:sz="4"/>
                    <w:bottom w:val="single" w:color="000000" w:sz="4"/>
                    <w:right w:val="single" w:color="000000" w:sz="4"/>
                  </w:tcBorders>
                </w:tcP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SP、WRR、SP+WRR等队列调度算法</w:t>
                  </w:r>
                </w:p>
              </w:tc>
            </w:tr>
            <w:tr>
              <w:tc>
                <w:tcPr>
                  <w:tcW w:type="dxa" w:w="505"/>
                  <w:vMerge/>
                  <w:tcBorders>
                    <w:top w:val="none" w:color="000000" w:sz="4"/>
                    <w:left w:val="single" w:color="000000" w:sz="4"/>
                    <w:bottom w:val="single" w:color="000000" w:sz="4"/>
                    <w:right w:val="single" w:color="000000" w:sz="4"/>
                  </w:tcBorders>
                </w:tcP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支持基于端口的流量监管</w:t>
                  </w:r>
                </w:p>
              </w:tc>
            </w:tr>
            <w:tr>
              <w:tc>
                <w:tcPr>
                  <w:tcW w:type="dxa" w:w="505"/>
                  <w:vMerge/>
                  <w:tcBorders>
                    <w:top w:val="none" w:color="000000" w:sz="4"/>
                    <w:left w:val="single" w:color="000000" w:sz="4"/>
                    <w:bottom w:val="single" w:color="000000" w:sz="4"/>
                    <w:right w:val="single" w:color="000000" w:sz="4"/>
                  </w:tcBorders>
                </w:tcP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支持基于队列限速和端口整形的功能</w:t>
                  </w:r>
                </w:p>
              </w:tc>
            </w:tr>
            <w:tr>
              <w:tc>
                <w:tcPr>
                  <w:tcW w:type="dxa" w:w="50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管理维护</w:t>
                  </w: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w:t>
                  </w:r>
                  <w:r>
                    <w:rPr>
                      <w:rFonts w:ascii="仿宋_GB2312" w:hAnsi="仿宋_GB2312" w:cs="仿宋_GB2312" w:eastAsia="仿宋_GB2312"/>
                      <w:sz w:val="20"/>
                    </w:rPr>
                    <w:t>SNMP v1/v2/v3、Telnet、RMON</w:t>
                  </w:r>
                </w:p>
              </w:tc>
            </w:tr>
            <w:tr>
              <w:tc>
                <w:tcPr>
                  <w:tcW w:type="dxa" w:w="505"/>
                  <w:vMerge/>
                  <w:tcBorders>
                    <w:top w:val="none" w:color="000000" w:sz="4"/>
                    <w:left w:val="single" w:color="000000" w:sz="4"/>
                    <w:bottom w:val="single" w:color="000000" w:sz="4"/>
                    <w:right w:val="single" w:color="000000" w:sz="4"/>
                  </w:tcBorders>
                </w:tcP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支持通过命令行、</w:t>
                  </w:r>
                  <w:r>
                    <w:rPr>
                      <w:rFonts w:ascii="仿宋_GB2312" w:hAnsi="仿宋_GB2312" w:cs="仿宋_GB2312" w:eastAsia="仿宋_GB2312"/>
                      <w:sz w:val="20"/>
                    </w:rPr>
                    <w:t>Web、中文图形化配置软件等方式进行配置和管理</w:t>
                  </w:r>
                </w:p>
              </w:tc>
            </w:tr>
            <w:tr>
              <w:tc>
                <w:tcPr>
                  <w:tcW w:type="dxa" w:w="505"/>
                  <w:vMerge/>
                  <w:tcBorders>
                    <w:top w:val="none" w:color="000000" w:sz="4"/>
                    <w:left w:val="single" w:color="000000" w:sz="4"/>
                    <w:bottom w:val="single" w:color="000000" w:sz="4"/>
                    <w:right w:val="single" w:color="000000" w:sz="4"/>
                  </w:tcBorders>
                </w:tcP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支持配置</w:t>
                  </w:r>
                  <w:r>
                    <w:rPr>
                      <w:rFonts w:ascii="仿宋_GB2312" w:hAnsi="仿宋_GB2312" w:cs="仿宋_GB2312" w:eastAsia="仿宋_GB2312"/>
                      <w:sz w:val="20"/>
                    </w:rPr>
                    <w:t>NETCONF作为云管理交换机，需提供佐证材料，包含但不限于官网链接、彩页、截图、第三方测试报告等证明文件</w:t>
                  </w:r>
                </w:p>
              </w:tc>
            </w:tr>
            <w:tr>
              <w:tc>
                <w:tcPr>
                  <w:tcW w:type="dxa" w:w="5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节能</w:t>
                  </w: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支持能效以太网</w:t>
                  </w:r>
                  <w:r>
                    <w:rPr>
                      <w:rFonts w:ascii="仿宋_GB2312" w:hAnsi="仿宋_GB2312" w:cs="仿宋_GB2312" w:eastAsia="仿宋_GB2312"/>
                      <w:sz w:val="20"/>
                    </w:rPr>
                    <w:t>EEE，节能环保，需提供佐证材料，包含但不限于官网链接、彩页、截图、第三方测试报告等证明文件</w:t>
                  </w:r>
                </w:p>
              </w:tc>
            </w:tr>
            <w:tr>
              <w:tc>
                <w:tcPr>
                  <w:tcW w:type="dxa" w:w="5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资质</w:t>
                  </w: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提供工信部入网证</w:t>
                  </w:r>
                </w:p>
              </w:tc>
            </w:tr>
            <w:tr>
              <w:tc>
                <w:tcPr>
                  <w:tcW w:type="dxa" w:w="50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配置</w:t>
                  </w:r>
                </w:p>
              </w:tc>
              <w:tc>
                <w:tcPr>
                  <w:tcW w:type="dxa" w:w="204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0"/>
                    </w:rPr>
                    <w:t>5台</w:t>
                  </w:r>
                </w:p>
              </w:tc>
            </w:tr>
          </w:tbl>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0"/>
                <w:color w:val="000000"/>
              </w:rPr>
              <w:t>零信任综合网关</w:t>
            </w:r>
          </w:p>
          <w:tbl>
            <w:tblPr>
              <w:tblBorders>
                <w:top w:val="none" w:color="000000" w:sz="4"/>
                <w:left w:val="none" w:color="000000" w:sz="4"/>
                <w:bottom w:val="none" w:color="000000" w:sz="4"/>
                <w:right w:val="none" w:color="000000" w:sz="4"/>
                <w:insideH w:val="none"/>
                <w:insideV w:val="none"/>
              </w:tblBorders>
            </w:tblPr>
            <w:tblGrid>
              <w:gridCol w:w="498"/>
              <w:gridCol w:w="0"/>
              <w:gridCol w:w="1023"/>
              <w:gridCol w:w="1023"/>
            </w:tblGrid>
            <w:tr>
              <w:tc>
                <w:tcPr>
                  <w:tcW w:type="dxa" w:w="4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功能及技术指标</w:t>
                  </w:r>
                </w:p>
              </w:tc>
              <w:tc>
                <w:tcPr>
                  <w:tcW w:type="dxa" w:w="204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参数要求</w:t>
                  </w:r>
                </w:p>
              </w:tc>
            </w:tr>
            <w:tr>
              <w:tc>
                <w:tcPr>
                  <w:tcW w:type="dxa" w:w="4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基础要求及性能</w:t>
                  </w:r>
                </w:p>
              </w:tc>
              <w:tc>
                <w:tcPr>
                  <w:tcW w:type="dxa" w:w="20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最大理论加密流量</w:t>
                  </w:r>
                  <w:r>
                    <w:rPr>
                      <w:rFonts w:ascii="仿宋_GB2312" w:hAnsi="仿宋_GB2312" w:cs="仿宋_GB2312" w:eastAsia="仿宋_GB2312"/>
                      <w:sz w:val="20"/>
                    </w:rPr>
                    <w:t>≥300Mbps，最大理论https并发连接数≥15000个，https新建连接数≥60个/秒，1U标准设备，千兆电口≥6个，千兆光口≥2个；本次投标提供≥150个并发用户授权，提供3年软件升级和质保服务。</w:t>
                  </w:r>
                </w:p>
              </w:tc>
            </w:tr>
            <w:tr>
              <w:tc>
                <w:tcPr>
                  <w:tcW w:type="dxa" w:w="4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资源发布能力</w:t>
                  </w:r>
                </w:p>
              </w:tc>
              <w:tc>
                <w:tcPr>
                  <w:tcW w:type="dxa" w:w="20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通过隧道模式，可以支持基于</w:t>
                  </w:r>
                  <w:r>
                    <w:rPr>
                      <w:rFonts w:ascii="仿宋_GB2312" w:hAnsi="仿宋_GB2312" w:cs="仿宋_GB2312" w:eastAsia="仿宋_GB2312"/>
                      <w:sz w:val="20"/>
                    </w:rPr>
                    <w:t>TCP、UDP、ICMP等协议代理访问业务资源，支持发布IP、IP范围、IP段、具体域名及通配符域名等形式的服务器地址，满足常见办公业务的代理，收缩业务暴露面。为简化资源发布配置，隧道模式应支持同一个资源发布多个服务器地址；管理员还可基于业务的特殊性，自主选择优先使用长连接或短连接进行业务代理；</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隧道应用支持配置到业务服务器的具体端口，且支持配置客户端接入</w:t>
                  </w:r>
                  <w:r>
                    <w:rPr>
                      <w:rFonts w:ascii="仿宋_GB2312" w:hAnsi="仿宋_GB2312" w:cs="仿宋_GB2312" w:eastAsia="仿宋_GB2312"/>
                      <w:sz w:val="20"/>
                    </w:rPr>
                    <w:t>IP限制，只有满足网络区域条件的终端才能访问此应用；</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通过</w:t>
                  </w:r>
                  <w:r>
                    <w:rPr>
                      <w:rFonts w:ascii="仿宋_GB2312" w:hAnsi="仿宋_GB2312" w:cs="仿宋_GB2312" w:eastAsia="仿宋_GB2312"/>
                      <w:sz w:val="20"/>
                    </w:rPr>
                    <w:t>WEB模式，可以支持基于http或https协议代理访问业务资源，支持发布IP或域名形式的后端服务器地址，可配置业务应用的具体访问URL路径。为了保持用户访问应用体验的一致性，后端服务器地址需支持多地址配置；为适应较复杂的内外网访问场景，WEB应用的前端访问地址应支持多地址访问。存在前置代理设备的场景，还应支持从XFF字段获取源IP；</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为提升业务应用的数据安全性，零信任系统应支持针对发布的</w:t>
                  </w:r>
                  <w:r>
                    <w:rPr>
                      <w:rFonts w:ascii="仿宋_GB2312" w:hAnsi="仿宋_GB2312" w:cs="仿宋_GB2312" w:eastAsia="仿宋_GB2312"/>
                      <w:sz w:val="20"/>
                    </w:rPr>
                    <w:t>WEB应用开启WEB水印，水印内容至少包括：用户名+当前年月日，起到威慑与溯源作用，有效预防数据泄露；</w:t>
                  </w:r>
                </w:p>
              </w:tc>
            </w:tr>
            <w:tr>
              <w:tc>
                <w:tcPr>
                  <w:tcW w:type="dxa" w:w="4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终端接入能力</w:t>
                  </w:r>
                </w:p>
              </w:tc>
              <w:tc>
                <w:tcPr>
                  <w:tcW w:type="dxa" w:w="20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为了保障用户顺利访问经零信任隧道模式代理的业务，零信任客户端应兼容主流非国产终端，包括但不限于：</w:t>
                  </w:r>
                  <w:r>
                    <w:rPr>
                      <w:rFonts w:ascii="仿宋_GB2312" w:hAnsi="仿宋_GB2312" w:cs="仿宋_GB2312" w:eastAsia="仿宋_GB2312"/>
                      <w:sz w:val="20"/>
                    </w:rPr>
                    <w:t>Windows7（32位、64位）、Windows10（32位、64位）、Windows11（64位）、MacOS10、MacOS11、MacOS12、Android、iOS等非国产操作系统的终端；</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了保障用户在国产化终端上的正常业务访问，零信任客户端应兼容主流国产硬件CPU的国产操作系统终端，需提供国产操作系统与零信任厂商的兼容性证明，包括但不限于麒麟V10×龙芯、麒麟V10×龙芯LoongArch、麒麟V10×飞腾、麒麟V10×鲲鹏、麒麟V10×兆芯、麒麟V10×海光、麒麟V10×海思麒麟；统信V20×龙芯（3A3000、3A4000）、统信V20×龙芯（3A5000）、统信V20×飞腾、统信V20×鲲鹏、统信V20×海光、统信V20×兆芯等；（需提供产品功能截图并加盖原厂公章）</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▲为了提升终端用户访问体验，应支持客户端自动选路能力，对于多线路接入场景，支持时延优先的选路模式；（需提供产品功能截图并加盖原厂公章）</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为了提升系统维护的便利性，管理员可配置是否允许用户通过短信验证码等方式自助找回密码。用户在</w:t>
                  </w:r>
                  <w:r>
                    <w:rPr>
                      <w:rFonts w:ascii="仿宋_GB2312" w:hAnsi="仿宋_GB2312" w:cs="仿宋_GB2312" w:eastAsia="仿宋_GB2312"/>
                      <w:sz w:val="20"/>
                    </w:rPr>
                    <w:t>PC端和手机端的登录页面均可通过点击忘记密码来重置密码</w:t>
                  </w:r>
                </w:p>
              </w:tc>
            </w:tr>
            <w:tr>
              <w:tc>
                <w:tcPr>
                  <w:tcW w:type="dxa" w:w="4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认证管理</w:t>
                  </w:r>
                </w:p>
              </w:tc>
              <w:tc>
                <w:tcPr>
                  <w:tcW w:type="dxa" w:w="20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产品支持内置本地默认用户目录，支持导入与同步</w:t>
                  </w:r>
                  <w:r>
                    <w:rPr>
                      <w:rFonts w:ascii="仿宋_GB2312" w:hAnsi="仿宋_GB2312" w:cs="仿宋_GB2312" w:eastAsia="仿宋_GB2312"/>
                      <w:sz w:val="20"/>
                    </w:rPr>
                    <w:t>AD域/LDAP等外部用户目录；</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支持与企业微信、阿里钉钉、飞书结合实现扫码认证，支持飞书用户或个人微信企业号通过</w:t>
                  </w:r>
                  <w:r>
                    <w:rPr>
                      <w:rFonts w:ascii="仿宋_GB2312" w:hAnsi="仿宋_GB2312" w:cs="仿宋_GB2312" w:eastAsia="仿宋_GB2312"/>
                      <w:sz w:val="20"/>
                    </w:rPr>
                    <w:t>H5接入。其中短信认证支持配置HTTPS短信网关、腾讯云短信网关、阿里云短信网关及Socket短信网关等网关类型；</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提升业务系统安全性，可配置在触发异常环境的条件时，用户需完成增强认证才可登录，可配置的异常环境包括但不限于：帐号首次登录、帐号在该终端首次登录、闲置帐号登录、弱密码登录、异常时间登录、非常用地点登录等；（需提供产品功能截图并加盖原厂公章）</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应支持帐号密码代填的单点登录功能，支持智能识别登录页面的用户名和密码输入框，根据设置的用户名密码规则自动填写</w:t>
                  </w:r>
                  <w:r>
                    <w:rPr>
                      <w:rFonts w:ascii="仿宋_GB2312" w:hAnsi="仿宋_GB2312" w:cs="仿宋_GB2312" w:eastAsia="仿宋_GB2312"/>
                      <w:sz w:val="20"/>
                    </w:rPr>
                    <w:t>WEB业务系统的帐号密码并登录；</w:t>
                  </w:r>
                </w:p>
                <w:p>
                  <w:pPr>
                    <w:pStyle w:val="null3"/>
                    <w:jc w:val="both"/>
                  </w:pPr>
                  <w:r>
                    <w:rPr>
                      <w:rFonts w:ascii="仿宋_GB2312" w:hAnsi="仿宋_GB2312" w:cs="仿宋_GB2312" w:eastAsia="仿宋_GB2312"/>
                      <w:sz w:val="20"/>
                    </w:rPr>
                    <w:t>在业务系统已经有第三方统一身份认证系统的场景下，零信任系统支持通过票据共享的方式跟统一身份认证系统进行单点登录对接，以间接实现业务系统的单点登录对接。为了适应多种身份认证系统获取票据的方式，票据共享应至少支持反向</w:t>
                  </w:r>
                  <w:r>
                    <w:rPr>
                      <w:rFonts w:ascii="仿宋_GB2312" w:hAnsi="仿宋_GB2312" w:cs="仿宋_GB2312" w:eastAsia="仿宋_GB2312"/>
                      <w:sz w:val="20"/>
                    </w:rPr>
                    <w:t>OAuth对接及票据注入等模式；</w:t>
                  </w:r>
                </w:p>
              </w:tc>
            </w:tr>
            <w:tr>
              <w:tc>
                <w:tcPr>
                  <w:tcW w:type="dxa" w:w="4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业务访问安全能力</w:t>
                  </w:r>
                </w:p>
              </w:tc>
              <w:tc>
                <w:tcPr>
                  <w:tcW w:type="dxa" w:w="20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▲为满足组织灵活的管理要求，支持配置动态访问规则，可配置化的ACL规则引擎，可以灵活地将终端环境、用户身份、处置动作等进行配置，为单位不同业务不同部门提供灵活丰富的访问控制策略：</w:t>
                  </w:r>
                </w:p>
                <w:p>
                  <w:pPr>
                    <w:pStyle w:val="null3"/>
                    <w:jc w:val="both"/>
                  </w:pPr>
                  <w:r>
                    <w:rPr>
                      <w:rFonts w:ascii="仿宋_GB2312" w:hAnsi="仿宋_GB2312" w:cs="仿宋_GB2312" w:eastAsia="仿宋_GB2312"/>
                      <w:sz w:val="20"/>
                    </w:rPr>
                    <w:t>动态访问控制策略可支持按需授权，支持用户或用户组直接关联到应用，避免需要为部门中的个别特殊人员或用户组建立大量角色，简化权限管理，可指定适用应用；</w:t>
                  </w:r>
                </w:p>
                <w:p>
                  <w:pPr>
                    <w:pStyle w:val="null3"/>
                    <w:jc w:val="both"/>
                  </w:pPr>
                  <w:r>
                    <w:rPr>
                      <w:rFonts w:ascii="仿宋_GB2312" w:hAnsi="仿宋_GB2312" w:cs="仿宋_GB2312" w:eastAsia="仿宋_GB2312"/>
                      <w:sz w:val="20"/>
                    </w:rPr>
                    <w:t>动态访问控制策略支持针对操作系统单独设定或多系统设定访问控制策略，操作系统需包括</w:t>
                  </w:r>
                  <w:r>
                    <w:rPr>
                      <w:rFonts w:ascii="仿宋_GB2312" w:hAnsi="仿宋_GB2312" w:cs="仿宋_GB2312" w:eastAsia="仿宋_GB2312"/>
                      <w:sz w:val="20"/>
                    </w:rPr>
                    <w:t>Windows、macOS、linux/麒麟/统信、iOS/Android；</w:t>
                  </w:r>
                </w:p>
              </w:tc>
            </w:tr>
            <w:tr>
              <w:tc>
                <w:tcPr>
                  <w:tcW w:type="dxa" w:w="4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终端数据安全</w:t>
                  </w:r>
                </w:p>
              </w:tc>
              <w:tc>
                <w:tcPr>
                  <w:tcW w:type="dxa" w:w="20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▲支持iOS、安卓手机APP集成零信任SDK，从而实现安全接入、数据安全沙箱等功能，避免单独安装零信任手机客户端，提升用户使用体验；</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支持通过控制台上传</w:t>
                  </w:r>
                  <w:r>
                    <w:rPr>
                      <w:rFonts w:ascii="仿宋_GB2312" w:hAnsi="仿宋_GB2312" w:cs="仿宋_GB2312" w:eastAsia="仿宋_GB2312"/>
                      <w:sz w:val="20"/>
                    </w:rPr>
                    <w:t>Android、iOS原包应用进行自动封装，使APP具备零信任接入能力与数据安全沙箱能力；</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支持对工作空间添加屏幕水印，水印至少包含自定义提醒、用户名、时间、空间名称、手机号后四位、终端</w:t>
                  </w:r>
                  <w:r>
                    <w:rPr>
                      <w:rFonts w:ascii="仿宋_GB2312" w:hAnsi="仿宋_GB2312" w:cs="仿宋_GB2312" w:eastAsia="仿宋_GB2312"/>
                      <w:sz w:val="20"/>
                    </w:rPr>
                    <w:t>MAC地址等信息；支持为工作空间配置禁止截屏策略，启用后任何截屏程序都无法对工作空间打开的窗口截屏或录屏；支持工作空间内允许使用截图工具进行截屏时，或对工作空间拍照时，截图和照片带有水印信息；</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以文件为单位，对工作应用产生的数据进行加密保存；文件加密支持“一文一密”即每个文件独立密钥，以确保沙箱组件被卸载、模块驱动被摘除的情况下，终端用户仍无法明文取出文件；（需提供产品功能截图并加盖原厂公章）</w:t>
                  </w:r>
                </w:p>
              </w:tc>
            </w:tr>
            <w:tr>
              <w:tc>
                <w:tcPr>
                  <w:tcW w:type="dxa" w:w="4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安全特性</w:t>
                  </w:r>
                </w:p>
              </w:tc>
              <w:tc>
                <w:tcPr>
                  <w:tcW w:type="dxa" w:w="20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了最大程度缩小网络、业务暴露面，零信任平台需提供单包授权能力（SPA），支持UDP+TCP组合的单包授权技术，未授权用户无法连接零信任设备，无法扫描到服务端口。支持通过安全码激活客户端为授权客户端，从而可进行SPA敲门和连接，安全码支持共享码和一人一码两种模式，支持短信分发安全码，保障业务的安全性。一人一码模式下，当实际登录用户跟分发SPA安全码绑定的用户不一致时，零信任系统可以产生安全告警，帮助管理员溯源，进一步提升系统安全性；（需提供产品功能截图并加盖原厂公章）</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针对</w:t>
                  </w:r>
                  <w:r>
                    <w:rPr>
                      <w:rFonts w:ascii="仿宋_GB2312" w:hAnsi="仿宋_GB2312" w:cs="仿宋_GB2312" w:eastAsia="仿宋_GB2312"/>
                      <w:sz w:val="20"/>
                    </w:rPr>
                    <w:t>Windows系统用户，支持配置虚拟专线功能，当用户登录零信任客户端之后，自动断开互联网连接，避免互联网威胁影响内网业务系统；</w:t>
                  </w:r>
                </w:p>
              </w:tc>
            </w:tr>
            <w:tr>
              <w:tc>
                <w:tcPr>
                  <w:tcW w:type="dxa" w:w="4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分权管理能力</w:t>
                  </w:r>
                </w:p>
              </w:tc>
              <w:tc>
                <w:tcPr>
                  <w:tcW w:type="dxa" w:w="20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应支持新增</w:t>
                  </w:r>
                  <w:r>
                    <w:rPr>
                      <w:rFonts w:ascii="仿宋_GB2312" w:hAnsi="仿宋_GB2312" w:cs="仿宋_GB2312" w:eastAsia="仿宋_GB2312"/>
                      <w:sz w:val="20"/>
                    </w:rPr>
                    <w:t>/删除/修改管理员角色，内置审计管理员、安全管理员、系统管理员角色；通过管理员角色配置，实现管理员分级分权；</w:t>
                  </w:r>
                </w:p>
                <w:p>
                  <w:pPr>
                    <w:pStyle w:val="null3"/>
                    <w:jc w:val="both"/>
                  </w:pPr>
                  <w:r>
                    <w:rPr>
                      <w:rFonts w:ascii="仿宋_GB2312" w:hAnsi="仿宋_GB2312" w:cs="仿宋_GB2312" w:eastAsia="仿宋_GB2312"/>
                      <w:sz w:val="20"/>
                    </w:rPr>
                    <w:t>管理员角色支持按控制台模块分配权限，支持对模块配置</w:t>
                  </w:r>
                  <w:r>
                    <w:rPr>
                      <w:rFonts w:ascii="仿宋_GB2312" w:hAnsi="仿宋_GB2312" w:cs="仿宋_GB2312" w:eastAsia="仿宋_GB2312"/>
                      <w:sz w:val="20"/>
                    </w:rPr>
                    <w:t>[只读]、[完全控制]两种权限；</w:t>
                  </w:r>
                </w:p>
                <w:p>
                  <w:pPr>
                    <w:pStyle w:val="null3"/>
                    <w:jc w:val="both"/>
                  </w:pPr>
                  <w:r>
                    <w:rPr>
                      <w:rFonts w:ascii="仿宋_GB2312" w:hAnsi="仿宋_GB2312" w:cs="仿宋_GB2312" w:eastAsia="仿宋_GB2312"/>
                      <w:sz w:val="20"/>
                    </w:rPr>
                    <w:t>应用管理模块支持按应用粒度划分权限，如指定某管理员仅能管理指定的应用</w:t>
                  </w:r>
                </w:p>
              </w:tc>
            </w:tr>
            <w:tr>
              <w:tc>
                <w:tcPr>
                  <w:tcW w:type="dxa" w:w="4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审计能力</w:t>
                  </w:r>
                </w:p>
              </w:tc>
              <w:tc>
                <w:tcPr>
                  <w:tcW w:type="dxa" w:w="20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应支持将具有异常登录行为的用户日志自动打标签为用户安全日志，以便于管理员快速审计定位。用户安全日志包括但不限于：帐号安全（应包含帐号首次登录、异常时间登录、非常用地点登录、弱密码登录、爆破登录、闲置帐号登录、帐号在新终端登录等）、中间人攻击、SPA安全（应包含SPA端口扫描、SPA爆破攻击、SPA敲门伪造、SPA重放攻击、SPA安全码泄漏等）、cookie劫持等；（需提供产品功能截图并加盖原厂公章）</w:t>
                  </w:r>
                </w:p>
              </w:tc>
            </w:tr>
            <w:tr>
              <w:tc>
                <w:tcPr>
                  <w:tcW w:type="dxa" w:w="4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系统运维</w:t>
                  </w:r>
                </w:p>
              </w:tc>
              <w:tc>
                <w:tcPr>
                  <w:tcW w:type="dxa" w:w="20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支持终端环境诊断排查，提供终端诊断工具，支持对当前终端的基本环境进行扫描和一键修复，便于员工自行排查修复终端问题，减少</w:t>
                  </w:r>
                  <w:r>
                    <w:rPr>
                      <w:rFonts w:ascii="仿宋_GB2312" w:hAnsi="仿宋_GB2312" w:cs="仿宋_GB2312" w:eastAsia="仿宋_GB2312"/>
                      <w:sz w:val="20"/>
                    </w:rPr>
                    <w:t>IT运维人员工作；</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客户端进行应用访问诊断，输入应用的服务器地址，可自动检测该应用连通性。支持查看该应用访问各个环节的正常和异常状态，检测环节应包括但不限于：服务进程检测、本地网络检测、系统网络代理检测、互联网连通性检测、互联网出口检测、冲突软件检测、资源访问权限检测、虚拟网卡和路由检测、隧道连通性检测、资源连通性检测等。支持查看应用异常访问的日志；</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支持用户在客户端自助进行日志收集，方便运维排查。为了方便快速运维排障，支持管理员在控制台远程获取在线终端的日志，若终端不在线时支持加入排队列表，排队列表中的终端上线后自动收集日志；</w:t>
                  </w:r>
                </w:p>
              </w:tc>
            </w:tr>
            <w:tr>
              <w:tc>
                <w:tcPr>
                  <w:tcW w:type="dxa" w:w="4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产品资质</w:t>
                  </w:r>
                </w:p>
              </w:tc>
              <w:tc>
                <w:tcPr>
                  <w:tcW w:type="dxa" w:w="20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要求所投产品具有中华人民共和国公安部颁发的含有</w:t>
                  </w:r>
                  <w:r>
                    <w:rPr>
                      <w:rFonts w:ascii="仿宋_GB2312" w:hAnsi="仿宋_GB2312" w:cs="仿宋_GB2312" w:eastAsia="仿宋_GB2312"/>
                      <w:sz w:val="20"/>
                    </w:rPr>
                    <w:t>“零信任”字样的“访问控制（网络-增强级）”品类的《计算机信息系统安全专用产品销售许可证》；</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要求所投产品具备国家版权局颁发的含有</w:t>
                  </w:r>
                  <w:r>
                    <w:rPr>
                      <w:rFonts w:ascii="仿宋_GB2312" w:hAnsi="仿宋_GB2312" w:cs="仿宋_GB2312" w:eastAsia="仿宋_GB2312"/>
                      <w:sz w:val="20"/>
                    </w:rPr>
                    <w:t>“零信任”字样的《计算机软件著作权登记证书》，提供有效证书复印件；</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▲为保证零信任产品的架构规范性，要求所投产品提供中国信通院认证的零信任SDP设备Zero Trust Ready证书，提供有效证书复印件；</w:t>
                  </w:r>
                </w:p>
              </w:tc>
            </w:tr>
            <w:tr>
              <w:tc>
                <w:tcPr>
                  <w:tcW w:type="dxa" w:w="4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厂商资质</w:t>
                  </w:r>
                </w:p>
              </w:tc>
              <w:tc>
                <w:tcPr>
                  <w:tcW w:type="dxa" w:w="20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所投产品的生产厂商的软件研发实力具备</w:t>
                  </w:r>
                  <w:r>
                    <w:rPr>
                      <w:rFonts w:ascii="仿宋_GB2312" w:hAnsi="仿宋_GB2312" w:cs="仿宋_GB2312" w:eastAsia="仿宋_GB2312"/>
                      <w:sz w:val="20"/>
                    </w:rPr>
                    <w:t>CMMI L5认证，提供有效证书的复印件；</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所投产品的生产厂商应是国家互联网应急响应中心网络安全应急服务国家级支撑单位，提供有效证书的复印件；</w:t>
                  </w:r>
                </w:p>
              </w:tc>
            </w:tr>
            <w:tr>
              <w:tc>
                <w:tcPr>
                  <w:tcW w:type="dxa" w:w="4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配置</w:t>
                  </w:r>
                </w:p>
              </w:tc>
              <w:tc>
                <w:tcPr>
                  <w:tcW w:type="dxa" w:w="204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r>
          </w:tbl>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0"/>
                <w:color w:val="000000"/>
              </w:rPr>
              <w:t>运维审计系统</w:t>
            </w:r>
          </w:p>
          <w:tbl>
            <w:tblPr>
              <w:tblInd w:type="dxa" w:w="90"/>
              <w:tblBorders>
                <w:top w:val="none" w:color="000000" w:sz="4"/>
                <w:left w:val="none" w:color="000000" w:sz="4"/>
                <w:bottom w:val="none" w:color="000000" w:sz="4"/>
                <w:right w:val="none" w:color="000000" w:sz="4"/>
                <w:insideH w:val="none"/>
                <w:insideV w:val="none"/>
              </w:tblBorders>
            </w:tblPr>
            <w:tblGrid>
              <w:gridCol w:w="491"/>
              <w:gridCol w:w="2054"/>
            </w:tblGrid>
            <w:tr>
              <w:tc>
                <w:tcPr>
                  <w:tcW w:type="dxa" w:w="49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功能及技</w:t>
                  </w:r>
                </w:p>
                <w:p>
                  <w:pPr>
                    <w:pStyle w:val="null3"/>
                    <w:jc w:val="center"/>
                  </w:pPr>
                  <w:r>
                    <w:rPr>
                      <w:rFonts w:ascii="仿宋_GB2312" w:hAnsi="仿宋_GB2312" w:cs="仿宋_GB2312" w:eastAsia="仿宋_GB2312"/>
                      <w:sz w:val="20"/>
                      <w:b/>
                    </w:rPr>
                    <w:t>术指标</w:t>
                  </w:r>
                </w:p>
              </w:tc>
              <w:tc>
                <w:tcPr>
                  <w:tcW w:type="dxa" w:w="205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参数要求</w:t>
                  </w:r>
                </w:p>
              </w:tc>
            </w:tr>
            <w:tr>
              <w:tc>
                <w:tcPr>
                  <w:tcW w:type="dxa" w:w="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硬件规格</w:t>
                  </w:r>
                </w:p>
              </w:tc>
              <w:tc>
                <w:tcPr>
                  <w:tcW w:type="dxa" w:w="20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1.▲必须采用国产化芯片、操作系统。</w:t>
                  </w:r>
                </w:p>
                <w:p>
                  <w:pPr>
                    <w:pStyle w:val="null3"/>
                    <w:jc w:val="both"/>
                  </w:pPr>
                  <w:r>
                    <w:rPr>
                      <w:rFonts w:ascii="仿宋_GB2312" w:hAnsi="仿宋_GB2312" w:cs="仿宋_GB2312" w:eastAsia="仿宋_GB2312"/>
                      <w:sz w:val="20"/>
                    </w:rPr>
                    <w:t>2.支持≥6个千兆电口，≥4个千兆光口，内存≥16GB，系统盘≥500G SSD，数据盘≥4TB HDD，使用冗余电源。</w:t>
                  </w:r>
                </w:p>
                <w:p>
                  <w:pPr>
                    <w:pStyle w:val="null3"/>
                    <w:jc w:val="both"/>
                  </w:pPr>
                  <w:r>
                    <w:rPr>
                      <w:rFonts w:ascii="仿宋_GB2312" w:hAnsi="仿宋_GB2312" w:cs="仿宋_GB2312" w:eastAsia="仿宋_GB2312"/>
                      <w:sz w:val="20"/>
                    </w:rPr>
                    <w:t>3.授权资产数≥500，并发字符连接最大数≥200。</w:t>
                  </w:r>
                </w:p>
                <w:p>
                  <w:pPr>
                    <w:pStyle w:val="null3"/>
                    <w:jc w:val="both"/>
                  </w:pPr>
                  <w:r>
                    <w:rPr>
                      <w:rFonts w:ascii="仿宋_GB2312" w:hAnsi="仿宋_GB2312" w:cs="仿宋_GB2312" w:eastAsia="仿宋_GB2312"/>
                      <w:sz w:val="20"/>
                    </w:rPr>
                    <w:t>4. 提供3年产品质保。</w:t>
                  </w:r>
                </w:p>
              </w:tc>
            </w:tr>
            <w:tr>
              <w:tc>
                <w:tcPr>
                  <w:tcW w:type="dxa" w:w="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用户角色</w:t>
                  </w:r>
                </w:p>
              </w:tc>
              <w:tc>
                <w:tcPr>
                  <w:tcW w:type="dxa" w:w="20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支持用户多角色划分功能，如系统管理员、部门管理员、运维员、审计管理员、密码管理员等，对各类角色需要进行细粒度的权限管理；</w:t>
                  </w:r>
                </w:p>
              </w:tc>
            </w:tr>
            <w:tr>
              <w:tc>
                <w:tcPr>
                  <w:tcW w:type="dxa" w:w="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单点登录认证</w:t>
                  </w:r>
                </w:p>
              </w:tc>
              <w:tc>
                <w:tcPr>
                  <w:tcW w:type="dxa" w:w="20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▲支持标准化对接CAS、JWT、SAML2、OAuth2单点登录认证，且支持配置是否自动创建堡垒机中不存在用户。（提供相关证明截图）</w:t>
                  </w:r>
                </w:p>
              </w:tc>
            </w:tr>
            <w:tr>
              <w:tc>
                <w:tcPr>
                  <w:tcW w:type="dxa" w:w="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国密认证</w:t>
                  </w:r>
                </w:p>
              </w:tc>
              <w:tc>
                <w:tcPr>
                  <w:tcW w:type="dxa" w:w="20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▲支持基于国密算法的动态令牌/USBkey进行双因子认证。（提供相关证明截图）</w:t>
                  </w:r>
                </w:p>
              </w:tc>
            </w:tr>
            <w:tr>
              <w:tc>
                <w:tcPr>
                  <w:tcW w:type="dxa" w:w="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用户密码</w:t>
                  </w:r>
                </w:p>
              </w:tc>
              <w:tc>
                <w:tcPr>
                  <w:tcW w:type="dxa" w:w="20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支持设置用户密码的长度、复杂度、相关度和检查历史密码。</w:t>
                  </w:r>
                </w:p>
              </w:tc>
            </w:tr>
            <w:tr>
              <w:tc>
                <w:tcPr>
                  <w:tcW w:type="dxa" w:w="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浏览器代填</w:t>
                  </w:r>
                </w:p>
              </w:tc>
              <w:tc>
                <w:tcPr>
                  <w:tcW w:type="dxa" w:w="20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IE、谷歌或火狐浏览器代填应用发布：HTTP/HTTPS协议的web设备，且可以直接代填账号和密码。</w:t>
                  </w:r>
                </w:p>
              </w:tc>
            </w:tr>
            <w:tr>
              <w:tc>
                <w:tcPr>
                  <w:tcW w:type="dxa" w:w="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资产筛选</w:t>
                  </w:r>
                </w:p>
              </w:tc>
              <w:tc>
                <w:tcPr>
                  <w:tcW w:type="dxa" w:w="20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支持通过多个维度筛选管理的资产，包括主机</w:t>
                  </w:r>
                  <w:r>
                    <w:rPr>
                      <w:rFonts w:ascii="仿宋_GB2312" w:hAnsi="仿宋_GB2312" w:cs="仿宋_GB2312" w:eastAsia="仿宋_GB2312"/>
                      <w:sz w:val="20"/>
                    </w:rPr>
                    <w:t>IP、操作系统、主机编码、资产名称、登录名、主机网络、连接状态、部门、上次运维时间、备注等。</w:t>
                  </w:r>
                </w:p>
              </w:tc>
            </w:tr>
            <w:tr>
              <w:tc>
                <w:tcPr>
                  <w:tcW w:type="dxa" w:w="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自动收集和</w:t>
                  </w:r>
                </w:p>
                <w:p>
                  <w:pPr>
                    <w:pStyle w:val="null3"/>
                    <w:jc w:val="center"/>
                  </w:pPr>
                  <w:r>
                    <w:rPr>
                      <w:rFonts w:ascii="仿宋_GB2312" w:hAnsi="仿宋_GB2312" w:cs="仿宋_GB2312" w:eastAsia="仿宋_GB2312"/>
                      <w:sz w:val="20"/>
                    </w:rPr>
                    <w:t>自动授权</w:t>
                  </w:r>
                </w:p>
              </w:tc>
              <w:tc>
                <w:tcPr>
                  <w:tcW w:type="dxa" w:w="20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▲支持自动收集设备IP、运维协议、端口号、账号、密码、与用户的权限关系，可自动完成授权。（提供相关证明截图）</w:t>
                  </w:r>
                </w:p>
              </w:tc>
            </w:tr>
            <w:tr>
              <w:tc>
                <w:tcPr>
                  <w:tcW w:type="dxa" w:w="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运维工单</w:t>
                  </w:r>
                </w:p>
              </w:tc>
              <w:tc>
                <w:tcPr>
                  <w:tcW w:type="dxa" w:w="20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运维人员可以向管理员申请需要访问的设备，申请时可以选择：设备</w:t>
                  </w:r>
                  <w:r>
                    <w:rPr>
                      <w:rFonts w:ascii="仿宋_GB2312" w:hAnsi="仿宋_GB2312" w:cs="仿宋_GB2312" w:eastAsia="仿宋_GB2312"/>
                      <w:sz w:val="20"/>
                    </w:rPr>
                    <w:t>IP、设备账户、运维有效期、备注事由等，并且运维工单以邮件方式通知管理员。</w:t>
                  </w:r>
                </w:p>
              </w:tc>
            </w:tr>
            <w:tr>
              <w:tc>
                <w:tcPr>
                  <w:tcW w:type="dxa" w:w="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审批规则</w:t>
                  </w:r>
                </w:p>
              </w:tc>
              <w:tc>
                <w:tcPr>
                  <w:tcW w:type="dxa" w:w="20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对于审批操作，可以设置多级审批人及审批人有权限审批的对象，审批对象类型支持用户和用户组两种，审批类型包括：运维工单、密码工单、预授权工单、紧急运维工单、自动运维任务、命令审批、运维二次审批等。（提供相关证明截图）</w:t>
                  </w:r>
                </w:p>
              </w:tc>
            </w:tr>
            <w:tr>
              <w:tc>
                <w:tcPr>
                  <w:tcW w:type="dxa" w:w="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客户端运维</w:t>
                  </w:r>
                </w:p>
              </w:tc>
              <w:tc>
                <w:tcPr>
                  <w:tcW w:type="dxa" w:w="20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运维客户端自带运维工具，可不依赖</w:t>
                  </w:r>
                  <w:r>
                    <w:rPr>
                      <w:rFonts w:ascii="仿宋_GB2312" w:hAnsi="仿宋_GB2312" w:cs="仿宋_GB2312" w:eastAsia="仿宋_GB2312"/>
                      <w:sz w:val="20"/>
                    </w:rPr>
                    <w:t>xshell/Securecrt/mstsc等工具进行运维操作。</w:t>
                  </w:r>
                </w:p>
              </w:tc>
            </w:tr>
            <w:tr>
              <w:tc>
                <w:tcPr>
                  <w:tcW w:type="dxa" w:w="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树状目录视图</w:t>
                  </w:r>
                </w:p>
              </w:tc>
              <w:tc>
                <w:tcPr>
                  <w:tcW w:type="dxa" w:w="20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支持目录树模式对主机进行管理，可以按主机组、部门、主机网络、操作系统</w:t>
                  </w:r>
                  <w:r>
                    <w:rPr>
                      <w:rFonts w:ascii="仿宋_GB2312" w:hAnsi="仿宋_GB2312" w:cs="仿宋_GB2312" w:eastAsia="仿宋_GB2312"/>
                      <w:sz w:val="20"/>
                    </w:rPr>
                    <w:t>4种视图进行树状目录排列。</w:t>
                  </w:r>
                </w:p>
              </w:tc>
            </w:tr>
            <w:tr>
              <w:tc>
                <w:tcPr>
                  <w:tcW w:type="dxa" w:w="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数据库双重审计</w:t>
                  </w:r>
                </w:p>
              </w:tc>
              <w:tc>
                <w:tcPr>
                  <w:tcW w:type="dxa" w:w="20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▲支持同时对数据库会话记录图形审计及命令提取，并且实现点击任意一条数据库命令，自动跳转到对应的录像片段，并可对数据库运维会话的上行和下行命令进行审计。提供相关证明截图）</w:t>
                  </w:r>
                </w:p>
              </w:tc>
            </w:tr>
            <w:tr>
              <w:tc>
                <w:tcPr>
                  <w:tcW w:type="dxa" w:w="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运维方式</w:t>
                  </w:r>
                </w:p>
              </w:tc>
              <w:tc>
                <w:tcPr>
                  <w:tcW w:type="dxa" w:w="20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ssh、telnet、rlogin、rdp、vnc、ftp、sftp、x11协议的H5运维，无需本地运维客户端工具。</w:t>
                  </w:r>
                </w:p>
              </w:tc>
            </w:tr>
            <w:tr>
              <w:tc>
                <w:tcPr>
                  <w:tcW w:type="dxa" w:w="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资质要求</w:t>
                  </w:r>
                </w:p>
              </w:tc>
              <w:tc>
                <w:tcPr>
                  <w:tcW w:type="dxa" w:w="20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提供产品《计算机软件著作权证书》</w:t>
                  </w:r>
                </w:p>
              </w:tc>
            </w:tr>
            <w:tr>
              <w:tc>
                <w:tcPr>
                  <w:tcW w:type="dxa" w:w="49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配置</w:t>
                  </w:r>
                </w:p>
              </w:tc>
              <w:tc>
                <w:tcPr>
                  <w:tcW w:type="dxa" w:w="205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1台</w:t>
                  </w:r>
                </w:p>
              </w:tc>
            </w:tr>
          </w:tbl>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sz w:val="20"/>
                <w:color w:val="000000"/>
              </w:rPr>
              <w:t>网络防火墙授权</w:t>
            </w:r>
          </w:p>
          <w:tbl>
            <w:tblPr>
              <w:tblInd w:type="dxa" w:w="90"/>
              <w:tblBorders>
                <w:top w:val="none" w:color="000000" w:sz="4"/>
                <w:left w:val="none" w:color="000000" w:sz="4"/>
                <w:bottom w:val="none" w:color="000000" w:sz="4"/>
                <w:right w:val="none" w:color="000000" w:sz="4"/>
                <w:insideH w:val="none"/>
                <w:insideV w:val="none"/>
              </w:tblBorders>
            </w:tblPr>
            <w:tblGrid>
              <w:gridCol w:w="520"/>
              <w:gridCol w:w="2032"/>
            </w:tblGrid>
            <w:tr>
              <w:tc>
                <w:tcPr>
                  <w:tcW w:type="dxa" w:w="52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功能及技</w:t>
                  </w:r>
                </w:p>
                <w:p>
                  <w:pPr>
                    <w:pStyle w:val="null3"/>
                    <w:jc w:val="center"/>
                  </w:pPr>
                  <w:r>
                    <w:rPr>
                      <w:rFonts w:ascii="仿宋_GB2312" w:hAnsi="仿宋_GB2312" w:cs="仿宋_GB2312" w:eastAsia="仿宋_GB2312"/>
                      <w:sz w:val="20"/>
                      <w:b/>
                    </w:rPr>
                    <w:t>术指标</w:t>
                  </w:r>
                </w:p>
              </w:tc>
              <w:tc>
                <w:tcPr>
                  <w:tcW w:type="dxa" w:w="203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rPr>
                    <w:t>参数要求</w:t>
                  </w:r>
                </w:p>
              </w:tc>
            </w:tr>
            <w:tr>
              <w:tc>
                <w:tcPr>
                  <w:tcW w:type="dxa" w:w="5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规格</w:t>
                  </w:r>
                </w:p>
              </w:tc>
              <w:tc>
                <w:tcPr>
                  <w:tcW w:type="dxa" w:w="20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对已采购的网络防火墙</w:t>
                  </w:r>
                  <w:r>
                    <w:rPr>
                      <w:rFonts w:ascii="仿宋_GB2312" w:hAnsi="仿宋_GB2312" w:cs="仿宋_GB2312" w:eastAsia="仿宋_GB2312"/>
                      <w:sz w:val="20"/>
                    </w:rPr>
                    <w:t>IPS特征库、防病毒特征库（防病毒引擎）、应用识别及URL分类库一年升级服务；</w:t>
                  </w:r>
                </w:p>
                <w:p>
                  <w:pPr>
                    <w:pStyle w:val="null3"/>
                    <w:jc w:val="both"/>
                  </w:pPr>
                  <w:r>
                    <w:rPr>
                      <w:rFonts w:ascii="仿宋_GB2312" w:hAnsi="仿宋_GB2312" w:cs="仿宋_GB2312" w:eastAsia="仿宋_GB2312"/>
                      <w:sz w:val="20"/>
                    </w:rPr>
                    <w:t>包括一年</w:t>
                  </w:r>
                  <w:r>
                    <w:rPr>
                      <w:rFonts w:ascii="仿宋_GB2312" w:hAnsi="仿宋_GB2312" w:cs="仿宋_GB2312" w:eastAsia="仿宋_GB2312"/>
                      <w:sz w:val="20"/>
                    </w:rPr>
                    <w:t>5×8免费硬件维修服务、同代软件版本升级服务、5×8热线技术支持服务。</w:t>
                  </w:r>
                </w:p>
              </w:tc>
            </w:tr>
            <w:tr>
              <w:tc>
                <w:tcPr>
                  <w:tcW w:type="dxa" w:w="52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rPr>
                    <w:t>配置</w:t>
                  </w:r>
                </w:p>
              </w:tc>
              <w:tc>
                <w:tcPr>
                  <w:tcW w:type="dxa" w:w="20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台</w:t>
                  </w:r>
                </w:p>
              </w:tc>
            </w:tr>
          </w:tbl>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20"/>
                <w:color w:val="000000"/>
              </w:rPr>
              <w:t>云算力</w:t>
            </w:r>
          </w:p>
          <w:p>
            <w:pPr>
              <w:pStyle w:val="null3"/>
            </w:pPr>
            <w:r>
              <w:rPr>
                <w:rFonts w:ascii="仿宋_GB2312" w:hAnsi="仿宋_GB2312" w:cs="仿宋_GB2312" w:eastAsia="仿宋_GB2312"/>
                <w:sz w:val="20"/>
              </w:rPr>
              <w:t>云主机</w:t>
            </w:r>
          </w:p>
          <w:p>
            <w:pPr>
              <w:pStyle w:val="null3"/>
            </w:pPr>
            <w:r>
              <w:rPr>
                <w:rFonts w:ascii="仿宋_GB2312" w:hAnsi="仿宋_GB2312" w:cs="仿宋_GB2312" w:eastAsia="仿宋_GB2312"/>
                <w:sz w:val="20"/>
              </w:rPr>
              <w:t>具备云主机统一的策略管理能力，支持云主机组功能，支持强制反亲和性、非强制反亲和性、强制亲和性、非强制亲和性策略，支持云主机动态迁入</w:t>
            </w:r>
            <w:r>
              <w:rPr>
                <w:rFonts w:ascii="仿宋_GB2312" w:hAnsi="仿宋_GB2312" w:cs="仿宋_GB2312" w:eastAsia="仿宋_GB2312"/>
                <w:sz w:val="20"/>
              </w:rPr>
              <w:t>/迁出云主机组。</w:t>
            </w:r>
          </w:p>
          <w:p>
            <w:pPr>
              <w:pStyle w:val="null3"/>
            </w:pPr>
            <w:r>
              <w:rPr>
                <w:rFonts w:ascii="仿宋_GB2312" w:hAnsi="仿宋_GB2312" w:cs="仿宋_GB2312" w:eastAsia="仿宋_GB2312"/>
                <w:sz w:val="20"/>
              </w:rPr>
              <w:t>支持云主机</w:t>
            </w:r>
            <w:r>
              <w:rPr>
                <w:rFonts w:ascii="仿宋_GB2312" w:hAnsi="仿宋_GB2312" w:cs="仿宋_GB2312" w:eastAsia="仿宋_GB2312"/>
                <w:sz w:val="20"/>
              </w:rPr>
              <w:t>HA（High Available）机制，在云主机出现故障时能够检测和自动拉起，确保业务快速恢复，恢复时长分钟级。当宿主机故障且电源BMC失效不可达场景下，可正常完成疏散</w:t>
            </w:r>
          </w:p>
          <w:p>
            <w:pPr>
              <w:pStyle w:val="null3"/>
            </w:pPr>
            <w:r>
              <w:rPr>
                <w:rFonts w:ascii="仿宋_GB2312" w:hAnsi="仿宋_GB2312" w:cs="仿宋_GB2312" w:eastAsia="仿宋_GB2312"/>
                <w:sz w:val="20"/>
              </w:rPr>
              <w:t>单个弹性云主机每服务周期服务可用率不低于</w:t>
            </w:r>
            <w:r>
              <w:rPr>
                <w:rFonts w:ascii="仿宋_GB2312" w:hAnsi="仿宋_GB2312" w:cs="仿宋_GB2312" w:eastAsia="仿宋_GB2312"/>
                <w:sz w:val="20"/>
              </w:rPr>
              <w:t>99.975%；同一区域内多个可用区的弹性云主机每服务周期服务可用率不低于99.995%。</w:t>
            </w:r>
          </w:p>
          <w:p>
            <w:pPr>
              <w:pStyle w:val="null3"/>
            </w:pPr>
            <w:r>
              <w:rPr>
                <w:rFonts w:ascii="仿宋_GB2312" w:hAnsi="仿宋_GB2312" w:cs="仿宋_GB2312" w:eastAsia="仿宋_GB2312"/>
                <w:sz w:val="20"/>
              </w:rPr>
              <w:t>支持伸缩配置复制功能，在资源规模较大的情况下，为用户的管理和运维带来更好的易用性和便捷性。</w:t>
            </w:r>
          </w:p>
          <w:p>
            <w:pPr>
              <w:pStyle w:val="null3"/>
            </w:pPr>
            <w:r>
              <w:rPr>
                <w:rFonts w:ascii="仿宋_GB2312" w:hAnsi="仿宋_GB2312" w:cs="仿宋_GB2312" w:eastAsia="仿宋_GB2312"/>
                <w:sz w:val="20"/>
              </w:rPr>
              <w:t>存储</w:t>
            </w:r>
          </w:p>
          <w:p>
            <w:pPr>
              <w:pStyle w:val="null3"/>
            </w:pPr>
            <w:r>
              <w:rPr>
                <w:rFonts w:ascii="仿宋_GB2312" w:hAnsi="仿宋_GB2312" w:cs="仿宋_GB2312" w:eastAsia="仿宋_GB2312"/>
                <w:sz w:val="20"/>
              </w:rPr>
              <w:t>支持</w:t>
            </w:r>
            <w:r>
              <w:rPr>
                <w:rFonts w:ascii="仿宋_GB2312" w:hAnsi="仿宋_GB2312" w:cs="仿宋_GB2312" w:eastAsia="仿宋_GB2312"/>
                <w:sz w:val="20"/>
              </w:rPr>
              <w:t>VBD模式和SCSI模式云硬盘。</w:t>
            </w:r>
          </w:p>
          <w:p>
            <w:pPr>
              <w:pStyle w:val="null3"/>
            </w:pPr>
            <w:r>
              <w:rPr>
                <w:rFonts w:ascii="仿宋_GB2312" w:hAnsi="仿宋_GB2312" w:cs="仿宋_GB2312" w:eastAsia="仿宋_GB2312"/>
                <w:sz w:val="20"/>
              </w:rPr>
              <w:t>云硬盘回收站功能，可将按需计费的云硬盘在删除后进行临时保存，以提高客户在使用过程中的容错率。</w:t>
            </w:r>
          </w:p>
          <w:p>
            <w:pPr>
              <w:pStyle w:val="null3"/>
            </w:pPr>
            <w:r>
              <w:rPr>
                <w:rFonts w:ascii="仿宋_GB2312" w:hAnsi="仿宋_GB2312" w:cs="仿宋_GB2312" w:eastAsia="仿宋_GB2312"/>
                <w:sz w:val="20"/>
              </w:rPr>
              <w:t>支持访问权限管理，包括：桶策略、对象策略、</w:t>
            </w:r>
            <w:r>
              <w:rPr>
                <w:rFonts w:ascii="仿宋_GB2312" w:hAnsi="仿宋_GB2312" w:cs="仿宋_GB2312" w:eastAsia="仿宋_GB2312"/>
                <w:sz w:val="20"/>
              </w:rPr>
              <w:t>ACL规则、STS访问控制等方式对桶和对象的访问权限控制；IAM权限管理，控制用户的资源权限。</w:t>
            </w:r>
          </w:p>
          <w:p>
            <w:pPr>
              <w:pStyle w:val="null3"/>
            </w:pPr>
            <w:r>
              <w:rPr>
                <w:rFonts w:ascii="仿宋_GB2312" w:hAnsi="仿宋_GB2312" w:cs="仿宋_GB2312" w:eastAsia="仿宋_GB2312"/>
                <w:sz w:val="20"/>
              </w:rPr>
              <w:t>提供对象存储迁移服务，包括数据迁移至对象存储的工具以及在线迁移服务。支持的迁移源端包括：腾讯云、阿里云、华为云、天翼云、</w:t>
            </w:r>
            <w:r>
              <w:rPr>
                <w:rFonts w:ascii="仿宋_GB2312" w:hAnsi="仿宋_GB2312" w:cs="仿宋_GB2312" w:eastAsia="仿宋_GB2312"/>
                <w:sz w:val="20"/>
              </w:rPr>
              <w:t>AWS（S3）和其他遵循标准S3协议的对象存储服务。</w:t>
            </w:r>
          </w:p>
          <w:p>
            <w:pPr>
              <w:pStyle w:val="null3"/>
            </w:pPr>
            <w:r>
              <w:rPr>
                <w:rFonts w:ascii="仿宋_GB2312" w:hAnsi="仿宋_GB2312" w:cs="仿宋_GB2312" w:eastAsia="仿宋_GB2312"/>
                <w:sz w:val="20"/>
              </w:rPr>
              <w:t>支持用户的节点配额、桶配额功能，支持容量和对象数量配额设置。</w:t>
            </w:r>
          </w:p>
          <w:p>
            <w:pPr>
              <w:pStyle w:val="null3"/>
            </w:pPr>
            <w:r>
              <w:rPr>
                <w:rFonts w:ascii="仿宋_GB2312" w:hAnsi="仿宋_GB2312" w:cs="仿宋_GB2312" w:eastAsia="仿宋_GB2312"/>
                <w:sz w:val="20"/>
              </w:rPr>
              <w:t>弹性负载均衡</w:t>
            </w:r>
          </w:p>
          <w:p>
            <w:pPr>
              <w:pStyle w:val="null3"/>
            </w:pPr>
            <w:r>
              <w:rPr>
                <w:rFonts w:ascii="仿宋_GB2312" w:hAnsi="仿宋_GB2312" w:cs="仿宋_GB2312" w:eastAsia="仿宋_GB2312"/>
                <w:sz w:val="20"/>
              </w:rPr>
              <w:t>负载均衡支持多种规格，其中最大连接数最多</w:t>
            </w:r>
            <w:r>
              <w:rPr>
                <w:rFonts w:ascii="仿宋_GB2312" w:hAnsi="仿宋_GB2312" w:cs="仿宋_GB2312" w:eastAsia="仿宋_GB2312"/>
                <w:sz w:val="20"/>
              </w:rPr>
              <w:t>2000W、新建连接数最多（CPS）100W、七层HTTP/HTTPS QPS最多支持30W。</w:t>
            </w:r>
          </w:p>
          <w:p>
            <w:pPr>
              <w:pStyle w:val="null3"/>
            </w:pPr>
            <w:r>
              <w:rPr>
                <w:rFonts w:ascii="仿宋_GB2312" w:hAnsi="仿宋_GB2312" w:cs="仿宋_GB2312" w:eastAsia="仿宋_GB2312"/>
                <w:sz w:val="20"/>
              </w:rPr>
              <w:t>支持自定义监听器，支持的协议包括：</w:t>
            </w:r>
            <w:r>
              <w:rPr>
                <w:rFonts w:ascii="仿宋_GB2312" w:hAnsi="仿宋_GB2312" w:cs="仿宋_GB2312" w:eastAsia="仿宋_GB2312"/>
                <w:sz w:val="20"/>
              </w:rPr>
              <w:t>TCP/UDP/HTTP/HTTPS/TCPSSL/QUIC；支持配置访问策略，包括黑名单、白名单等；支持获取客户端源IP（四层、七层）、四层客户端地址保持（DNAT模式）。</w:t>
            </w:r>
          </w:p>
          <w:p>
            <w:pPr>
              <w:pStyle w:val="null3"/>
            </w:pPr>
            <w:r>
              <w:rPr>
                <w:rFonts w:ascii="仿宋_GB2312" w:hAnsi="仿宋_GB2312" w:cs="仿宋_GB2312" w:eastAsia="仿宋_GB2312"/>
                <w:sz w:val="20"/>
              </w:rPr>
              <w:t>支持监听级的</w:t>
            </w:r>
            <w:r>
              <w:rPr>
                <w:rFonts w:ascii="仿宋_GB2312" w:hAnsi="仿宋_GB2312" w:cs="仿宋_GB2312" w:eastAsia="仿宋_GB2312"/>
                <w:sz w:val="20"/>
              </w:rPr>
              <w:t>CPS限速、QPS限速</w:t>
            </w:r>
          </w:p>
          <w:p>
            <w:pPr>
              <w:pStyle w:val="null3"/>
            </w:pPr>
            <w:r>
              <w:rPr>
                <w:rFonts w:ascii="仿宋_GB2312" w:hAnsi="仿宋_GB2312" w:cs="仿宋_GB2312" w:eastAsia="仿宋_GB2312"/>
                <w:sz w:val="20"/>
              </w:rPr>
              <w:t>支持</w:t>
            </w:r>
            <w:r>
              <w:rPr>
                <w:rFonts w:ascii="仿宋_GB2312" w:hAnsi="仿宋_GB2312" w:cs="仿宋_GB2312" w:eastAsia="仿宋_GB2312"/>
                <w:sz w:val="20"/>
              </w:rPr>
              <w:t>HTTP2.0、七层监听支持Gzip数据压缩</w:t>
            </w:r>
          </w:p>
          <w:p>
            <w:pPr>
              <w:pStyle w:val="null3"/>
            </w:pPr>
            <w:r>
              <w:rPr>
                <w:rFonts w:ascii="仿宋_GB2312" w:hAnsi="仿宋_GB2312" w:cs="仿宋_GB2312" w:eastAsia="仿宋_GB2312"/>
                <w:sz w:val="20"/>
              </w:rPr>
              <w:t>支持后端主机组管理，可管理云主机和裸金属物理机、跨</w:t>
            </w:r>
            <w:r>
              <w:rPr>
                <w:rFonts w:ascii="仿宋_GB2312" w:hAnsi="仿宋_GB2312" w:cs="仿宋_GB2312" w:eastAsia="仿宋_GB2312"/>
                <w:sz w:val="20"/>
              </w:rPr>
              <w:t>VPC后端、弹性容器ECI、远端IDC；支持后端主机组相关参数的修改，包括：后端主机组名称、开启/关闭会话保持、设置会话保持时间、开启/关闭健康检查、间隔时间、超时时间、最大重试次数。</w:t>
            </w:r>
          </w:p>
          <w:p>
            <w:pPr>
              <w:pStyle w:val="null3"/>
            </w:pPr>
            <w:r>
              <w:rPr>
                <w:rFonts w:ascii="仿宋_GB2312" w:hAnsi="仿宋_GB2312" w:cs="仿宋_GB2312" w:eastAsia="仿宋_GB2312"/>
                <w:sz w:val="20"/>
              </w:rPr>
              <w:t>支持同一个主机组在多个</w:t>
            </w:r>
            <w:r>
              <w:rPr>
                <w:rFonts w:ascii="仿宋_GB2312" w:hAnsi="仿宋_GB2312" w:cs="仿宋_GB2312" w:eastAsia="仿宋_GB2312"/>
                <w:sz w:val="20"/>
              </w:rPr>
              <w:t>ELB实例下使用</w:t>
            </w:r>
          </w:p>
          <w:p>
            <w:pPr>
              <w:pStyle w:val="null3"/>
            </w:pPr>
            <w:r>
              <w:rPr>
                <w:rFonts w:ascii="仿宋_GB2312" w:hAnsi="仿宋_GB2312" w:cs="仿宋_GB2312" w:eastAsia="仿宋_GB2312"/>
                <w:sz w:val="20"/>
              </w:rPr>
              <w:t>四层后端主机组支持全端口转发</w:t>
            </w:r>
          </w:p>
          <w:p>
            <w:pPr>
              <w:pStyle w:val="null3"/>
            </w:pPr>
            <w:r>
              <w:rPr>
                <w:rFonts w:ascii="仿宋_GB2312" w:hAnsi="仿宋_GB2312" w:cs="仿宋_GB2312" w:eastAsia="仿宋_GB2312"/>
                <w:sz w:val="20"/>
              </w:rPr>
              <w:t>支持证书管理，支持国际</w:t>
            </w:r>
            <w:r>
              <w:rPr>
                <w:rFonts w:ascii="仿宋_GB2312" w:hAnsi="仿宋_GB2312" w:cs="仿宋_GB2312" w:eastAsia="仿宋_GB2312"/>
                <w:sz w:val="20"/>
              </w:rPr>
              <w:t>/国密类型证书：针对HTTPS协议，提供统一的证书管理服务；支持证书及私钥上传；支持证书修改。支持实例级和监听级监控能力，监控指标包括：并发连接数、新建连接数、七层查询速率QPS、网络流入带宽、网络流出带宽、实例七层协议返回码（2xx/3xx/4xx/5xx/others）、实例每秒流入包个数、实例每秒流出包个数、实例活跃连接数、实例非活跃连接数、实例健康后端主机数、实例异常后端主机数、实例7层请求带宽 、实例7层响应带宽、丢弃率、并发连接数利用率、新建连接数利用率、QPS利用率、丢弃连接数、7层协议平均响应时间；</w:t>
            </w:r>
          </w:p>
          <w:p>
            <w:pPr>
              <w:pStyle w:val="null3"/>
            </w:pPr>
            <w:r>
              <w:rPr>
                <w:rFonts w:ascii="仿宋_GB2312" w:hAnsi="仿宋_GB2312" w:cs="仿宋_GB2312" w:eastAsia="仿宋_GB2312"/>
                <w:sz w:val="20"/>
              </w:rPr>
              <w:t>云监控</w:t>
            </w:r>
          </w:p>
          <w:p>
            <w:pPr>
              <w:pStyle w:val="null3"/>
            </w:pPr>
            <w:r>
              <w:rPr>
                <w:rFonts w:ascii="仿宋_GB2312" w:hAnsi="仿宋_GB2312" w:cs="仿宋_GB2312" w:eastAsia="仿宋_GB2312"/>
                <w:sz w:val="20"/>
                <w:color w:val="000000"/>
              </w:rPr>
              <w:t>支持数据订阅，便于用户将指标、事件、告警信息推送至客户消息队列服务或</w:t>
            </w:r>
            <w:r>
              <w:rPr>
                <w:rFonts w:ascii="仿宋_GB2312" w:hAnsi="仿宋_GB2312" w:cs="仿宋_GB2312" w:eastAsia="仿宋_GB2312"/>
                <w:sz w:val="20"/>
                <w:color w:val="000000"/>
              </w:rPr>
              <w:t>api接口地址</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20"/>
                <w:color w:val="000000"/>
              </w:rPr>
              <w:t>各系统具体性能指标要求</w:t>
            </w:r>
          </w:p>
          <w:p>
            <w:pPr>
              <w:pStyle w:val="null3"/>
            </w:pPr>
            <w:r>
              <w:rPr>
                <w:rFonts w:ascii="仿宋_GB2312" w:hAnsi="仿宋_GB2312" w:cs="仿宋_GB2312" w:eastAsia="仿宋_GB2312"/>
                <w:sz w:val="20"/>
              </w:rPr>
              <w:t>1、陕西省高考成绩查询系统：</w:t>
            </w:r>
          </w:p>
          <w:p>
            <w:pPr>
              <w:pStyle w:val="null3"/>
            </w:pPr>
            <w:r>
              <w:rPr>
                <w:rFonts w:ascii="仿宋_GB2312" w:hAnsi="仿宋_GB2312" w:cs="仿宋_GB2312" w:eastAsia="仿宋_GB2312"/>
                <w:sz w:val="20"/>
              </w:rPr>
              <w:t>测试对象：高考成绩查询功能</w:t>
            </w:r>
          </w:p>
          <w:p>
            <w:pPr>
              <w:pStyle w:val="null3"/>
            </w:pPr>
            <w:r>
              <w:rPr>
                <w:rFonts w:ascii="仿宋_GB2312" w:hAnsi="仿宋_GB2312" w:cs="仿宋_GB2312" w:eastAsia="仿宋_GB2312"/>
                <w:sz w:val="20"/>
              </w:rPr>
              <w:t>测试性能指标项与要求：</w:t>
            </w:r>
          </w:p>
          <w:p>
            <w:pPr>
              <w:pStyle w:val="null3"/>
            </w:pPr>
            <w:r>
              <w:rPr>
                <w:rFonts w:ascii="仿宋_GB2312" w:hAnsi="仿宋_GB2312" w:cs="仿宋_GB2312" w:eastAsia="仿宋_GB2312"/>
                <w:sz w:val="20"/>
              </w:rPr>
              <w:t>最大并发用户数：不小于</w:t>
            </w:r>
            <w:r>
              <w:rPr>
                <w:rFonts w:ascii="仿宋_GB2312" w:hAnsi="仿宋_GB2312" w:cs="仿宋_GB2312" w:eastAsia="仿宋_GB2312"/>
                <w:sz w:val="20"/>
              </w:rPr>
              <w:t>10万（指同一时间发起请求的最大用户数量，需满足峰值流量冲击）</w:t>
            </w:r>
          </w:p>
          <w:p>
            <w:pPr>
              <w:pStyle w:val="null3"/>
            </w:pPr>
            <w:r>
              <w:rPr>
                <w:rFonts w:ascii="仿宋_GB2312" w:hAnsi="仿宋_GB2312" w:cs="仿宋_GB2312" w:eastAsia="仿宋_GB2312"/>
                <w:sz w:val="20"/>
              </w:rPr>
              <w:t>平均响应时间：不超过</w:t>
            </w:r>
            <w:r>
              <w:rPr>
                <w:rFonts w:ascii="仿宋_GB2312" w:hAnsi="仿宋_GB2312" w:cs="仿宋_GB2312" w:eastAsia="仿宋_GB2312"/>
                <w:sz w:val="20"/>
              </w:rPr>
              <w:t>5秒（从用户发起查询请求到系统返回成功查询结果的平均耗时）</w:t>
            </w:r>
          </w:p>
          <w:p>
            <w:pPr>
              <w:pStyle w:val="null3"/>
            </w:pPr>
            <w:r>
              <w:rPr>
                <w:rFonts w:ascii="仿宋_GB2312" w:hAnsi="仿宋_GB2312" w:cs="仿宋_GB2312" w:eastAsia="仿宋_GB2312"/>
                <w:sz w:val="20"/>
              </w:rPr>
              <w:t>请求成功率：大于</w:t>
            </w:r>
            <w:r>
              <w:rPr>
                <w:rFonts w:ascii="仿宋_GB2312" w:hAnsi="仿宋_GB2312" w:cs="仿宋_GB2312" w:eastAsia="仿宋_GB2312"/>
                <w:sz w:val="20"/>
              </w:rPr>
              <w:t>95%（指有效查询请求中，系统成功返回正确结果的比例，不含参数错误、身份验证失败等无效请求）</w:t>
            </w:r>
          </w:p>
          <w:p>
            <w:pPr>
              <w:pStyle w:val="null3"/>
            </w:pPr>
            <w:r>
              <w:rPr>
                <w:rFonts w:ascii="仿宋_GB2312" w:hAnsi="仿宋_GB2312" w:cs="仿宋_GB2312" w:eastAsia="仿宋_GB2312"/>
                <w:sz w:val="20"/>
              </w:rPr>
              <w:t>2、陕西省高考志愿辅助系统：</w:t>
            </w:r>
          </w:p>
          <w:p>
            <w:pPr>
              <w:pStyle w:val="null3"/>
            </w:pPr>
            <w:r>
              <w:rPr>
                <w:rFonts w:ascii="仿宋_GB2312" w:hAnsi="仿宋_GB2312" w:cs="仿宋_GB2312" w:eastAsia="仿宋_GB2312"/>
                <w:sz w:val="20"/>
              </w:rPr>
              <w:t>测试对象：</w:t>
            </w:r>
            <w:r>
              <w:rPr>
                <w:rFonts w:ascii="仿宋_GB2312" w:hAnsi="仿宋_GB2312" w:cs="仿宋_GB2312" w:eastAsia="仿宋_GB2312"/>
                <w:sz w:val="20"/>
              </w:rPr>
              <w:t>①院校查询功能②往年录取查询功能</w:t>
            </w:r>
          </w:p>
          <w:p>
            <w:pPr>
              <w:pStyle w:val="null3"/>
            </w:pPr>
            <w:r>
              <w:rPr>
                <w:rFonts w:ascii="仿宋_GB2312" w:hAnsi="仿宋_GB2312" w:cs="仿宋_GB2312" w:eastAsia="仿宋_GB2312"/>
                <w:sz w:val="20"/>
              </w:rPr>
              <w:t>测试性能指标项与要求：</w:t>
            </w:r>
          </w:p>
          <w:p>
            <w:pPr>
              <w:pStyle w:val="null3"/>
            </w:pPr>
            <w:r>
              <w:rPr>
                <w:rFonts w:ascii="仿宋_GB2312" w:hAnsi="仿宋_GB2312" w:cs="仿宋_GB2312" w:eastAsia="仿宋_GB2312"/>
                <w:sz w:val="20"/>
              </w:rPr>
              <w:t>最大并发用户数：不小于</w:t>
            </w:r>
            <w:r>
              <w:rPr>
                <w:rFonts w:ascii="仿宋_GB2312" w:hAnsi="仿宋_GB2312" w:cs="仿宋_GB2312" w:eastAsia="仿宋_GB2312"/>
                <w:sz w:val="20"/>
              </w:rPr>
              <w:t>5万（指同一时间发起请求的最大用户数量）</w:t>
            </w:r>
          </w:p>
          <w:p>
            <w:pPr>
              <w:pStyle w:val="null3"/>
            </w:pPr>
            <w:r>
              <w:rPr>
                <w:rFonts w:ascii="仿宋_GB2312" w:hAnsi="仿宋_GB2312" w:cs="仿宋_GB2312" w:eastAsia="仿宋_GB2312"/>
                <w:sz w:val="20"/>
              </w:rPr>
              <w:t>平均响应时间：不超过</w:t>
            </w:r>
            <w:r>
              <w:rPr>
                <w:rFonts w:ascii="仿宋_GB2312" w:hAnsi="仿宋_GB2312" w:cs="仿宋_GB2312" w:eastAsia="仿宋_GB2312"/>
                <w:sz w:val="20"/>
              </w:rPr>
              <w:t>5秒（从用户发起查询请求到系统返回成功查询结果的平均耗时，含数据检索、筛选过程）</w:t>
            </w:r>
          </w:p>
          <w:p>
            <w:pPr>
              <w:pStyle w:val="null3"/>
            </w:pPr>
            <w:r>
              <w:rPr>
                <w:rFonts w:ascii="仿宋_GB2312" w:hAnsi="仿宋_GB2312" w:cs="仿宋_GB2312" w:eastAsia="仿宋_GB2312"/>
                <w:sz w:val="20"/>
              </w:rPr>
              <w:t>请求成功率：大于</w:t>
            </w:r>
            <w:r>
              <w:rPr>
                <w:rFonts w:ascii="仿宋_GB2312" w:hAnsi="仿宋_GB2312" w:cs="仿宋_GB2312" w:eastAsia="仿宋_GB2312"/>
                <w:sz w:val="20"/>
              </w:rPr>
              <w:t>95%（指有效查询请求中，系统成功返回正确结果的比例，不含参数错误、身份验证失败等无效请求）</w:t>
            </w:r>
          </w:p>
          <w:p>
            <w:pPr>
              <w:pStyle w:val="null3"/>
            </w:pPr>
            <w:r>
              <w:rPr>
                <w:rFonts w:ascii="仿宋_GB2312" w:hAnsi="仿宋_GB2312" w:cs="仿宋_GB2312" w:eastAsia="仿宋_GB2312"/>
                <w:sz w:val="20"/>
              </w:rPr>
              <w:t>3、陕西省高考网上志愿填报系统：</w:t>
            </w:r>
          </w:p>
          <w:p>
            <w:pPr>
              <w:pStyle w:val="null3"/>
            </w:pPr>
            <w:r>
              <w:rPr>
                <w:rFonts w:ascii="仿宋_GB2312" w:hAnsi="仿宋_GB2312" w:cs="仿宋_GB2312" w:eastAsia="仿宋_GB2312"/>
                <w:sz w:val="20"/>
              </w:rPr>
              <w:t>测试对象：</w:t>
            </w:r>
            <w:r>
              <w:rPr>
                <w:rFonts w:ascii="仿宋_GB2312" w:hAnsi="仿宋_GB2312" w:cs="仿宋_GB2312" w:eastAsia="仿宋_GB2312"/>
                <w:sz w:val="20"/>
              </w:rPr>
              <w:t>①获取填报信息功能②提交保存填报信息功能</w:t>
            </w:r>
          </w:p>
          <w:p>
            <w:pPr>
              <w:pStyle w:val="null3"/>
            </w:pPr>
            <w:r>
              <w:rPr>
                <w:rFonts w:ascii="仿宋_GB2312" w:hAnsi="仿宋_GB2312" w:cs="仿宋_GB2312" w:eastAsia="仿宋_GB2312"/>
                <w:sz w:val="20"/>
              </w:rPr>
              <w:t>测试性能指标项与要求：</w:t>
            </w:r>
          </w:p>
          <w:p>
            <w:pPr>
              <w:pStyle w:val="null3"/>
            </w:pPr>
            <w:r>
              <w:rPr>
                <w:rFonts w:ascii="仿宋_GB2312" w:hAnsi="仿宋_GB2312" w:cs="仿宋_GB2312" w:eastAsia="仿宋_GB2312"/>
                <w:sz w:val="20"/>
              </w:rPr>
              <w:t>最大并发用户数：不小于</w:t>
            </w:r>
            <w:r>
              <w:rPr>
                <w:rFonts w:ascii="仿宋_GB2312" w:hAnsi="仿宋_GB2312" w:cs="仿宋_GB2312" w:eastAsia="仿宋_GB2312"/>
                <w:sz w:val="20"/>
              </w:rPr>
              <w:t>3万（指同一时间发起请求的最大用户数量）</w:t>
            </w:r>
          </w:p>
          <w:p>
            <w:pPr>
              <w:pStyle w:val="null3"/>
            </w:pPr>
            <w:r>
              <w:rPr>
                <w:rFonts w:ascii="仿宋_GB2312" w:hAnsi="仿宋_GB2312" w:cs="仿宋_GB2312" w:eastAsia="仿宋_GB2312"/>
                <w:sz w:val="20"/>
              </w:rPr>
              <w:t>平均响应时间：不超过</w:t>
            </w:r>
            <w:r>
              <w:rPr>
                <w:rFonts w:ascii="仿宋_GB2312" w:hAnsi="仿宋_GB2312" w:cs="仿宋_GB2312" w:eastAsia="仿宋_GB2312"/>
                <w:sz w:val="20"/>
              </w:rPr>
              <w:t>5秒（获取填报信息：从请求发起至系统返回个人填报页面及数据的平均耗时；提交保存：从提交请求至系统确认保存成功的平均耗时）</w:t>
            </w:r>
          </w:p>
          <w:p>
            <w:pPr>
              <w:pStyle w:val="null3"/>
            </w:pPr>
            <w:r>
              <w:rPr>
                <w:rFonts w:ascii="仿宋_GB2312" w:hAnsi="仿宋_GB2312" w:cs="仿宋_GB2312" w:eastAsia="仿宋_GB2312"/>
                <w:sz w:val="20"/>
                <w:color w:val="000000"/>
              </w:rPr>
              <w:t>请求成功率：大于</w:t>
            </w:r>
            <w:r>
              <w:rPr>
                <w:rFonts w:ascii="仿宋_GB2312" w:hAnsi="仿宋_GB2312" w:cs="仿宋_GB2312" w:eastAsia="仿宋_GB2312"/>
                <w:sz w:val="20"/>
                <w:color w:val="000000"/>
              </w:rPr>
              <w:t>95%（获取填报信息：成功返回个人有效填报数据的比例；提交保存：填报信息成功写入系统、无数据丢失的比例）</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sz w:val="20"/>
                <w:color w:val="000000"/>
              </w:rPr>
              <w:t>专网</w:t>
            </w:r>
            <w:r>
              <w:rPr>
                <w:rFonts w:ascii="仿宋_GB2312" w:hAnsi="仿宋_GB2312" w:cs="仿宋_GB2312" w:eastAsia="仿宋_GB2312"/>
                <w:sz w:val="20"/>
                <w:color w:val="000000"/>
              </w:rPr>
              <w:t>运维服务</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针对专网</w:t>
            </w:r>
            <w:r>
              <w:rPr>
                <w:rFonts w:ascii="仿宋_GB2312" w:hAnsi="仿宋_GB2312" w:cs="仿宋_GB2312" w:eastAsia="仿宋_GB2312"/>
                <w:sz w:val="20"/>
              </w:rPr>
              <w:t>658</w:t>
            </w:r>
            <w:r>
              <w:rPr>
                <w:rFonts w:ascii="仿宋_GB2312" w:hAnsi="仿宋_GB2312" w:cs="仿宋_GB2312" w:eastAsia="仿宋_GB2312"/>
                <w:sz w:val="20"/>
              </w:rPr>
              <w:t>点位的专网网络设备的日常运行维护提供</w:t>
            </w:r>
            <w:r>
              <w:rPr>
                <w:rFonts w:ascii="仿宋_GB2312" w:hAnsi="仿宋_GB2312" w:cs="仿宋_GB2312" w:eastAsia="仿宋_GB2312"/>
                <w:sz w:val="20"/>
              </w:rPr>
              <w:t>3名人员的专职驻场运维保障服务，期限为一年。同时，对运维期内全省统一安排的国家教育考试进行现场重大事件保障服务。</w:t>
            </w:r>
            <w:r>
              <w:rPr>
                <w:rFonts w:ascii="仿宋_GB2312" w:hAnsi="仿宋_GB2312" w:cs="仿宋_GB2312" w:eastAsia="仿宋_GB2312"/>
                <w:sz w:val="20"/>
              </w:rPr>
              <w:t>同时提供</w:t>
            </w:r>
            <w:r>
              <w:rPr>
                <w:rFonts w:ascii="仿宋_GB2312" w:hAnsi="仿宋_GB2312" w:cs="仿宋_GB2312" w:eastAsia="仿宋_GB2312"/>
                <w:sz w:val="20"/>
              </w:rPr>
              <w:t>针对专网为各市、县区维护人员</w:t>
            </w:r>
            <w:r>
              <w:rPr>
                <w:rFonts w:ascii="仿宋_GB2312" w:hAnsi="仿宋_GB2312" w:cs="仿宋_GB2312" w:eastAsia="仿宋_GB2312"/>
                <w:sz w:val="20"/>
              </w:rPr>
              <w:t>的</w:t>
            </w:r>
            <w:r>
              <w:rPr>
                <w:rFonts w:ascii="仿宋_GB2312" w:hAnsi="仿宋_GB2312" w:cs="仿宋_GB2312" w:eastAsia="仿宋_GB2312"/>
                <w:sz w:val="20"/>
              </w:rPr>
              <w:t>培训服务。</w:t>
            </w:r>
          </w:p>
          <w:p>
            <w:pPr>
              <w:pStyle w:val="null3"/>
            </w:pPr>
            <w:r>
              <w:rPr>
                <w:rFonts w:ascii="仿宋_GB2312" w:hAnsi="仿宋_GB2312" w:cs="仿宋_GB2312" w:eastAsia="仿宋_GB2312"/>
                <w:sz w:val="20"/>
              </w:rPr>
              <w:t>2、完成服务期内各个自建考点的IP、vlan规划并部署区县招办与某考点之间的互联，并完成业务测试。</w:t>
            </w:r>
          </w:p>
          <w:p>
            <w:pPr>
              <w:pStyle w:val="null3"/>
            </w:pPr>
            <w:r>
              <w:rPr>
                <w:rFonts w:ascii="仿宋_GB2312" w:hAnsi="仿宋_GB2312" w:cs="仿宋_GB2312" w:eastAsia="仿宋_GB2312"/>
                <w:sz w:val="20"/>
              </w:rPr>
              <w:t>3、重要节点网速测试，在评卷业务开始之前使用专业测试工具对评卷点的网速仅限测试，确保链路带宽可达招标文件需求。</w:t>
            </w:r>
          </w:p>
          <w:p>
            <w:pPr>
              <w:pStyle w:val="null3"/>
            </w:pPr>
            <w:r>
              <w:rPr>
                <w:rFonts w:ascii="仿宋_GB2312" w:hAnsi="仿宋_GB2312" w:cs="仿宋_GB2312" w:eastAsia="仿宋_GB2312"/>
                <w:sz w:val="20"/>
              </w:rPr>
              <w:t>4、设备维护服务涉及共计656个信息点位，20条备用线路点位的业务系统的日常巡检、运行维护、故障检查排除服务；对专网内相关业务系统运行进行1年4次的全网巡检调优服务；定期的技术检查，及时排除故障隐患。</w:t>
            </w:r>
          </w:p>
          <w:p>
            <w:pPr>
              <w:pStyle w:val="null3"/>
            </w:pPr>
            <w:r>
              <w:rPr>
                <w:rFonts w:ascii="仿宋_GB2312" w:hAnsi="仿宋_GB2312" w:cs="仿宋_GB2312" w:eastAsia="仿宋_GB2312"/>
                <w:sz w:val="20"/>
                <w:color w:val="000000"/>
              </w:rPr>
              <w:t>5、全年24次重大国家教育考试现场网络保障，包含13次国家级统一考试安排；提供重大业务现场保障服务。</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sz w:val="20"/>
                <w:color w:val="000000"/>
              </w:rPr>
              <w:t>技术服务要求</w:t>
            </w:r>
          </w:p>
          <w:p>
            <w:pPr>
              <w:pStyle w:val="null3"/>
              <w:spacing w:before="60" w:after="60"/>
              <w:outlineLvl w:val="2"/>
            </w:pPr>
            <w:r>
              <w:rPr>
                <w:rFonts w:ascii="仿宋_GB2312" w:hAnsi="仿宋_GB2312" w:cs="仿宋_GB2312" w:eastAsia="仿宋_GB2312"/>
                <w:sz w:val="20"/>
                <w:b/>
              </w:rPr>
              <w:t>1000M链路出口线路要求</w:t>
            </w:r>
          </w:p>
          <w:p>
            <w:pPr>
              <w:pStyle w:val="null3"/>
            </w:pPr>
            <w:r>
              <w:rPr>
                <w:rFonts w:ascii="仿宋_GB2312" w:hAnsi="仿宋_GB2312" w:cs="仿宋_GB2312" w:eastAsia="仿宋_GB2312"/>
                <w:sz w:val="20"/>
              </w:rPr>
              <w:t>1、运营商提供光纤出口数据链路带宽必须是独占带宽，提供不少于8个实IP地址。</w:t>
            </w:r>
          </w:p>
          <w:p>
            <w:pPr>
              <w:pStyle w:val="null3"/>
            </w:pPr>
            <w:r>
              <w:rPr>
                <w:rFonts w:ascii="仿宋_GB2312" w:hAnsi="仿宋_GB2312" w:cs="仿宋_GB2312" w:eastAsia="仿宋_GB2312"/>
                <w:sz w:val="20"/>
              </w:rPr>
              <w:t>2、运营商提供光纤必须保证带宽不稀释、出口无瓶颈，在带宽QoS和时延等方面有良好的保证。</w:t>
            </w:r>
          </w:p>
          <w:p>
            <w:pPr>
              <w:pStyle w:val="null3"/>
            </w:pPr>
            <w:r>
              <w:rPr>
                <w:rFonts w:ascii="仿宋_GB2312" w:hAnsi="仿宋_GB2312" w:cs="仿宋_GB2312" w:eastAsia="仿宋_GB2312"/>
                <w:sz w:val="20"/>
              </w:rPr>
              <w:t>3、网速不受宽带使用高峰期影响，网速稳定优质。</w:t>
            </w:r>
          </w:p>
          <w:p>
            <w:pPr>
              <w:pStyle w:val="null3"/>
            </w:pPr>
            <w:r>
              <w:rPr>
                <w:rFonts w:ascii="仿宋_GB2312" w:hAnsi="仿宋_GB2312" w:cs="仿宋_GB2312" w:eastAsia="仿宋_GB2312"/>
                <w:sz w:val="20"/>
              </w:rPr>
              <w:t>4、1000M链路出口必须实现DDOS攻击防护。</w:t>
            </w:r>
          </w:p>
          <w:p>
            <w:pPr>
              <w:pStyle w:val="null3"/>
            </w:pPr>
            <w:r>
              <w:rPr>
                <w:rFonts w:ascii="仿宋_GB2312" w:hAnsi="仿宋_GB2312" w:cs="仿宋_GB2312" w:eastAsia="仿宋_GB2312"/>
                <w:sz w:val="20"/>
              </w:rPr>
              <w:t>5、1000M链路出口必须提供万兆备用接口设备和相关配套配件。在业务高峰期</w:t>
            </w:r>
            <w:r>
              <w:rPr>
                <w:rFonts w:ascii="仿宋_GB2312" w:hAnsi="仿宋_GB2312" w:cs="仿宋_GB2312" w:eastAsia="仿宋_GB2312"/>
                <w:sz w:val="20"/>
              </w:rPr>
              <w:t>，</w:t>
            </w:r>
            <w:r>
              <w:rPr>
                <w:rFonts w:ascii="仿宋_GB2312" w:hAnsi="仿宋_GB2312" w:cs="仿宋_GB2312" w:eastAsia="仿宋_GB2312"/>
                <w:sz w:val="20"/>
              </w:rPr>
              <w:t>提供不低于</w:t>
            </w:r>
            <w:r>
              <w:rPr>
                <w:rFonts w:ascii="仿宋_GB2312" w:hAnsi="仿宋_GB2312" w:cs="仿宋_GB2312" w:eastAsia="仿宋_GB2312"/>
                <w:sz w:val="20"/>
              </w:rPr>
              <w:t>3000M</w:t>
            </w:r>
            <w:r>
              <w:rPr>
                <w:rFonts w:ascii="仿宋_GB2312" w:hAnsi="仿宋_GB2312" w:cs="仿宋_GB2312" w:eastAsia="仿宋_GB2312"/>
                <w:sz w:val="20"/>
              </w:rPr>
              <w:t>链路带宽</w:t>
            </w:r>
            <w:r>
              <w:rPr>
                <w:rFonts w:ascii="仿宋_GB2312" w:hAnsi="仿宋_GB2312" w:cs="仿宋_GB2312" w:eastAsia="仿宋_GB2312"/>
                <w:sz w:val="20"/>
              </w:rPr>
              <w:t>，</w:t>
            </w:r>
            <w:r>
              <w:rPr>
                <w:rFonts w:ascii="仿宋_GB2312" w:hAnsi="仿宋_GB2312" w:cs="仿宋_GB2312" w:eastAsia="仿宋_GB2312"/>
                <w:sz w:val="20"/>
              </w:rPr>
              <w:t>可及时切换，交割时间不超过</w:t>
            </w:r>
            <w:r>
              <w:rPr>
                <w:rFonts w:ascii="仿宋_GB2312" w:hAnsi="仿宋_GB2312" w:cs="仿宋_GB2312" w:eastAsia="仿宋_GB2312"/>
                <w:sz w:val="20"/>
              </w:rPr>
              <w:t>12小时。</w:t>
            </w:r>
          </w:p>
          <w:p>
            <w:pPr>
              <w:pStyle w:val="null3"/>
              <w:spacing w:before="60" w:after="60"/>
              <w:outlineLvl w:val="2"/>
            </w:pPr>
            <w:r>
              <w:rPr>
                <w:rFonts w:ascii="仿宋_GB2312" w:hAnsi="仿宋_GB2312" w:cs="仿宋_GB2312" w:eastAsia="仿宋_GB2312"/>
                <w:sz w:val="20"/>
                <w:b/>
              </w:rPr>
              <w:t>专网建设运维服务要求</w:t>
            </w:r>
          </w:p>
          <w:p>
            <w:pPr>
              <w:pStyle w:val="null3"/>
            </w:pPr>
            <w:r>
              <w:rPr>
                <w:rFonts w:ascii="仿宋_GB2312" w:hAnsi="仿宋_GB2312" w:cs="仿宋_GB2312" w:eastAsia="仿宋_GB2312"/>
                <w:sz w:val="20"/>
              </w:rPr>
              <w:t>1、提供项目所相关的系统集成的具体规划、设计、部署服务，保证专网正常运转。提供详细的网络ip地址规划、vlan划分，合理利用资源，方便后续扩展。根据考试院现有设备，配合对所有相关设备进行安装、设置、调试；设备名称的构成字符遵循国家规范。线路施工完毕后，配合对考试院机房相关业务系统进行IP地址变更。</w:t>
            </w:r>
          </w:p>
          <w:p>
            <w:pPr>
              <w:pStyle w:val="null3"/>
            </w:pPr>
            <w:r>
              <w:rPr>
                <w:rFonts w:ascii="仿宋_GB2312" w:hAnsi="仿宋_GB2312" w:cs="仿宋_GB2312" w:eastAsia="仿宋_GB2312"/>
                <w:sz w:val="20"/>
              </w:rPr>
              <w:t>2、项目正式运行后，提供一个月的前期磨合问题解决服务保障，所有故障必须提供解决方案，须派技术人员现场处理。专网线路切换或上线前必须经过严格测试，并得到考试院相关负责部门认可，以保证线路切换顺利实施运行。</w:t>
            </w:r>
          </w:p>
          <w:p>
            <w:pPr>
              <w:pStyle w:val="null3"/>
            </w:pPr>
            <w:r>
              <w:rPr>
                <w:rFonts w:ascii="仿宋_GB2312" w:hAnsi="仿宋_GB2312" w:cs="仿宋_GB2312" w:eastAsia="仿宋_GB2312"/>
                <w:sz w:val="20"/>
              </w:rPr>
              <w:t>3、资料移交：完工需要有详细的设备档案移交（需包换、型号、连接关系、管理地址、地理位置、接口类型），以及拓扑图、系统结构图、布线图、配置资料、设备清单等相关资料纸质和电子版。</w:t>
            </w:r>
          </w:p>
          <w:p>
            <w:pPr>
              <w:pStyle w:val="null3"/>
            </w:pPr>
            <w:r>
              <w:rPr>
                <w:rFonts w:ascii="仿宋_GB2312" w:hAnsi="仿宋_GB2312" w:cs="仿宋_GB2312" w:eastAsia="仿宋_GB2312"/>
                <w:sz w:val="20"/>
              </w:rPr>
              <w:t>4、提供专网有关项目负责人、项目团队人员详细的名单及联系方式。项目团队成员中列明的人员（如高级工程师），需保证项目期内在陕西省内进行工作。投标人须对人员要求提供书面承诺。负责专网涉及各点位的网络设备的日常运行维护工作，并提供3名建设时期专职技术人员驻场运维保障服务，期限为一年；</w:t>
            </w:r>
          </w:p>
          <w:p>
            <w:pPr>
              <w:pStyle w:val="null3"/>
            </w:pPr>
            <w:r>
              <w:rPr>
                <w:rFonts w:ascii="仿宋_GB2312" w:hAnsi="仿宋_GB2312" w:cs="仿宋_GB2312" w:eastAsia="仿宋_GB2312"/>
                <w:sz w:val="20"/>
              </w:rPr>
              <w:t>5、针对专网涉及考试院、市级中心、区县中心、标准化考点、硕士研究生考点、阅卷点、招生录取现场、试卷印刷厂、备用线路及设备,等信息点位的专网网络设备提供7×24×365远程技术支持，7×8×ND现场支持服务，紧急问题处理7×24×2H响应。以及日常运行维护、故障报修服务等；</w:t>
            </w:r>
          </w:p>
          <w:p>
            <w:pPr>
              <w:pStyle w:val="null3"/>
            </w:pPr>
            <w:r>
              <w:rPr>
                <w:rFonts w:ascii="仿宋_GB2312" w:hAnsi="仿宋_GB2312" w:cs="仿宋_GB2312" w:eastAsia="仿宋_GB2312"/>
                <w:sz w:val="20"/>
              </w:rPr>
              <w:t>6、为专网涉及到的网络设备提供1年4次的全网设备巡检调优主动服务；通过定期的技术检查，可及时排除故障隐患，以免问题发生后影响业务运作，还能及时调优系统性能，使系统始终处于高效率运行状态。让用户有更多的时间来处理自身的业务工作。</w:t>
            </w:r>
          </w:p>
          <w:p>
            <w:pPr>
              <w:pStyle w:val="null3"/>
            </w:pPr>
            <w:r>
              <w:rPr>
                <w:rFonts w:ascii="仿宋_GB2312" w:hAnsi="仿宋_GB2312" w:cs="仿宋_GB2312" w:eastAsia="仿宋_GB2312"/>
                <w:sz w:val="20"/>
              </w:rPr>
              <w:t>7、对全省年度考试计划中的硕士生招生全国统考、全国大学英语四、六级考试、普通高校招生全国统考、全国成人高等学校统一考试招生、普通高等教育专升本考试招生、中小学教师资格考试、高等教育自学考试、普通高中学业水平考试、剑桥少儿英语考试、全国英语等级考试、全国计算机等级考试、全国计算机应用技术证书考试、陕西省农村义务教育阶段学校教师特设岗位招聘考试等13次大型国家级考试工作提供重大业务现场保障服务。此13次考试期间至少提供12个市级专网网络节点的现场驻场保障服务。且提供现场保障服务次数不仅限于本文件要求的13次考试，具体以考试院年度安排计划为准。在各类考试评卷期间每日报告评卷线路运行及安全情况。</w:t>
            </w:r>
          </w:p>
          <w:p>
            <w:pPr>
              <w:pStyle w:val="null3"/>
              <w:spacing w:before="60" w:after="60"/>
              <w:outlineLvl w:val="2"/>
            </w:pPr>
            <w:r>
              <w:rPr>
                <w:rFonts w:ascii="仿宋_GB2312" w:hAnsi="仿宋_GB2312" w:cs="仿宋_GB2312" w:eastAsia="仿宋_GB2312"/>
                <w:sz w:val="20"/>
                <w:b/>
              </w:rPr>
              <w:t>专网安全可控要求</w:t>
            </w:r>
          </w:p>
          <w:p>
            <w:pPr>
              <w:pStyle w:val="null3"/>
            </w:pPr>
            <w:r>
              <w:rPr>
                <w:rFonts w:ascii="仿宋_GB2312" w:hAnsi="仿宋_GB2312" w:cs="仿宋_GB2312" w:eastAsia="仿宋_GB2312"/>
                <w:sz w:val="20"/>
              </w:rPr>
              <w:t>1、专网建成后，网络整体应具备基础的安全可控能力。在省—市—区（县）—考点四级专网的稳定链路支撑下；各个业务系统要能够平稳运行，且达到预期的业务效果和标准。同时，各个市（区）、区县、考点自行建设且必须统一接入专网的子系统（如：视频巡考系统、考试身份验证系统、无线电防作弊系统等）不能再有其他的网络外线接入点，更不能接入互联网。专网的安全可控能力应从技术侧来防止市（区）、区县、考点的各个子系统私接互联网或者其他外线网络，并根据实际防控需求配置相关硬件产品，如不能满足则根据考试院要求进行产品替换。</w:t>
            </w:r>
          </w:p>
          <w:p>
            <w:pPr>
              <w:pStyle w:val="null3"/>
            </w:pPr>
            <w:r>
              <w:rPr>
                <w:rFonts w:ascii="仿宋_GB2312" w:hAnsi="仿宋_GB2312" w:cs="仿宋_GB2312" w:eastAsia="仿宋_GB2312"/>
                <w:sz w:val="20"/>
              </w:rPr>
              <w:t>2、专网建成后，仅允许接入专网的设备或系统、专网管理人员接入、管理专网设备，有效防止、阻断非法外联(专网、互联网)。</w:t>
            </w:r>
          </w:p>
          <w:p>
            <w:pPr>
              <w:pStyle w:val="null3"/>
            </w:pPr>
            <w:r>
              <w:rPr>
                <w:rFonts w:ascii="仿宋_GB2312" w:hAnsi="仿宋_GB2312" w:cs="仿宋_GB2312" w:eastAsia="仿宋_GB2312"/>
                <w:sz w:val="20"/>
                <w:color w:val="000000"/>
              </w:rPr>
              <w:t>3、实现方式不局限于硬件、软件、软硬件结合等方式。</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14"/>
              <w:gridCol w:w="2139"/>
            </w:tblGrid>
            <w:tr>
              <w:tc>
                <w:tcPr>
                  <w:tcW w:type="dxa" w:w="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附件一</w:t>
                  </w:r>
                </w:p>
              </w:tc>
              <w:tc>
                <w:tcPr>
                  <w:tcW w:type="dxa" w:w="2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专网拓扑示意图（详见附件）</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附件二</w:t>
                  </w:r>
                </w:p>
              </w:tc>
              <w:tc>
                <w:tcPr>
                  <w:tcW w:type="dxa" w:w="2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专网点位清单（详见附件）</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1、项目完工期：合同签订之日起5个日历日交付采购人；2、运维服务期：1年（不含试用期）。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陕西省教育考试院指定地点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待项目运维服务期满由采购代理机构负责组织验收，邀请有关专家或质检机构共同进行验收,验收费用由中标人支付；验收合格须交接项目实施的全部资料，并填写政府采购项目验收报告单。验收须以合同、招投标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合同签订后，于2026年7月1日前完成整体项目初验，经初验合格后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于2026年12月1日前完成整体项目终验，经项目终验合格后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待运维服务期满后，于2027年6月15日前</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 3、中标人需要提交与电子化交易系统中一致的纸质版投标文件正本壹份打印并胶装（可顺丰邮寄），邮寄地址：西安市雁展路1111号莱安中心T6-15层，联系人：谢婷婷，联系电话：029-81206622/81206633-832。 4、招标文件中所有的商务要求均为实质性要求，投标人必须响应并满足。 5、投标人现场演示时间与投标文件截止时间一致，演示地点为：西安市雁展路1111号莱安中心T6-15层第一会议室。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法定代表人授权书及被授权人身份证复印件及被授权人近半年任意一个月的社保缴纳证明。（法定代表人直接投标只须提交其身份证明书）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投标文件的服务期、服务地点、付款方式、合同等商务内容符合招标文件要求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投标函 商务应答表 投标文件封面 技术指标偏差表.docx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商务应答表 其他说明.docx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投标产品的技术指标、参数完全符合、满足招标文件要求，没有负偏离的计37分；▲项参数负偏离一项扣1分，非▲项参数负偏离一项扣0.5分，扣完为止。 注：提供投标产品的主要技术指标、参数的相应的证明材料（不限于产品彩页、测试报告、官网和功能截图等技术支持性文件资料），经评审专家审定得分。根据投标人整个专网系统的体系结构合理性、实用性、保证数据传输的实时性要求等情况综合评定。</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1详细评审---技术指标.docx</w:t>
            </w:r>
          </w:p>
        </w:tc>
      </w:tr>
      <w:tr>
        <w:tc>
          <w:tcPr>
            <w:tcW w:type="dxa" w:w="831"/>
            <w:vMerge/>
          </w:tcPr>
          <w:p/>
        </w:tc>
        <w:tc>
          <w:tcPr>
            <w:tcW w:type="dxa" w:w="1661"/>
          </w:tcPr>
          <w:p>
            <w:pPr>
              <w:pStyle w:val="null3"/>
            </w:pPr>
            <w:r>
              <w:rPr>
                <w:rFonts w:ascii="仿宋_GB2312" w:hAnsi="仿宋_GB2312" w:cs="仿宋_GB2312" w:eastAsia="仿宋_GB2312"/>
              </w:rPr>
              <w:t>组织架构方案</w:t>
            </w:r>
          </w:p>
        </w:tc>
        <w:tc>
          <w:tcPr>
            <w:tcW w:type="dxa" w:w="2492"/>
          </w:tcPr>
          <w:p>
            <w:pPr>
              <w:pStyle w:val="null3"/>
            </w:pPr>
            <w:r>
              <w:rPr>
                <w:rFonts w:ascii="仿宋_GB2312" w:hAnsi="仿宋_GB2312" w:cs="仿宋_GB2312" w:eastAsia="仿宋_GB2312"/>
              </w:rPr>
              <w:t>投标人针对项目特点结合采购人需求制定项目组织架构方案，包括但不限于：①组织架构；②人员配置；③沟通方式；④工作职责；⑤管理制度、流程和辅助工具。方案各部分内容全面详细、阐述条理清晰详尽、符合本项目采购需求得10分；以上分项每缺少一项内容扣2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2详细评审---组织架构方案.docx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项目特点结合采购人需求制定项目实施方案，包括但不限于：①软件及硬件安装调试方案；②网络整体规划及配置方案；③系统集成方案；④试运行、测试、工期规划方案；方案各部分内容全面详细、阐述条理清晰详尽、符合本项目采购需求得12分；以上分项每缺少一项内容扣3分；有某一项不完整或不符合实际要求或不满足实施要求或套用其他项目内容的扣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3详细评审---实施方案.docx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针对项目特点结合采购人需求制定项目应急预案；方案内容全面详细、阐述条理清晰详尽、符合本项目采购需求得3分；内容不完整或不符合实际要求或不满足实施要求或套用其他项目内容的扣2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4详细评审---应急预案.docx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投标人针对项目特点结合采购人需求制定项目保密方案，包括但不限于：①保密制度；②保密措施；③保密承诺；方案各部分内容全面详细、阐述条理清晰详尽、符合本项目采购需求得6分；以上分项每缺少一项内容扣2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5详细评审---保密方案.docx</w:t>
            </w:r>
          </w:p>
        </w:tc>
      </w:tr>
      <w:tr>
        <w:tc>
          <w:tcPr>
            <w:tcW w:type="dxa" w:w="831"/>
            <w:vMerge/>
          </w:tcPr>
          <w:p/>
        </w:tc>
        <w:tc>
          <w:tcPr>
            <w:tcW w:type="dxa" w:w="1661"/>
          </w:tcPr>
          <w:p>
            <w:pPr>
              <w:pStyle w:val="null3"/>
            </w:pPr>
            <w:r>
              <w:rPr>
                <w:rFonts w:ascii="仿宋_GB2312" w:hAnsi="仿宋_GB2312" w:cs="仿宋_GB2312" w:eastAsia="仿宋_GB2312"/>
              </w:rPr>
              <w:t>专网运维服务方案</w:t>
            </w:r>
          </w:p>
        </w:tc>
        <w:tc>
          <w:tcPr>
            <w:tcW w:type="dxa" w:w="2492"/>
          </w:tcPr>
          <w:p>
            <w:pPr>
              <w:pStyle w:val="null3"/>
            </w:pPr>
            <w:r>
              <w:rPr>
                <w:rFonts w:ascii="仿宋_GB2312" w:hAnsi="仿宋_GB2312" w:cs="仿宋_GB2312" w:eastAsia="仿宋_GB2312"/>
              </w:rPr>
              <w:t>投标人针对项目特点结合采购人需求制定专网运维服务方案，包括但不限于:①运维服务方案；②运维服务考核制度；方案各部分内容全面详细、阐述条理清晰详尽、符合本项目采购需求得6分；以上分项每缺少一项内容扣3分；有某一项不完整或不符合实际要求或不满足实施要求或套用其他项目内容的扣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6详细评审---专网运维服务方案.docx</w:t>
            </w:r>
          </w:p>
        </w:tc>
      </w:tr>
      <w:tr>
        <w:tc>
          <w:tcPr>
            <w:tcW w:type="dxa" w:w="831"/>
            <w:vMerge/>
          </w:tcPr>
          <w:p/>
        </w:tc>
        <w:tc>
          <w:tcPr>
            <w:tcW w:type="dxa" w:w="1661"/>
          </w:tcPr>
          <w:p>
            <w:pPr>
              <w:pStyle w:val="null3"/>
            </w:pPr>
            <w:r>
              <w:rPr>
                <w:rFonts w:ascii="仿宋_GB2312" w:hAnsi="仿宋_GB2312" w:cs="仿宋_GB2312" w:eastAsia="仿宋_GB2312"/>
              </w:rPr>
              <w:t>项目阐述</w:t>
            </w:r>
          </w:p>
        </w:tc>
        <w:tc>
          <w:tcPr>
            <w:tcW w:type="dxa" w:w="2492"/>
          </w:tcPr>
          <w:p>
            <w:pPr>
              <w:pStyle w:val="null3"/>
            </w:pPr>
            <w:r>
              <w:rPr>
                <w:rFonts w:ascii="仿宋_GB2312" w:hAnsi="仿宋_GB2312" w:cs="仿宋_GB2312" w:eastAsia="仿宋_GB2312"/>
              </w:rPr>
              <w:t>投标人针对本项目专网建设内容、网络规划方案和专网运维管理系统进行说明演示，时间为15分钟。专网建设符合参数要求，网络规划结构合理安全性高，运维管理功能齐全操作简单，阐述思路清晰，针对各市县区不同特点有重点计划，对项目可提出建设性意见，对现场专家所提问题回复明确，计5分；满足参数要求的前提下阐述出自己投标文件中的方案特点，可满足招标人基本需求的，计3分；阐述内容模糊，不能讲出针对本项目的特点的，计1分。无阐述不计分。（演示所需器材自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7详细评审---项目阐述.docx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项目特点结合采购人需求制定售后服务方案，包括但不限于：①在项目实施所在的市县区设立相应的技术支持及售后服务机构（提供有效的办公场所证明材料）；②设备或网络发生故障后的补救措施；③维修服务响应时限等售后服务；方案各部分内容全面详细、阐述条理清晰详尽、符合本项目采购需求得6分；以上分项每缺少一项内容扣2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8详细评审---售后服务.docx</w:t>
            </w:r>
          </w:p>
        </w:tc>
      </w:tr>
      <w:tr>
        <w:tc>
          <w:tcPr>
            <w:tcW w:type="dxa" w:w="831"/>
            <w:vMerge/>
          </w:tcPr>
          <w:p/>
        </w:tc>
        <w:tc>
          <w:tcPr>
            <w:tcW w:type="dxa" w:w="1661"/>
          </w:tcPr>
          <w:p>
            <w:pPr>
              <w:pStyle w:val="null3"/>
            </w:pPr>
            <w:r>
              <w:rPr>
                <w:rFonts w:ascii="仿宋_GB2312" w:hAnsi="仿宋_GB2312" w:cs="仿宋_GB2312" w:eastAsia="仿宋_GB2312"/>
              </w:rPr>
              <w:t>类似项目证明</w:t>
            </w:r>
          </w:p>
        </w:tc>
        <w:tc>
          <w:tcPr>
            <w:tcW w:type="dxa" w:w="2492"/>
          </w:tcPr>
          <w:p>
            <w:pPr>
              <w:pStyle w:val="null3"/>
            </w:pPr>
            <w:r>
              <w:rPr>
                <w:rFonts w:ascii="仿宋_GB2312" w:hAnsi="仿宋_GB2312" w:cs="仿宋_GB2312" w:eastAsia="仿宋_GB2312"/>
              </w:rPr>
              <w:t>提供与本项目类似的各区县线路资源节点情况，并提供证明材料，每提供一份证明材料计0.5分，满分计5分。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9详细评审---类似项目证明.docx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详见附件：1详细评审---技术指标.docx</w:t>
      </w:r>
    </w:p>
    <w:p>
      <w:pPr>
        <w:pStyle w:val="null3"/>
        <w:ind w:firstLine="960"/>
      </w:pPr>
      <w:r>
        <w:rPr>
          <w:rFonts w:ascii="仿宋_GB2312" w:hAnsi="仿宋_GB2312" w:cs="仿宋_GB2312" w:eastAsia="仿宋_GB2312"/>
        </w:rPr>
        <w:t>详见附件：2详细评审---组织架构方案.docx</w:t>
      </w:r>
    </w:p>
    <w:p>
      <w:pPr>
        <w:pStyle w:val="null3"/>
        <w:ind w:firstLine="960"/>
      </w:pPr>
      <w:r>
        <w:rPr>
          <w:rFonts w:ascii="仿宋_GB2312" w:hAnsi="仿宋_GB2312" w:cs="仿宋_GB2312" w:eastAsia="仿宋_GB2312"/>
        </w:rPr>
        <w:t>详见附件：3详细评审---实施方案.docx</w:t>
      </w:r>
    </w:p>
    <w:p>
      <w:pPr>
        <w:pStyle w:val="null3"/>
        <w:ind w:firstLine="960"/>
      </w:pPr>
      <w:r>
        <w:rPr>
          <w:rFonts w:ascii="仿宋_GB2312" w:hAnsi="仿宋_GB2312" w:cs="仿宋_GB2312" w:eastAsia="仿宋_GB2312"/>
        </w:rPr>
        <w:t>详见附件：4详细评审---应急预案.docx</w:t>
      </w:r>
    </w:p>
    <w:p>
      <w:pPr>
        <w:pStyle w:val="null3"/>
        <w:ind w:firstLine="960"/>
      </w:pPr>
      <w:r>
        <w:rPr>
          <w:rFonts w:ascii="仿宋_GB2312" w:hAnsi="仿宋_GB2312" w:cs="仿宋_GB2312" w:eastAsia="仿宋_GB2312"/>
        </w:rPr>
        <w:t>详见附件：5详细评审---保密方案.docx</w:t>
      </w:r>
    </w:p>
    <w:p>
      <w:pPr>
        <w:pStyle w:val="null3"/>
        <w:ind w:firstLine="960"/>
      </w:pPr>
      <w:r>
        <w:rPr>
          <w:rFonts w:ascii="仿宋_GB2312" w:hAnsi="仿宋_GB2312" w:cs="仿宋_GB2312" w:eastAsia="仿宋_GB2312"/>
        </w:rPr>
        <w:t>详见附件：6详细评审---专网运维服务方案.docx</w:t>
      </w:r>
    </w:p>
    <w:p>
      <w:pPr>
        <w:pStyle w:val="null3"/>
        <w:ind w:firstLine="960"/>
      </w:pPr>
      <w:r>
        <w:rPr>
          <w:rFonts w:ascii="仿宋_GB2312" w:hAnsi="仿宋_GB2312" w:cs="仿宋_GB2312" w:eastAsia="仿宋_GB2312"/>
        </w:rPr>
        <w:t>详见附件：7详细评审---项目阐述.docx</w:t>
      </w:r>
    </w:p>
    <w:p>
      <w:pPr>
        <w:pStyle w:val="null3"/>
        <w:ind w:firstLine="960"/>
      </w:pPr>
      <w:r>
        <w:rPr>
          <w:rFonts w:ascii="仿宋_GB2312" w:hAnsi="仿宋_GB2312" w:cs="仿宋_GB2312" w:eastAsia="仿宋_GB2312"/>
        </w:rPr>
        <w:t>详见附件：8详细评审---售后服务.docx</w:t>
      </w:r>
    </w:p>
    <w:p>
      <w:pPr>
        <w:pStyle w:val="null3"/>
        <w:ind w:firstLine="960"/>
      </w:pPr>
      <w:r>
        <w:rPr>
          <w:rFonts w:ascii="仿宋_GB2312" w:hAnsi="仿宋_GB2312" w:cs="仿宋_GB2312" w:eastAsia="仿宋_GB2312"/>
        </w:rPr>
        <w:t>详见附件：9详细评审---类似项目证明.docx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